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7850A">
      <w:pPr>
        <w:spacing w:line="360" w:lineRule="auto"/>
        <w:jc w:val="center"/>
        <w:rPr>
          <w:rFonts w:asciiTheme="minorEastAsia" w:hAnsiTheme="minorEastAsia" w:eastAsiaTheme="minorEastAsia"/>
          <w:szCs w:val="21"/>
        </w:rPr>
      </w:pPr>
    </w:p>
    <w:p w14:paraId="542771C0">
      <w:pPr>
        <w:spacing w:line="360" w:lineRule="auto"/>
        <w:jc w:val="center"/>
        <w:rPr>
          <w:rFonts w:asciiTheme="minorEastAsia" w:hAnsiTheme="minorEastAsia" w:eastAsiaTheme="minorEastAsia"/>
          <w:szCs w:val="21"/>
        </w:rPr>
      </w:pPr>
    </w:p>
    <w:p w14:paraId="2A183143">
      <w:pPr>
        <w:spacing w:line="360" w:lineRule="auto"/>
        <w:jc w:val="center"/>
        <w:rPr>
          <w:rFonts w:asciiTheme="minorEastAsia" w:hAnsiTheme="minorEastAsia" w:eastAsiaTheme="minorEastAsia"/>
          <w:szCs w:val="21"/>
        </w:rPr>
      </w:pPr>
    </w:p>
    <w:p w14:paraId="222BB042">
      <w:pPr>
        <w:spacing w:line="360" w:lineRule="auto"/>
        <w:jc w:val="center"/>
        <w:rPr>
          <w:rFonts w:asciiTheme="minorEastAsia" w:hAnsiTheme="minorEastAsia" w:eastAsiaTheme="minorEastAsia"/>
          <w:szCs w:val="21"/>
        </w:rPr>
      </w:pPr>
    </w:p>
    <w:p w14:paraId="0CD17BE2">
      <w:pPr>
        <w:spacing w:line="360" w:lineRule="auto"/>
        <w:jc w:val="center"/>
        <w:rPr>
          <w:rFonts w:asciiTheme="minorEastAsia" w:hAnsiTheme="minorEastAsia" w:eastAsiaTheme="minorEastAsia"/>
          <w:szCs w:val="21"/>
        </w:rPr>
      </w:pPr>
    </w:p>
    <w:p w14:paraId="61D40073">
      <w:pPr>
        <w:adjustRightInd w:val="0"/>
        <w:snapToGrid w:val="0"/>
        <w:ind w:left="839"/>
        <w:jc w:val="center"/>
        <w:rPr>
          <w:rFonts w:ascii="宋体" w:hAnsi="宋体"/>
          <w:b/>
          <w:color w:val="000000"/>
          <w:sz w:val="52"/>
          <w:szCs w:val="52"/>
        </w:rPr>
      </w:pPr>
      <w:r>
        <w:rPr>
          <w:rFonts w:hint="eastAsia" w:ascii="宋体" w:hAnsi="宋体"/>
          <w:b/>
          <w:color w:val="000000"/>
          <w:sz w:val="52"/>
          <w:szCs w:val="52"/>
        </w:rPr>
        <w:t>广东南粤银行</w:t>
      </w:r>
    </w:p>
    <w:p w14:paraId="0B5B542B">
      <w:pPr>
        <w:adjustRightInd w:val="0"/>
        <w:snapToGrid w:val="0"/>
        <w:ind w:left="839"/>
        <w:jc w:val="center"/>
        <w:rPr>
          <w:rFonts w:ascii="宋体" w:hAnsi="宋体"/>
          <w:b/>
          <w:color w:val="000000"/>
          <w:sz w:val="52"/>
          <w:szCs w:val="52"/>
        </w:rPr>
      </w:pPr>
      <w:r>
        <w:rPr>
          <w:rFonts w:hint="eastAsia" w:ascii="宋体" w:hAnsi="宋体"/>
          <w:b/>
          <w:color w:val="000000"/>
          <w:sz w:val="52"/>
          <w:szCs w:val="52"/>
          <w:lang w:val="en-US" w:eastAsia="zh-CN"/>
        </w:rPr>
        <w:t>对公</w:t>
      </w:r>
      <w:r>
        <w:rPr>
          <w:rFonts w:hint="eastAsia" w:ascii="宋体" w:hAnsi="宋体"/>
          <w:b/>
          <w:color w:val="000000"/>
          <w:sz w:val="52"/>
          <w:szCs w:val="52"/>
        </w:rPr>
        <w:t>CRM系统建设项目</w:t>
      </w:r>
    </w:p>
    <w:p w14:paraId="38A8B71C">
      <w:pPr>
        <w:adjustRightInd w:val="0"/>
        <w:snapToGrid w:val="0"/>
        <w:ind w:left="839"/>
        <w:jc w:val="center"/>
        <w:rPr>
          <w:rFonts w:ascii="宋体" w:hAnsi="宋体"/>
          <w:b/>
          <w:color w:val="000000"/>
          <w:sz w:val="52"/>
          <w:szCs w:val="52"/>
        </w:rPr>
      </w:pPr>
      <w:r>
        <w:rPr>
          <w:rFonts w:hint="eastAsia" w:ascii="宋体" w:hAnsi="宋体"/>
          <w:b/>
          <w:color w:val="000000"/>
          <w:sz w:val="52"/>
          <w:szCs w:val="52"/>
        </w:rPr>
        <w:t>PO</w:t>
      </w:r>
      <w:r>
        <w:rPr>
          <w:rFonts w:ascii="宋体" w:hAnsi="宋体"/>
          <w:b/>
          <w:color w:val="000000"/>
          <w:sz w:val="52"/>
          <w:szCs w:val="52"/>
        </w:rPr>
        <w:t>C</w:t>
      </w:r>
      <w:r>
        <w:rPr>
          <w:rFonts w:hint="eastAsia" w:ascii="宋体" w:hAnsi="宋体"/>
          <w:b/>
          <w:color w:val="000000"/>
          <w:sz w:val="52"/>
          <w:szCs w:val="52"/>
        </w:rPr>
        <w:t>测评方案</w:t>
      </w:r>
    </w:p>
    <w:p w14:paraId="68358483">
      <w:pPr>
        <w:spacing w:line="360" w:lineRule="auto"/>
        <w:rPr>
          <w:rFonts w:asciiTheme="minorEastAsia" w:hAnsiTheme="minorEastAsia" w:eastAsiaTheme="minorEastAsia"/>
          <w:szCs w:val="21"/>
        </w:rPr>
      </w:pPr>
    </w:p>
    <w:p w14:paraId="585156C5">
      <w:pPr>
        <w:spacing w:line="360" w:lineRule="auto"/>
        <w:jc w:val="center"/>
        <w:rPr>
          <w:rFonts w:asciiTheme="minorEastAsia" w:hAnsiTheme="minorEastAsia" w:eastAsiaTheme="minorEastAsia"/>
          <w:b/>
          <w:bCs/>
          <w:szCs w:val="21"/>
        </w:rPr>
      </w:pPr>
      <w:r>
        <w:rPr>
          <w:rFonts w:asciiTheme="minorEastAsia" w:hAnsiTheme="minorEastAsia" w:eastAsiaTheme="minorEastAsia"/>
          <w:szCs w:val="21"/>
        </w:rPr>
        <w:br w:type="page"/>
      </w:r>
      <w:r>
        <w:rPr>
          <w:rFonts w:hint="eastAsia" w:asciiTheme="minorEastAsia" w:hAnsiTheme="minorEastAsia" w:eastAsiaTheme="minorEastAsia"/>
          <w:b/>
          <w:bCs/>
          <w:szCs w:val="21"/>
        </w:rPr>
        <w:t>目  录</w:t>
      </w:r>
    </w:p>
    <w:p w14:paraId="08C511EB">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"1-4" \h \z </w:instrText>
      </w:r>
      <w:r>
        <w:rPr>
          <w:rFonts w:asciiTheme="minorEastAsia" w:hAnsiTheme="minorEastAsia" w:eastAsiaTheme="minorEastAsia"/>
          <w:szCs w:val="21"/>
        </w:rPr>
        <w:fldChar w:fldCharType="separate"/>
      </w:r>
      <w:r>
        <w:fldChar w:fldCharType="begin"/>
      </w:r>
      <w:r>
        <w:instrText xml:space="preserve"> HYPERLINK \l "_Toc24419" </w:instrText>
      </w:r>
      <w:r>
        <w:fldChar w:fldCharType="separate"/>
      </w:r>
      <w:r>
        <w:t xml:space="preserve">1. </w:t>
      </w:r>
      <w:r>
        <w:rPr>
          <w:rFonts w:hint="eastAsia"/>
        </w:rPr>
        <w:t>概述</w:t>
      </w:r>
      <w:r>
        <w:tab/>
      </w:r>
      <w:r>
        <w:fldChar w:fldCharType="begin"/>
      </w:r>
      <w:r>
        <w:instrText xml:space="preserve"> PAGEREF _Toc24419 \h </w:instrText>
      </w:r>
      <w:r>
        <w:fldChar w:fldCharType="separate"/>
      </w:r>
      <w:r>
        <w:t>1</w:t>
      </w:r>
      <w:r>
        <w:fldChar w:fldCharType="end"/>
      </w:r>
      <w:r>
        <w:fldChar w:fldCharType="end"/>
      </w:r>
    </w:p>
    <w:p w14:paraId="6395A713">
      <w:pPr>
        <w:pStyle w:val="30"/>
        <w:tabs>
          <w:tab w:val="right" w:leader="dot" w:pos="8312"/>
        </w:tabs>
      </w:pPr>
      <w:r>
        <w:fldChar w:fldCharType="begin"/>
      </w:r>
      <w:r>
        <w:instrText xml:space="preserve"> HYPERLINK \l "_Toc23079" </w:instrText>
      </w:r>
      <w:r>
        <w:fldChar w:fldCharType="separate"/>
      </w:r>
      <w:r>
        <w:rPr>
          <w:rFonts w:ascii="仿宋" w:hAnsi="仿宋" w:eastAsia="仿宋" w:cs="仿宋"/>
        </w:rPr>
        <w:t xml:space="preserve">1.1. </w:t>
      </w:r>
      <w:r>
        <w:rPr>
          <w:rFonts w:hint="eastAsia" w:ascii="仿宋" w:hAnsi="仿宋" w:eastAsia="仿宋" w:cs="仿宋"/>
        </w:rPr>
        <w:t>测评目的</w:t>
      </w:r>
      <w:r>
        <w:tab/>
      </w:r>
      <w:r>
        <w:fldChar w:fldCharType="begin"/>
      </w:r>
      <w:r>
        <w:instrText xml:space="preserve"> PAGEREF _Toc23079 \h </w:instrText>
      </w:r>
      <w:r>
        <w:fldChar w:fldCharType="separate"/>
      </w:r>
      <w:r>
        <w:t>1</w:t>
      </w:r>
      <w:r>
        <w:fldChar w:fldCharType="end"/>
      </w:r>
      <w:r>
        <w:fldChar w:fldCharType="end"/>
      </w:r>
    </w:p>
    <w:p w14:paraId="312D6E61">
      <w:pPr>
        <w:pStyle w:val="30"/>
        <w:tabs>
          <w:tab w:val="right" w:leader="dot" w:pos="8312"/>
        </w:tabs>
      </w:pPr>
      <w:r>
        <w:fldChar w:fldCharType="begin"/>
      </w:r>
      <w:r>
        <w:instrText xml:space="preserve"> HYPERLINK \l "_Toc5054" </w:instrText>
      </w:r>
      <w:r>
        <w:fldChar w:fldCharType="separate"/>
      </w:r>
      <w:r>
        <w:rPr>
          <w:rFonts w:ascii="仿宋" w:hAnsi="仿宋" w:eastAsia="仿宋" w:cs="仿宋"/>
        </w:rPr>
        <w:t xml:space="preserve">1.2. </w:t>
      </w:r>
      <w:r>
        <w:rPr>
          <w:rFonts w:hint="eastAsia" w:ascii="仿宋" w:hAnsi="仿宋" w:eastAsia="仿宋" w:cs="仿宋"/>
        </w:rPr>
        <w:t>测评内容概述</w:t>
      </w:r>
      <w:r>
        <w:tab/>
      </w:r>
      <w:r>
        <w:fldChar w:fldCharType="begin"/>
      </w:r>
      <w:r>
        <w:instrText xml:space="preserve"> PAGEREF _Toc5054 \h </w:instrText>
      </w:r>
      <w:r>
        <w:fldChar w:fldCharType="separate"/>
      </w:r>
      <w:r>
        <w:t>1</w:t>
      </w:r>
      <w:r>
        <w:fldChar w:fldCharType="end"/>
      </w:r>
      <w:r>
        <w:fldChar w:fldCharType="end"/>
      </w:r>
    </w:p>
    <w:p w14:paraId="77A84E5C">
      <w:pPr>
        <w:pStyle w:val="30"/>
        <w:tabs>
          <w:tab w:val="right" w:leader="dot" w:pos="8312"/>
        </w:tabs>
      </w:pPr>
      <w:r>
        <w:fldChar w:fldCharType="begin"/>
      </w:r>
      <w:r>
        <w:instrText xml:space="preserve"> HYPERLINK \l "_Toc8961" </w:instrText>
      </w:r>
      <w:r>
        <w:fldChar w:fldCharType="separate"/>
      </w:r>
      <w:r>
        <w:rPr>
          <w:rFonts w:ascii="仿宋" w:hAnsi="仿宋" w:eastAsia="仿宋" w:cs="仿宋"/>
        </w:rPr>
        <w:t xml:space="preserve">1.3. </w:t>
      </w:r>
      <w:r>
        <w:rPr>
          <w:rFonts w:hint="eastAsia" w:ascii="仿宋" w:hAnsi="仿宋" w:eastAsia="仿宋" w:cs="仿宋"/>
        </w:rPr>
        <w:t>测评原则</w:t>
      </w:r>
      <w:r>
        <w:tab/>
      </w:r>
      <w:r>
        <w:fldChar w:fldCharType="begin"/>
      </w:r>
      <w:r>
        <w:instrText xml:space="preserve"> PAGEREF _Toc8961 \h </w:instrText>
      </w:r>
      <w:r>
        <w:fldChar w:fldCharType="separate"/>
      </w:r>
      <w:r>
        <w:t>1</w:t>
      </w:r>
      <w:r>
        <w:fldChar w:fldCharType="end"/>
      </w:r>
      <w:r>
        <w:fldChar w:fldCharType="end"/>
      </w:r>
    </w:p>
    <w:p w14:paraId="2F0B4958">
      <w:pPr>
        <w:pStyle w:val="20"/>
        <w:tabs>
          <w:tab w:val="right" w:leader="dot" w:pos="8312"/>
        </w:tabs>
      </w:pPr>
      <w:r>
        <w:fldChar w:fldCharType="begin"/>
      </w:r>
      <w:r>
        <w:instrText xml:space="preserve"> HYPERLINK \l "_Toc21521" </w:instrText>
      </w:r>
      <w:r>
        <w:fldChar w:fldCharType="separate"/>
      </w:r>
      <w:r>
        <w:t xml:space="preserve">1.3.1. </w:t>
      </w:r>
      <w:r>
        <w:rPr>
          <w:rFonts w:hint="eastAsia"/>
        </w:rPr>
        <w:t>公正要求</w:t>
      </w:r>
      <w:r>
        <w:tab/>
      </w:r>
      <w:r>
        <w:fldChar w:fldCharType="begin"/>
      </w:r>
      <w:r>
        <w:instrText xml:space="preserve"> PAGEREF _Toc21521 \h </w:instrText>
      </w:r>
      <w:r>
        <w:fldChar w:fldCharType="separate"/>
      </w:r>
      <w:r>
        <w:t>1</w:t>
      </w:r>
      <w:r>
        <w:fldChar w:fldCharType="end"/>
      </w:r>
      <w:r>
        <w:fldChar w:fldCharType="end"/>
      </w:r>
    </w:p>
    <w:p w14:paraId="1D894492">
      <w:pPr>
        <w:pStyle w:val="20"/>
        <w:tabs>
          <w:tab w:val="right" w:leader="dot" w:pos="8312"/>
        </w:tabs>
      </w:pPr>
      <w:r>
        <w:fldChar w:fldCharType="begin"/>
      </w:r>
      <w:r>
        <w:instrText xml:space="preserve"> HYPERLINK \l "_Toc11146" </w:instrText>
      </w:r>
      <w:r>
        <w:fldChar w:fldCharType="separate"/>
      </w:r>
      <w:r>
        <w:t xml:space="preserve">1.3.2. </w:t>
      </w:r>
      <w:r>
        <w:rPr>
          <w:rFonts w:hint="eastAsia"/>
        </w:rPr>
        <w:t>时间要求</w:t>
      </w:r>
      <w:r>
        <w:tab/>
      </w:r>
      <w:r>
        <w:fldChar w:fldCharType="begin"/>
      </w:r>
      <w:r>
        <w:instrText xml:space="preserve"> PAGEREF _Toc11146 \h </w:instrText>
      </w:r>
      <w:r>
        <w:fldChar w:fldCharType="separate"/>
      </w:r>
      <w:r>
        <w:t>2</w:t>
      </w:r>
      <w:r>
        <w:fldChar w:fldCharType="end"/>
      </w:r>
      <w:r>
        <w:fldChar w:fldCharType="end"/>
      </w:r>
    </w:p>
    <w:p w14:paraId="77556232">
      <w:pPr>
        <w:pStyle w:val="20"/>
        <w:tabs>
          <w:tab w:val="right" w:leader="dot" w:pos="8312"/>
        </w:tabs>
      </w:pPr>
      <w:r>
        <w:fldChar w:fldCharType="begin"/>
      </w:r>
      <w:r>
        <w:instrText xml:space="preserve"> HYPERLINK \l "_Toc3990" </w:instrText>
      </w:r>
      <w:r>
        <w:fldChar w:fldCharType="separate"/>
      </w:r>
      <w:r>
        <w:t xml:space="preserve">1.3.3. </w:t>
      </w:r>
      <w:r>
        <w:rPr>
          <w:rFonts w:hint="eastAsia"/>
        </w:rPr>
        <w:t>保密要求</w:t>
      </w:r>
      <w:r>
        <w:tab/>
      </w:r>
      <w:r>
        <w:fldChar w:fldCharType="begin"/>
      </w:r>
      <w:r>
        <w:instrText xml:space="preserve"> PAGEREF _Toc3990 \h </w:instrText>
      </w:r>
      <w:r>
        <w:fldChar w:fldCharType="separate"/>
      </w:r>
      <w:r>
        <w:t>2</w:t>
      </w:r>
      <w:r>
        <w:fldChar w:fldCharType="end"/>
      </w:r>
      <w:r>
        <w:fldChar w:fldCharType="end"/>
      </w:r>
    </w:p>
    <w:p w14:paraId="53D5F467">
      <w:pPr>
        <w:pStyle w:val="20"/>
        <w:tabs>
          <w:tab w:val="right" w:leader="dot" w:pos="8312"/>
        </w:tabs>
      </w:pPr>
      <w:r>
        <w:fldChar w:fldCharType="begin"/>
      </w:r>
      <w:r>
        <w:instrText xml:space="preserve"> HYPERLINK \l "_Toc25785" </w:instrText>
      </w:r>
      <w:r>
        <w:fldChar w:fldCharType="separate"/>
      </w:r>
      <w:r>
        <w:t xml:space="preserve">1.3.4. </w:t>
      </w:r>
      <w:r>
        <w:rPr>
          <w:rFonts w:hint="eastAsia"/>
        </w:rPr>
        <w:t>诚信要求</w:t>
      </w:r>
      <w:r>
        <w:tab/>
      </w:r>
      <w:r>
        <w:fldChar w:fldCharType="begin"/>
      </w:r>
      <w:r>
        <w:instrText xml:space="preserve"> PAGEREF _Toc25785 \h </w:instrText>
      </w:r>
      <w:r>
        <w:fldChar w:fldCharType="separate"/>
      </w:r>
      <w:r>
        <w:t>2</w:t>
      </w:r>
      <w:r>
        <w:fldChar w:fldCharType="end"/>
      </w:r>
      <w:r>
        <w:fldChar w:fldCharType="end"/>
      </w:r>
    </w:p>
    <w:p w14:paraId="2185192D">
      <w:pPr>
        <w:pStyle w:val="20"/>
        <w:tabs>
          <w:tab w:val="right" w:leader="dot" w:pos="8312"/>
        </w:tabs>
      </w:pPr>
      <w:r>
        <w:fldChar w:fldCharType="begin"/>
      </w:r>
      <w:r>
        <w:instrText xml:space="preserve"> HYPERLINK \l "_Toc24427" </w:instrText>
      </w:r>
      <w:r>
        <w:fldChar w:fldCharType="separate"/>
      </w:r>
      <w:r>
        <w:t xml:space="preserve">1.3.5. </w:t>
      </w:r>
      <w:r>
        <w:rPr>
          <w:rFonts w:hint="eastAsia"/>
        </w:rPr>
        <w:t>其它要求</w:t>
      </w:r>
      <w:r>
        <w:tab/>
      </w:r>
      <w:r>
        <w:fldChar w:fldCharType="begin"/>
      </w:r>
      <w:r>
        <w:instrText xml:space="preserve"> PAGEREF _Toc24427 \h </w:instrText>
      </w:r>
      <w:r>
        <w:fldChar w:fldCharType="separate"/>
      </w:r>
      <w:r>
        <w:t>2</w:t>
      </w:r>
      <w:r>
        <w:fldChar w:fldCharType="end"/>
      </w:r>
      <w:r>
        <w:fldChar w:fldCharType="end"/>
      </w:r>
    </w:p>
    <w:p w14:paraId="3DBA2C5A">
      <w:pPr>
        <w:pStyle w:val="30"/>
        <w:tabs>
          <w:tab w:val="right" w:leader="dot" w:pos="8312"/>
        </w:tabs>
      </w:pPr>
      <w:r>
        <w:fldChar w:fldCharType="begin"/>
      </w:r>
      <w:r>
        <w:instrText xml:space="preserve"> HYPERLINK \l "_Toc18226" </w:instrText>
      </w:r>
      <w:r>
        <w:fldChar w:fldCharType="separate"/>
      </w:r>
      <w:r>
        <w:rPr>
          <w:rFonts w:ascii="仿宋" w:hAnsi="仿宋" w:eastAsia="仿宋" w:cs="仿宋"/>
        </w:rPr>
        <w:t xml:space="preserve">1.4. </w:t>
      </w:r>
      <w:r>
        <w:rPr>
          <w:rFonts w:hint="eastAsia" w:ascii="仿宋" w:hAnsi="仿宋" w:eastAsia="仿宋" w:cs="仿宋"/>
        </w:rPr>
        <w:t>评测小组</w:t>
      </w:r>
      <w:r>
        <w:tab/>
      </w:r>
      <w:r>
        <w:fldChar w:fldCharType="begin"/>
      </w:r>
      <w:r>
        <w:instrText xml:space="preserve"> PAGEREF _Toc18226 \h </w:instrText>
      </w:r>
      <w:r>
        <w:fldChar w:fldCharType="separate"/>
      </w:r>
      <w:r>
        <w:t>3</w:t>
      </w:r>
      <w:r>
        <w:fldChar w:fldCharType="end"/>
      </w:r>
      <w:r>
        <w:fldChar w:fldCharType="end"/>
      </w:r>
    </w:p>
    <w:p w14:paraId="0E446EE2">
      <w:pPr>
        <w:pStyle w:val="30"/>
        <w:tabs>
          <w:tab w:val="right" w:leader="dot" w:pos="8312"/>
        </w:tabs>
      </w:pPr>
      <w:r>
        <w:fldChar w:fldCharType="begin"/>
      </w:r>
      <w:r>
        <w:instrText xml:space="preserve"> HYPERLINK \l "_Toc30134" </w:instrText>
      </w:r>
      <w:r>
        <w:fldChar w:fldCharType="separate"/>
      </w:r>
      <w:r>
        <w:rPr>
          <w:rFonts w:ascii="仿宋" w:hAnsi="仿宋" w:eastAsia="仿宋" w:cs="仿宋"/>
        </w:rPr>
        <w:t xml:space="preserve">1.5. </w:t>
      </w:r>
      <w:r>
        <w:rPr>
          <w:rFonts w:hint="eastAsia" w:ascii="仿宋" w:hAnsi="仿宋" w:eastAsia="仿宋" w:cs="仿宋"/>
        </w:rPr>
        <w:t>测评计划</w:t>
      </w:r>
      <w:r>
        <w:tab/>
      </w:r>
      <w:r>
        <w:fldChar w:fldCharType="begin"/>
      </w:r>
      <w:r>
        <w:instrText xml:space="preserve"> PAGEREF _Toc30134 \h </w:instrText>
      </w:r>
      <w:r>
        <w:fldChar w:fldCharType="separate"/>
      </w:r>
      <w:r>
        <w:t>3</w:t>
      </w:r>
      <w:r>
        <w:fldChar w:fldCharType="end"/>
      </w:r>
      <w:r>
        <w:fldChar w:fldCharType="end"/>
      </w:r>
    </w:p>
    <w:p w14:paraId="51EABE8B">
      <w:pPr>
        <w:pStyle w:val="27"/>
        <w:tabs>
          <w:tab w:val="right" w:leader="dot" w:pos="8312"/>
        </w:tabs>
      </w:pPr>
      <w:r>
        <w:fldChar w:fldCharType="begin"/>
      </w:r>
      <w:r>
        <w:instrText xml:space="preserve"> HYPERLINK \l "_Toc12364" </w:instrText>
      </w:r>
      <w:r>
        <w:fldChar w:fldCharType="separate"/>
      </w:r>
      <w:r>
        <w:t xml:space="preserve">2. </w:t>
      </w:r>
      <w:r>
        <w:rPr>
          <w:rFonts w:hint="eastAsia"/>
        </w:rPr>
        <w:t>评测案例</w:t>
      </w:r>
      <w:r>
        <w:tab/>
      </w:r>
      <w:r>
        <w:fldChar w:fldCharType="begin"/>
      </w:r>
      <w:r>
        <w:instrText xml:space="preserve"> PAGEREF _Toc12364 \h </w:instrText>
      </w:r>
      <w:r>
        <w:fldChar w:fldCharType="separate"/>
      </w:r>
      <w:r>
        <w:t>3</w:t>
      </w:r>
      <w:r>
        <w:fldChar w:fldCharType="end"/>
      </w:r>
      <w:r>
        <w:fldChar w:fldCharType="end"/>
      </w:r>
    </w:p>
    <w:p w14:paraId="7A056224">
      <w:pPr>
        <w:pStyle w:val="30"/>
        <w:tabs>
          <w:tab w:val="right" w:leader="dot" w:pos="8312"/>
        </w:tabs>
      </w:pPr>
      <w:r>
        <w:fldChar w:fldCharType="begin"/>
      </w:r>
      <w:r>
        <w:instrText xml:space="preserve"> HYPERLINK \l "_Toc1813" </w:instrText>
      </w:r>
      <w:r>
        <w:fldChar w:fldCharType="separate"/>
      </w:r>
      <w:r>
        <w:rPr>
          <w:rFonts w:ascii="仿宋" w:hAnsi="仿宋" w:eastAsia="仿宋" w:cs="仿宋"/>
        </w:rPr>
        <w:t xml:space="preserve">2.1. </w:t>
      </w:r>
      <w:r>
        <w:rPr>
          <w:rFonts w:hint="eastAsia" w:ascii="仿宋" w:hAnsi="仿宋" w:eastAsia="仿宋" w:cs="仿宋"/>
        </w:rPr>
        <w:t>业务方案评测</w:t>
      </w:r>
      <w:r>
        <w:tab/>
      </w:r>
      <w:r>
        <w:fldChar w:fldCharType="begin"/>
      </w:r>
      <w:r>
        <w:instrText xml:space="preserve"> PAGEREF _Toc1813 \h </w:instrText>
      </w:r>
      <w:r>
        <w:fldChar w:fldCharType="separate"/>
      </w:r>
      <w:r>
        <w:t>3</w:t>
      </w:r>
      <w:r>
        <w:fldChar w:fldCharType="end"/>
      </w:r>
      <w:r>
        <w:fldChar w:fldCharType="end"/>
      </w:r>
    </w:p>
    <w:p w14:paraId="60B717DC">
      <w:pPr>
        <w:pStyle w:val="20"/>
        <w:tabs>
          <w:tab w:val="right" w:leader="dot" w:pos="8312"/>
        </w:tabs>
      </w:pPr>
      <w:r>
        <w:fldChar w:fldCharType="begin"/>
      </w:r>
      <w:r>
        <w:instrText xml:space="preserve"> HYPERLINK \l "_Toc9288" </w:instrText>
      </w:r>
      <w:r>
        <w:fldChar w:fldCharType="separate"/>
      </w:r>
      <w:r>
        <w:t xml:space="preserve">2.1.1. </w:t>
      </w:r>
      <w:r>
        <w:rPr>
          <w:rFonts w:hint="eastAsia"/>
        </w:rPr>
        <w:t>客户数据整合与统一视图（360视图）</w:t>
      </w:r>
      <w:r>
        <w:tab/>
      </w:r>
      <w:r>
        <w:fldChar w:fldCharType="begin"/>
      </w:r>
      <w:r>
        <w:instrText xml:space="preserve"> PAGEREF _Toc9288 \h </w:instrText>
      </w:r>
      <w:r>
        <w:fldChar w:fldCharType="separate"/>
      </w:r>
      <w:r>
        <w:t>3</w:t>
      </w:r>
      <w:r>
        <w:fldChar w:fldCharType="end"/>
      </w:r>
      <w:r>
        <w:fldChar w:fldCharType="end"/>
      </w:r>
    </w:p>
    <w:p w14:paraId="6DF60957">
      <w:pPr>
        <w:pStyle w:val="20"/>
        <w:tabs>
          <w:tab w:val="right" w:leader="dot" w:pos="8312"/>
        </w:tabs>
      </w:pPr>
      <w:r>
        <w:fldChar w:fldCharType="begin"/>
      </w:r>
      <w:r>
        <w:instrText xml:space="preserve"> HYPERLINK \l "_Toc2168" </w:instrText>
      </w:r>
      <w:r>
        <w:fldChar w:fldCharType="separate"/>
      </w:r>
      <w:r>
        <w:t xml:space="preserve">2.1.2. </w:t>
      </w:r>
      <w:r>
        <w:rPr>
          <w:rFonts w:hint="eastAsia"/>
        </w:rPr>
        <w:t>客户细分与精准营销</w:t>
      </w:r>
      <w:r>
        <w:tab/>
      </w:r>
      <w:r>
        <w:fldChar w:fldCharType="begin"/>
      </w:r>
      <w:r>
        <w:instrText xml:space="preserve"> PAGEREF _Toc2168 \h </w:instrText>
      </w:r>
      <w:r>
        <w:fldChar w:fldCharType="separate"/>
      </w:r>
      <w:r>
        <w:t>4</w:t>
      </w:r>
      <w:r>
        <w:fldChar w:fldCharType="end"/>
      </w:r>
      <w:r>
        <w:fldChar w:fldCharType="end"/>
      </w:r>
    </w:p>
    <w:p w14:paraId="51C9C59E">
      <w:pPr>
        <w:pStyle w:val="20"/>
        <w:tabs>
          <w:tab w:val="right" w:leader="dot" w:pos="8312"/>
        </w:tabs>
      </w:pPr>
      <w:r>
        <w:fldChar w:fldCharType="begin"/>
      </w:r>
      <w:r>
        <w:instrText xml:space="preserve"> HYPERLINK \l "_Toc1856" </w:instrText>
      </w:r>
      <w:r>
        <w:fldChar w:fldCharType="separate"/>
      </w:r>
      <w:r>
        <w:t xml:space="preserve">2.1.3. </w:t>
      </w:r>
      <w:r>
        <w:rPr>
          <w:rFonts w:hint="eastAsia"/>
        </w:rPr>
        <w:t>客户生命周期管理</w:t>
      </w:r>
      <w:r>
        <w:tab/>
      </w:r>
      <w:r>
        <w:fldChar w:fldCharType="begin"/>
      </w:r>
      <w:r>
        <w:instrText xml:space="preserve"> PAGEREF _Toc1856 \h </w:instrText>
      </w:r>
      <w:r>
        <w:fldChar w:fldCharType="separate"/>
      </w:r>
      <w:r>
        <w:t>5</w:t>
      </w:r>
      <w:r>
        <w:fldChar w:fldCharType="end"/>
      </w:r>
      <w:r>
        <w:fldChar w:fldCharType="end"/>
      </w:r>
    </w:p>
    <w:p w14:paraId="167C2F47">
      <w:pPr>
        <w:pStyle w:val="20"/>
        <w:tabs>
          <w:tab w:val="right" w:leader="dot" w:pos="8312"/>
        </w:tabs>
      </w:pPr>
      <w:r>
        <w:fldChar w:fldCharType="begin"/>
      </w:r>
      <w:r>
        <w:instrText xml:space="preserve"> HYPERLINK \l "_Toc11472" </w:instrText>
      </w:r>
      <w:r>
        <w:fldChar w:fldCharType="separate"/>
      </w:r>
      <w:r>
        <w:t xml:space="preserve">2.1.4. </w:t>
      </w:r>
      <w:r>
        <w:rPr>
          <w:rFonts w:hint="eastAsia"/>
        </w:rPr>
        <w:t>多渠道客户互动</w:t>
      </w:r>
      <w:r>
        <w:tab/>
      </w:r>
      <w:r>
        <w:fldChar w:fldCharType="begin"/>
      </w:r>
      <w:r>
        <w:instrText xml:space="preserve"> PAGEREF _Toc11472 \h </w:instrText>
      </w:r>
      <w:r>
        <w:fldChar w:fldCharType="separate"/>
      </w:r>
      <w:r>
        <w:t>6</w:t>
      </w:r>
      <w:r>
        <w:fldChar w:fldCharType="end"/>
      </w:r>
      <w:r>
        <w:fldChar w:fldCharType="end"/>
      </w:r>
    </w:p>
    <w:p w14:paraId="4063B137">
      <w:pPr>
        <w:pStyle w:val="20"/>
        <w:tabs>
          <w:tab w:val="right" w:leader="dot" w:pos="8312"/>
        </w:tabs>
      </w:pPr>
      <w:r>
        <w:fldChar w:fldCharType="begin"/>
      </w:r>
      <w:r>
        <w:instrText xml:space="preserve"> HYPERLINK \l "_Toc10906" </w:instrText>
      </w:r>
      <w:r>
        <w:fldChar w:fldCharType="separate"/>
      </w:r>
      <w:r>
        <w:t xml:space="preserve">2.1.5. </w:t>
      </w:r>
      <w:r>
        <w:rPr>
          <w:rFonts w:hint="eastAsia"/>
        </w:rPr>
        <w:t>商机整合与提醒</w:t>
      </w:r>
      <w:r>
        <w:tab/>
      </w:r>
      <w:r>
        <w:fldChar w:fldCharType="begin"/>
      </w:r>
      <w:r>
        <w:instrText xml:space="preserve"> PAGEREF _Toc10906 \h </w:instrText>
      </w:r>
      <w:r>
        <w:fldChar w:fldCharType="separate"/>
      </w:r>
      <w:r>
        <w:t>6</w:t>
      </w:r>
      <w:r>
        <w:fldChar w:fldCharType="end"/>
      </w:r>
      <w:r>
        <w:fldChar w:fldCharType="end"/>
      </w:r>
    </w:p>
    <w:p w14:paraId="0ADB65C0">
      <w:pPr>
        <w:pStyle w:val="20"/>
        <w:tabs>
          <w:tab w:val="right" w:leader="dot" w:pos="8312"/>
        </w:tabs>
      </w:pPr>
      <w:r>
        <w:fldChar w:fldCharType="begin"/>
      </w:r>
      <w:r>
        <w:instrText xml:space="preserve"> HYPERLINK \l "_Toc10556" </w:instrText>
      </w:r>
      <w:r>
        <w:fldChar w:fldCharType="separate"/>
      </w:r>
      <w:r>
        <w:t xml:space="preserve">2.1.6. </w:t>
      </w:r>
      <w:r>
        <w:rPr>
          <w:rFonts w:hint="eastAsia"/>
        </w:rPr>
        <w:t>客户服务及触客活动量情况</w:t>
      </w:r>
      <w:r>
        <w:tab/>
      </w:r>
      <w:r>
        <w:fldChar w:fldCharType="begin"/>
      </w:r>
      <w:r>
        <w:instrText xml:space="preserve"> PAGEREF _Toc10556 \h </w:instrText>
      </w:r>
      <w:r>
        <w:fldChar w:fldCharType="separate"/>
      </w:r>
      <w:r>
        <w:t>7</w:t>
      </w:r>
      <w:r>
        <w:fldChar w:fldCharType="end"/>
      </w:r>
      <w:r>
        <w:fldChar w:fldCharType="end"/>
      </w:r>
    </w:p>
    <w:p w14:paraId="5E03E269">
      <w:pPr>
        <w:pStyle w:val="20"/>
        <w:tabs>
          <w:tab w:val="right" w:leader="dot" w:pos="8312"/>
        </w:tabs>
      </w:pPr>
      <w:r>
        <w:fldChar w:fldCharType="begin"/>
      </w:r>
      <w:r>
        <w:instrText xml:space="preserve"> HYPERLINK \l "_Toc15107" </w:instrText>
      </w:r>
      <w:r>
        <w:fldChar w:fldCharType="separate"/>
      </w:r>
      <w:r>
        <w:t xml:space="preserve">2.1.7. </w:t>
      </w:r>
      <w:r>
        <w:rPr>
          <w:rFonts w:hint="eastAsia"/>
        </w:rPr>
        <w:t>管户分配与交接</w:t>
      </w:r>
      <w:r>
        <w:tab/>
      </w:r>
      <w:r>
        <w:fldChar w:fldCharType="begin"/>
      </w:r>
      <w:r>
        <w:instrText xml:space="preserve"> PAGEREF _Toc15107 \h </w:instrText>
      </w:r>
      <w:r>
        <w:fldChar w:fldCharType="separate"/>
      </w:r>
      <w:r>
        <w:t>7</w:t>
      </w:r>
      <w:r>
        <w:fldChar w:fldCharType="end"/>
      </w:r>
      <w:r>
        <w:fldChar w:fldCharType="end"/>
      </w:r>
    </w:p>
    <w:p w14:paraId="18C1EA1E">
      <w:pPr>
        <w:pStyle w:val="20"/>
        <w:tabs>
          <w:tab w:val="right" w:leader="dot" w:pos="8312"/>
        </w:tabs>
      </w:pPr>
      <w:r>
        <w:fldChar w:fldCharType="begin"/>
      </w:r>
      <w:r>
        <w:instrText xml:space="preserve"> HYPERLINK \l "_Toc15259" </w:instrText>
      </w:r>
      <w:r>
        <w:fldChar w:fldCharType="separate"/>
      </w:r>
      <w:r>
        <w:t xml:space="preserve">2.1.8. </w:t>
      </w:r>
      <w:r>
        <w:rPr>
          <w:rFonts w:hint="eastAsia"/>
        </w:rPr>
        <w:t>8</w:t>
      </w:r>
      <w:r>
        <w:t>.</w:t>
      </w:r>
      <w:r>
        <w:rPr>
          <w:rFonts w:hint="eastAsia"/>
        </w:rPr>
        <w:t>首页展示</w:t>
      </w:r>
      <w:r>
        <w:tab/>
      </w:r>
      <w:r>
        <w:fldChar w:fldCharType="begin"/>
      </w:r>
      <w:r>
        <w:instrText xml:space="preserve"> PAGEREF _Toc15259 \h </w:instrText>
      </w:r>
      <w:r>
        <w:fldChar w:fldCharType="separate"/>
      </w:r>
      <w:r>
        <w:t>8</w:t>
      </w:r>
      <w:r>
        <w:fldChar w:fldCharType="end"/>
      </w:r>
      <w:r>
        <w:fldChar w:fldCharType="end"/>
      </w:r>
    </w:p>
    <w:p w14:paraId="357571E8">
      <w:pPr>
        <w:pStyle w:val="30"/>
        <w:tabs>
          <w:tab w:val="right" w:leader="dot" w:pos="8312"/>
        </w:tabs>
      </w:pPr>
      <w:r>
        <w:fldChar w:fldCharType="begin"/>
      </w:r>
      <w:r>
        <w:instrText xml:space="preserve"> HYPERLINK \l "_Toc15158" </w:instrText>
      </w:r>
      <w:r>
        <w:fldChar w:fldCharType="separate"/>
      </w:r>
      <w:r>
        <w:rPr>
          <w:rFonts w:ascii="仿宋" w:hAnsi="仿宋" w:eastAsia="仿宋" w:cs="仿宋"/>
        </w:rPr>
        <w:t xml:space="preserve">2.2. </w:t>
      </w:r>
      <w:r>
        <w:rPr>
          <w:rFonts w:hint="eastAsia" w:ascii="仿宋" w:hAnsi="仿宋" w:eastAsia="仿宋" w:cs="仿宋"/>
        </w:rPr>
        <w:t>技术方案评测</w:t>
      </w:r>
      <w:r>
        <w:tab/>
      </w:r>
      <w:r>
        <w:fldChar w:fldCharType="begin"/>
      </w:r>
      <w:r>
        <w:instrText xml:space="preserve"> PAGEREF _Toc15158 \h </w:instrText>
      </w:r>
      <w:r>
        <w:fldChar w:fldCharType="separate"/>
      </w:r>
      <w:r>
        <w:t>9</w:t>
      </w:r>
      <w:r>
        <w:fldChar w:fldCharType="end"/>
      </w:r>
      <w:r>
        <w:fldChar w:fldCharType="end"/>
      </w:r>
    </w:p>
    <w:p w14:paraId="000D1F20">
      <w:pPr>
        <w:pStyle w:val="20"/>
        <w:tabs>
          <w:tab w:val="right" w:leader="dot" w:pos="8312"/>
        </w:tabs>
      </w:pPr>
      <w:r>
        <w:fldChar w:fldCharType="begin"/>
      </w:r>
      <w:r>
        <w:instrText xml:space="preserve"> HYPERLINK \l "_Toc3756" </w:instrText>
      </w:r>
      <w:r>
        <w:fldChar w:fldCharType="separate"/>
      </w:r>
      <w:r>
        <w:t xml:space="preserve">2.2.1. </w:t>
      </w:r>
      <w:r>
        <w:rPr>
          <w:rFonts w:hint="eastAsia"/>
        </w:rPr>
        <w:t>产品技术能力</w:t>
      </w:r>
      <w:r>
        <w:tab/>
      </w:r>
      <w:r>
        <w:fldChar w:fldCharType="begin"/>
      </w:r>
      <w:r>
        <w:instrText xml:space="preserve"> PAGEREF _Toc3756 \h </w:instrText>
      </w:r>
      <w:r>
        <w:fldChar w:fldCharType="separate"/>
      </w:r>
      <w:r>
        <w:t>9</w:t>
      </w:r>
      <w:r>
        <w:fldChar w:fldCharType="end"/>
      </w:r>
      <w:r>
        <w:fldChar w:fldCharType="end"/>
      </w:r>
    </w:p>
    <w:p w14:paraId="200ADAFE">
      <w:pPr>
        <w:pStyle w:val="20"/>
        <w:tabs>
          <w:tab w:val="right" w:leader="dot" w:pos="8312"/>
        </w:tabs>
      </w:pPr>
      <w:r>
        <w:fldChar w:fldCharType="begin"/>
      </w:r>
      <w:r>
        <w:instrText xml:space="preserve"> HYPERLINK \l "_Toc23076" </w:instrText>
      </w:r>
      <w:r>
        <w:fldChar w:fldCharType="separate"/>
      </w:r>
      <w:r>
        <w:t xml:space="preserve">2.2.2. </w:t>
      </w:r>
      <w:r>
        <w:rPr>
          <w:rFonts w:hint="eastAsia"/>
        </w:rPr>
        <w:t>客户数据加工能力</w:t>
      </w:r>
      <w:r>
        <w:tab/>
      </w:r>
      <w:r>
        <w:fldChar w:fldCharType="begin"/>
      </w:r>
      <w:r>
        <w:instrText xml:space="preserve"> PAGEREF _Toc23076 \h </w:instrText>
      </w:r>
      <w:r>
        <w:fldChar w:fldCharType="separate"/>
      </w:r>
      <w:r>
        <w:t>9</w:t>
      </w:r>
      <w:r>
        <w:fldChar w:fldCharType="end"/>
      </w:r>
      <w:r>
        <w:fldChar w:fldCharType="end"/>
      </w:r>
    </w:p>
    <w:p w14:paraId="3C98394B">
      <w:pPr>
        <w:pStyle w:val="27"/>
        <w:tabs>
          <w:tab w:val="right" w:leader="dot" w:pos="8312"/>
        </w:tabs>
      </w:pPr>
      <w:r>
        <w:fldChar w:fldCharType="begin"/>
      </w:r>
      <w:r>
        <w:instrText xml:space="preserve"> HYPERLINK \l "_Toc12318" </w:instrText>
      </w:r>
      <w:r>
        <w:fldChar w:fldCharType="separate"/>
      </w:r>
      <w:r>
        <w:t xml:space="preserve">3. </w:t>
      </w:r>
      <w:r>
        <w:rPr>
          <w:rFonts w:hint="eastAsia"/>
        </w:rPr>
        <w:t>评分规则</w:t>
      </w:r>
      <w:r>
        <w:tab/>
      </w:r>
      <w:r>
        <w:fldChar w:fldCharType="begin"/>
      </w:r>
      <w:r>
        <w:instrText xml:space="preserve"> PAGEREF _Toc12318 \h </w:instrText>
      </w:r>
      <w:r>
        <w:fldChar w:fldCharType="separate"/>
      </w:r>
      <w:r>
        <w:t>10</w:t>
      </w:r>
      <w:r>
        <w:fldChar w:fldCharType="end"/>
      </w:r>
      <w:r>
        <w:fldChar w:fldCharType="end"/>
      </w:r>
    </w:p>
    <w:p w14:paraId="468CBCDA">
      <w:pPr>
        <w:pStyle w:val="27"/>
        <w:tabs>
          <w:tab w:val="right" w:leader="dot" w:pos="8312"/>
        </w:tabs>
      </w:pPr>
      <w:r>
        <w:fldChar w:fldCharType="begin"/>
      </w:r>
      <w:r>
        <w:instrText xml:space="preserve"> HYPERLINK \l "_Toc10040" </w:instrText>
      </w:r>
      <w:r>
        <w:fldChar w:fldCharType="separate"/>
      </w:r>
      <w:r>
        <w:t xml:space="preserve">4. </w:t>
      </w:r>
      <w:r>
        <w:rPr>
          <w:rFonts w:hint="eastAsia"/>
        </w:rPr>
        <w:t>测评方式</w:t>
      </w:r>
      <w:r>
        <w:tab/>
      </w:r>
      <w:r>
        <w:fldChar w:fldCharType="begin"/>
      </w:r>
      <w:r>
        <w:instrText xml:space="preserve"> PAGEREF _Toc10040 \h </w:instrText>
      </w:r>
      <w:r>
        <w:fldChar w:fldCharType="separate"/>
      </w:r>
      <w:r>
        <w:t>12</w:t>
      </w:r>
      <w:r>
        <w:fldChar w:fldCharType="end"/>
      </w:r>
      <w:r>
        <w:fldChar w:fldCharType="end"/>
      </w:r>
    </w:p>
    <w:p w14:paraId="4E76E561">
      <w:pPr>
        <w:pStyle w:val="27"/>
        <w:tabs>
          <w:tab w:val="left" w:pos="1260"/>
          <w:tab w:val="right" w:leader="dot" w:pos="8302"/>
        </w:tabs>
        <w:rPr>
          <w:rFonts w:asciiTheme="minorEastAsia" w:hAnsiTheme="minorEastAsia" w:eastAsiaTheme="minorEastAsia"/>
          <w:szCs w:val="21"/>
        </w:rPr>
      </w:pPr>
      <w:r>
        <w:rPr>
          <w:rFonts w:asciiTheme="minorEastAsia" w:hAnsiTheme="minorEastAsia" w:eastAsiaTheme="minorEastAsia"/>
          <w:szCs w:val="21"/>
        </w:rPr>
        <w:fldChar w:fldCharType="end"/>
      </w:r>
    </w:p>
    <w:p w14:paraId="7C64BCD9">
      <w:pPr>
        <w:pStyle w:val="4"/>
        <w:sectPr>
          <w:headerReference r:id="rId3" w:type="default"/>
          <w:pgSz w:w="11906" w:h="16838"/>
          <w:pgMar w:top="1440" w:right="1797" w:bottom="1440" w:left="1797" w:header="851" w:footer="992" w:gutter="0"/>
          <w:cols w:space="425" w:num="1"/>
          <w:docGrid w:type="lines" w:linePitch="312" w:charSpace="0"/>
        </w:sectPr>
      </w:pPr>
    </w:p>
    <w:p w14:paraId="5885C9E8">
      <w:pPr>
        <w:pStyle w:val="4"/>
      </w:pPr>
      <w:bookmarkStart w:id="0" w:name="_Toc24419"/>
      <w:bookmarkStart w:id="1" w:name="_Toc886"/>
      <w:bookmarkStart w:id="2" w:name="_Toc16672673"/>
      <w:r>
        <w:rPr>
          <w:rFonts w:hint="eastAsia"/>
        </w:rPr>
        <w:t>概述</w:t>
      </w:r>
      <w:bookmarkEnd w:id="0"/>
      <w:bookmarkEnd w:id="1"/>
    </w:p>
    <w:bookmarkEnd w:id="2"/>
    <w:p w14:paraId="57B13F0D">
      <w:pPr>
        <w:pStyle w:val="5"/>
        <w:rPr>
          <w:rFonts w:ascii="仿宋" w:hAnsi="仿宋" w:eastAsia="仿宋" w:cs="仿宋"/>
        </w:rPr>
      </w:pPr>
      <w:bookmarkStart w:id="3" w:name="_Toc16672674"/>
      <w:bookmarkStart w:id="4" w:name="_Toc31283"/>
      <w:bookmarkStart w:id="5" w:name="_Toc23079"/>
      <w:r>
        <w:rPr>
          <w:rFonts w:hint="eastAsia" w:ascii="仿宋" w:hAnsi="仿宋" w:eastAsia="仿宋" w:cs="仿宋"/>
        </w:rPr>
        <w:t>测评目的</w:t>
      </w:r>
      <w:bookmarkEnd w:id="3"/>
      <w:bookmarkEnd w:id="4"/>
      <w:bookmarkEnd w:id="5"/>
    </w:p>
    <w:p w14:paraId="62D95BBD">
      <w:pPr>
        <w:pStyle w:val="18"/>
        <w:ind w:firstLine="560"/>
      </w:pPr>
      <w:bookmarkStart w:id="6" w:name="_Toc299356606"/>
      <w:r>
        <w:rPr>
          <w:rFonts w:hint="eastAsia"/>
        </w:rPr>
        <w:t>本次POC针对我行</w:t>
      </w:r>
      <w:r>
        <w:rPr>
          <w:rFonts w:hint="eastAsia"/>
          <w:lang w:val="en-US" w:eastAsia="zh-CN"/>
        </w:rPr>
        <w:t>对公</w:t>
      </w:r>
      <w:r>
        <w:rPr>
          <w:rFonts w:hint="eastAsia"/>
        </w:rPr>
        <w:t>CRM系统建设项目(以下简称“CRM项目”)的核心需求，重点验证意向供应商</w:t>
      </w:r>
      <w:bookmarkEnd w:id="6"/>
      <w:r>
        <w:rPr>
          <w:rFonts w:hint="eastAsia"/>
        </w:rPr>
        <w:t>（以下简称“厂商”）同类产品的成熟度和适用性，考察CRM系统建设的业务能力、技术能力和实施能力。</w:t>
      </w:r>
    </w:p>
    <w:p w14:paraId="1B36E727">
      <w:pPr>
        <w:pStyle w:val="5"/>
        <w:rPr>
          <w:rFonts w:ascii="仿宋" w:hAnsi="仿宋" w:eastAsia="仿宋" w:cs="仿宋"/>
        </w:rPr>
      </w:pPr>
      <w:bookmarkStart w:id="7" w:name="_Toc5054"/>
      <w:bookmarkStart w:id="8" w:name="_Toc25264"/>
      <w:bookmarkStart w:id="9" w:name="_Toc16672675"/>
      <w:r>
        <w:rPr>
          <w:rFonts w:hint="eastAsia" w:ascii="仿宋" w:hAnsi="仿宋" w:eastAsia="仿宋" w:cs="仿宋"/>
        </w:rPr>
        <w:t>测评内容概述</w:t>
      </w:r>
      <w:bookmarkEnd w:id="7"/>
      <w:bookmarkEnd w:id="8"/>
      <w:bookmarkEnd w:id="9"/>
    </w:p>
    <w:p w14:paraId="3EFB42B5">
      <w:pPr>
        <w:pStyle w:val="18"/>
        <w:ind w:firstLine="560"/>
      </w:pPr>
      <w:bookmarkStart w:id="10" w:name="_Toc418023750"/>
      <w:r>
        <w:rPr>
          <w:rFonts w:hint="eastAsia"/>
        </w:rPr>
        <w:t>本项目测评内容将从业务需求满足度、关键功能模块需求满足度、非功能性需求的满足度等多个维度进行测评。</w:t>
      </w:r>
    </w:p>
    <w:p w14:paraId="406821FA">
      <w:pPr>
        <w:pStyle w:val="18"/>
        <w:numPr>
          <w:ilvl w:val="0"/>
          <w:numId w:val="8"/>
        </w:numPr>
        <w:ind w:firstLine="560"/>
      </w:pPr>
      <w:r>
        <w:rPr>
          <w:rFonts w:hint="eastAsia"/>
        </w:rPr>
        <w:t>业务需求满足度：产品及实施方案是否覆盖我行业务场景；</w:t>
      </w:r>
    </w:p>
    <w:p w14:paraId="3C43DD35">
      <w:pPr>
        <w:pStyle w:val="18"/>
        <w:numPr>
          <w:ilvl w:val="0"/>
          <w:numId w:val="8"/>
        </w:numPr>
        <w:ind w:firstLine="560"/>
      </w:pPr>
      <w:r>
        <w:rPr>
          <w:rFonts w:hint="eastAsia"/>
        </w:rPr>
        <w:t>关键功能模块需求满足度：</w:t>
      </w:r>
      <w:r>
        <w:rPr>
          <w:rFonts w:hint="eastAsia"/>
          <w:highlight w:val="none"/>
        </w:rPr>
        <w:t>对客户管理、</w:t>
      </w:r>
      <w:r>
        <w:rPr>
          <w:rFonts w:hint="eastAsia"/>
          <w:highlight w:val="none"/>
          <w:lang w:val="en-US" w:eastAsia="zh-CN"/>
        </w:rPr>
        <w:t>营销管理</w:t>
      </w:r>
      <w:r>
        <w:rPr>
          <w:rFonts w:hint="eastAsia"/>
          <w:highlight w:val="none"/>
        </w:rPr>
        <w:t>、</w:t>
      </w:r>
      <w:r>
        <w:rPr>
          <w:rFonts w:hint="eastAsia"/>
          <w:highlight w:val="none"/>
          <w:lang w:val="en-US" w:eastAsia="zh-CN"/>
        </w:rPr>
        <w:t>经营管理</w:t>
      </w:r>
      <w:r>
        <w:rPr>
          <w:rFonts w:hint="eastAsia"/>
          <w:highlight w:val="none"/>
        </w:rPr>
        <w:t>等</w:t>
      </w:r>
      <w:r>
        <w:rPr>
          <w:rFonts w:hint="eastAsia"/>
        </w:rPr>
        <w:t>关键功能模块的功能等进行评测，是否满足我行客户管理赋能和营销赋能业务需求；</w:t>
      </w:r>
    </w:p>
    <w:p w14:paraId="2BE5F42A">
      <w:pPr>
        <w:pStyle w:val="18"/>
        <w:numPr>
          <w:ilvl w:val="0"/>
          <w:numId w:val="8"/>
        </w:numPr>
        <w:ind w:firstLine="560"/>
      </w:pPr>
      <w:r>
        <w:rPr>
          <w:rFonts w:hint="eastAsia"/>
        </w:rPr>
        <w:t>非功能需求满足度：平台架构、扩展性、可运维可管理等方面是否符合我行要求。</w:t>
      </w:r>
    </w:p>
    <w:p w14:paraId="243D513E">
      <w:pPr>
        <w:pStyle w:val="5"/>
        <w:rPr>
          <w:rFonts w:ascii="仿宋" w:hAnsi="仿宋" w:eastAsia="仿宋" w:cs="仿宋"/>
        </w:rPr>
      </w:pPr>
      <w:bookmarkStart w:id="11" w:name="_Toc16672688"/>
      <w:bookmarkStart w:id="12" w:name="_Toc489365175"/>
      <w:bookmarkStart w:id="13" w:name="_Toc11594"/>
      <w:bookmarkStart w:id="14" w:name="_Toc8961"/>
      <w:r>
        <w:rPr>
          <w:rFonts w:hint="eastAsia" w:ascii="仿宋" w:hAnsi="仿宋" w:eastAsia="仿宋" w:cs="仿宋"/>
        </w:rPr>
        <w:t>测</w:t>
      </w:r>
      <w:bookmarkEnd w:id="11"/>
      <w:bookmarkEnd w:id="12"/>
      <w:r>
        <w:rPr>
          <w:rFonts w:hint="eastAsia" w:ascii="仿宋" w:hAnsi="仿宋" w:eastAsia="仿宋" w:cs="仿宋"/>
        </w:rPr>
        <w:t>评原则</w:t>
      </w:r>
      <w:bookmarkEnd w:id="13"/>
      <w:bookmarkEnd w:id="14"/>
    </w:p>
    <w:p w14:paraId="7B45D1CA">
      <w:pPr>
        <w:pStyle w:val="6"/>
      </w:pPr>
      <w:bookmarkStart w:id="15" w:name="_Toc21521"/>
      <w:bookmarkStart w:id="16" w:name="_Toc17080"/>
      <w:r>
        <w:rPr>
          <w:rFonts w:hint="eastAsia"/>
        </w:rPr>
        <w:t>公正要求</w:t>
      </w:r>
      <w:bookmarkEnd w:id="15"/>
      <w:bookmarkEnd w:id="16"/>
    </w:p>
    <w:p w14:paraId="4C404738">
      <w:pPr>
        <w:pStyle w:val="18"/>
        <w:ind w:firstLine="560"/>
      </w:pPr>
      <w:r>
        <w:rPr>
          <w:rFonts w:hint="eastAsia"/>
        </w:rPr>
        <w:t>整个测评过程体现公平、公正、严密、严谨、严肃的原则；</w:t>
      </w:r>
    </w:p>
    <w:p w14:paraId="73D7D5A4">
      <w:pPr>
        <w:pStyle w:val="18"/>
        <w:ind w:firstLine="560"/>
      </w:pPr>
      <w:r>
        <w:rPr>
          <w:rFonts w:hint="eastAsia"/>
        </w:rPr>
        <w:t>测评评价合理性原则，制定合理的测评内容及关注点，以客观事实为依据、实事求是表达测评结果。</w:t>
      </w:r>
    </w:p>
    <w:p w14:paraId="5A595331">
      <w:pPr>
        <w:pStyle w:val="6"/>
      </w:pPr>
      <w:bookmarkStart w:id="17" w:name="_Toc11146"/>
      <w:bookmarkStart w:id="18" w:name="_Toc24173"/>
      <w:r>
        <w:rPr>
          <w:rFonts w:hint="eastAsia"/>
        </w:rPr>
        <w:t>时间要求</w:t>
      </w:r>
      <w:bookmarkEnd w:id="17"/>
      <w:bookmarkEnd w:id="18"/>
    </w:p>
    <w:p w14:paraId="1F64EB12">
      <w:pPr>
        <w:ind w:firstLine="560" w:firstLineChars="200"/>
        <w:rPr>
          <w:rFonts w:ascii="仿宋" w:hAnsi="仿宋" w:eastAsia="仿宋" w:cs="仿宋"/>
          <w:sz w:val="28"/>
          <w:szCs w:val="28"/>
        </w:rPr>
      </w:pPr>
      <w:r>
        <w:rPr>
          <w:rFonts w:hint="eastAsia" w:ascii="仿宋" w:hAnsi="仿宋" w:eastAsia="仿宋" w:cs="仿宋"/>
          <w:sz w:val="28"/>
          <w:szCs w:val="28"/>
        </w:rPr>
        <w:t>本次POC时间以</w:t>
      </w:r>
      <w:r>
        <w:rPr>
          <w:rStyle w:val="65"/>
          <w:rFonts w:hint="eastAsia"/>
        </w:rPr>
        <w:t>测</w:t>
      </w:r>
      <w:r>
        <w:rPr>
          <w:rFonts w:hint="eastAsia" w:ascii="仿宋" w:hAnsi="仿宋" w:eastAsia="仿宋" w:cs="仿宋"/>
          <w:sz w:val="28"/>
          <w:szCs w:val="28"/>
        </w:rPr>
        <w:t>评时间要求为准，参测厂商不得以任何理由延长测评时间或中途暂停，如果参测厂商提前准备好测评环境，则提前进入测评阶段。</w:t>
      </w:r>
    </w:p>
    <w:p w14:paraId="2FAF79BF">
      <w:pPr>
        <w:pStyle w:val="6"/>
      </w:pPr>
      <w:bookmarkStart w:id="19" w:name="_Toc3990"/>
      <w:bookmarkStart w:id="20" w:name="_Toc1089"/>
      <w:r>
        <w:rPr>
          <w:rFonts w:hint="eastAsia"/>
        </w:rPr>
        <w:t>保密要求</w:t>
      </w:r>
      <w:bookmarkEnd w:id="19"/>
      <w:bookmarkEnd w:id="20"/>
    </w:p>
    <w:p w14:paraId="3E9833EB">
      <w:pPr>
        <w:ind w:firstLine="560" w:firstLineChars="200"/>
        <w:rPr>
          <w:rFonts w:ascii="仿宋" w:hAnsi="仿宋" w:eastAsia="仿宋" w:cs="仿宋"/>
          <w:sz w:val="28"/>
          <w:szCs w:val="28"/>
        </w:rPr>
      </w:pPr>
      <w:r>
        <w:rPr>
          <w:rFonts w:hint="eastAsia" w:ascii="仿宋" w:hAnsi="仿宋" w:eastAsia="仿宋" w:cs="仿宋"/>
          <w:sz w:val="28"/>
          <w:szCs w:val="28"/>
        </w:rPr>
        <w:t>POC测评期间不得以任何形式（包括电子邮件、即时聊天工具、U盘和工作人员笔记本电脑等）将我行相关信息、文件或数据泄露,并在离场前由行方人员监督销毁。</w:t>
      </w:r>
    </w:p>
    <w:p w14:paraId="23EB3F15">
      <w:pPr>
        <w:ind w:firstLine="560" w:firstLineChars="200"/>
        <w:rPr>
          <w:rFonts w:ascii="仿宋" w:hAnsi="仿宋" w:eastAsia="仿宋" w:cs="仿宋"/>
          <w:sz w:val="28"/>
          <w:szCs w:val="28"/>
        </w:rPr>
      </w:pPr>
      <w:r>
        <w:rPr>
          <w:rFonts w:hint="eastAsia" w:ascii="仿宋" w:hAnsi="仿宋" w:eastAsia="仿宋" w:cs="仿宋"/>
          <w:sz w:val="28"/>
          <w:szCs w:val="28"/>
        </w:rPr>
        <w:t>POC测评结束后，参测厂商必须将本行提供的相关信息、文件或数据从测评设备及测评人员工作设备(包括电脑、移动介质和网盘等)中全部清除。</w:t>
      </w:r>
    </w:p>
    <w:p w14:paraId="180AD1B5">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如参测厂商安装任何带有知识产权的软件产品、数据模型等，银行方保证不复制，不外传，在调研完成后应将其从POC测评环境中删除</w:t>
      </w:r>
      <w:r>
        <w:rPr>
          <w:rFonts w:hint="eastAsia" w:ascii="仿宋" w:hAnsi="仿宋" w:eastAsia="仿宋" w:cs="仿宋"/>
          <w:sz w:val="28"/>
          <w:szCs w:val="28"/>
          <w:lang w:eastAsia="zh-CN"/>
        </w:rPr>
        <w:t>。</w:t>
      </w:r>
    </w:p>
    <w:p w14:paraId="4457024E">
      <w:pPr>
        <w:pStyle w:val="6"/>
      </w:pPr>
      <w:bookmarkStart w:id="21" w:name="_Toc25785"/>
      <w:bookmarkStart w:id="22" w:name="_Toc16665"/>
      <w:r>
        <w:rPr>
          <w:rFonts w:hint="eastAsia"/>
        </w:rPr>
        <w:t>诚信要求</w:t>
      </w:r>
      <w:bookmarkEnd w:id="21"/>
      <w:bookmarkEnd w:id="22"/>
    </w:p>
    <w:p w14:paraId="42BC8B3C">
      <w:pPr>
        <w:ind w:firstLine="560" w:firstLineChars="200"/>
        <w:rPr>
          <w:rFonts w:ascii="仿宋" w:hAnsi="仿宋" w:eastAsia="仿宋" w:cs="仿宋"/>
          <w:sz w:val="28"/>
          <w:szCs w:val="28"/>
        </w:rPr>
      </w:pPr>
      <w:r>
        <w:rPr>
          <w:rFonts w:hint="eastAsia" w:ascii="仿宋" w:hAnsi="仿宋" w:eastAsia="仿宋" w:cs="仿宋"/>
          <w:sz w:val="28"/>
          <w:szCs w:val="28"/>
        </w:rPr>
        <w:t>本次测评过程中，各参测厂商需要在系统处理关键点记录日志，以备查询。如在系统请求接收，到处理返回接收点都必须记录相关时间日志，打印请求的处理耗时。测评完成后日志打包存档，以备后查。厂商在测评过程中一旦发现作弊情况，将取消</w:t>
      </w:r>
      <w:r>
        <w:rPr>
          <w:rFonts w:hint="eastAsia" w:ascii="仿宋" w:hAnsi="仿宋" w:eastAsia="仿宋" w:cs="仿宋"/>
          <w:sz w:val="28"/>
          <w:szCs w:val="28"/>
          <w:lang w:val="en-US" w:eastAsia="zh-CN"/>
        </w:rPr>
        <w:t>测评</w:t>
      </w:r>
      <w:r>
        <w:rPr>
          <w:rFonts w:hint="eastAsia" w:ascii="仿宋" w:hAnsi="仿宋" w:eastAsia="仿宋" w:cs="仿宋"/>
          <w:sz w:val="28"/>
          <w:szCs w:val="28"/>
        </w:rPr>
        <w:t>资格，成绩作废。</w:t>
      </w:r>
    </w:p>
    <w:p w14:paraId="61CD52FA">
      <w:pPr>
        <w:pStyle w:val="6"/>
      </w:pPr>
      <w:bookmarkStart w:id="23" w:name="_Toc24427"/>
      <w:bookmarkStart w:id="24" w:name="_Toc29705"/>
      <w:r>
        <w:rPr>
          <w:rFonts w:hint="eastAsia"/>
        </w:rPr>
        <w:t>其它要求</w:t>
      </w:r>
      <w:bookmarkEnd w:id="23"/>
      <w:bookmarkEnd w:id="24"/>
    </w:p>
    <w:p w14:paraId="42426B7C">
      <w:pPr>
        <w:ind w:firstLine="560" w:firstLineChars="200"/>
        <w:rPr>
          <w:rFonts w:ascii="仿宋" w:hAnsi="仿宋" w:eastAsia="仿宋" w:cs="仿宋"/>
          <w:sz w:val="28"/>
          <w:szCs w:val="28"/>
        </w:rPr>
      </w:pPr>
      <w:r>
        <w:rPr>
          <w:rFonts w:hint="eastAsia" w:ascii="仿宋" w:hAnsi="仿宋" w:eastAsia="仿宋" w:cs="仿宋"/>
          <w:sz w:val="28"/>
          <w:szCs w:val="28"/>
        </w:rPr>
        <w:t>参测厂商应保证在测评期间遵守本行的各项规定；其它未尽事宜或临时调整，由本行POC测评小组解释执行。</w:t>
      </w:r>
      <w:r>
        <w:rPr>
          <w:rFonts w:hint="eastAsia" w:ascii="仿宋" w:hAnsi="仿宋" w:eastAsia="仿宋" w:cs="仿宋"/>
          <w:b/>
          <w:bCs/>
          <w:sz w:val="28"/>
          <w:szCs w:val="28"/>
        </w:rPr>
        <w:t>评测时请现场提供《法定代表人授权委托书》（见附录），不提供则视为放弃评测。</w:t>
      </w:r>
    </w:p>
    <w:bookmarkEnd w:id="10"/>
    <w:p w14:paraId="79A72539">
      <w:pPr>
        <w:pStyle w:val="5"/>
        <w:rPr>
          <w:rFonts w:ascii="仿宋" w:hAnsi="仿宋" w:eastAsia="仿宋" w:cs="仿宋"/>
        </w:rPr>
      </w:pPr>
      <w:bookmarkStart w:id="25" w:name="_Toc382"/>
      <w:bookmarkStart w:id="26" w:name="_Toc18226"/>
      <w:bookmarkStart w:id="27" w:name="_Toc16672678"/>
      <w:bookmarkStart w:id="28" w:name="_Toc418023751"/>
      <w:r>
        <w:rPr>
          <w:rFonts w:hint="eastAsia" w:ascii="仿宋" w:hAnsi="仿宋" w:eastAsia="仿宋" w:cs="仿宋"/>
        </w:rPr>
        <w:t>评测小组</w:t>
      </w:r>
      <w:bookmarkEnd w:id="25"/>
      <w:bookmarkEnd w:id="26"/>
    </w:p>
    <w:p w14:paraId="429A4286">
      <w:pPr>
        <w:ind w:firstLine="560" w:firstLineChars="200"/>
        <w:rPr>
          <w:rFonts w:ascii="仿宋" w:hAnsi="仿宋" w:eastAsia="仿宋" w:cs="仿宋"/>
          <w:sz w:val="28"/>
          <w:szCs w:val="28"/>
        </w:rPr>
      </w:pPr>
      <w:r>
        <w:rPr>
          <w:rFonts w:hint="eastAsia" w:ascii="仿宋" w:hAnsi="仿宋" w:eastAsia="仿宋" w:cs="仿宋"/>
          <w:sz w:val="28"/>
          <w:szCs w:val="28"/>
        </w:rPr>
        <w:t>本项目评测小组成员由</w:t>
      </w:r>
      <w:r>
        <w:rPr>
          <w:rFonts w:hint="eastAsia" w:ascii="仿宋" w:hAnsi="仿宋" w:eastAsia="仿宋" w:cs="仿宋"/>
          <w:sz w:val="28"/>
          <w:szCs w:val="28"/>
          <w:lang w:val="en-US" w:eastAsia="zh-CN"/>
        </w:rPr>
        <w:t>公司金融</w:t>
      </w:r>
      <w:r>
        <w:rPr>
          <w:rFonts w:hint="eastAsia" w:ascii="仿宋" w:hAnsi="仿宋" w:eastAsia="仿宋" w:cs="仿宋"/>
          <w:sz w:val="28"/>
          <w:szCs w:val="28"/>
        </w:rPr>
        <w:t>部、信息科技部相关人员组成。小组成员间、小组成员与厂商间应相互尊重、充分沟通，秉承公平、公正、严密、严谨、严肃的原则进行评测。</w:t>
      </w:r>
    </w:p>
    <w:p w14:paraId="6AE68049">
      <w:pPr>
        <w:pStyle w:val="5"/>
        <w:rPr>
          <w:rFonts w:ascii="仿宋" w:hAnsi="仿宋" w:eastAsia="仿宋" w:cs="仿宋"/>
        </w:rPr>
      </w:pPr>
      <w:bookmarkStart w:id="29" w:name="_Toc32319"/>
      <w:bookmarkStart w:id="30" w:name="_Toc30134"/>
      <w:r>
        <w:rPr>
          <w:rFonts w:hint="eastAsia" w:ascii="仿宋" w:hAnsi="仿宋" w:eastAsia="仿宋" w:cs="仿宋"/>
        </w:rPr>
        <w:t>测评计划</w:t>
      </w:r>
      <w:bookmarkEnd w:id="29"/>
      <w:bookmarkEnd w:id="30"/>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006"/>
        <w:gridCol w:w="7094"/>
      </w:tblGrid>
      <w:tr w14:paraId="2D26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trPr>
        <w:tc>
          <w:tcPr>
            <w:tcW w:w="5000" w:type="pct"/>
            <w:gridSpan w:val="2"/>
            <w:vAlign w:val="center"/>
          </w:tcPr>
          <w:p w14:paraId="6D190FD0">
            <w:pPr>
              <w:rPr>
                <w:rFonts w:ascii="华文仿宋" w:hAnsi="华文仿宋" w:eastAsia="华文仿宋" w:cs="华文仿宋"/>
                <w:color w:val="000000"/>
                <w:sz w:val="24"/>
              </w:rPr>
            </w:pPr>
            <w:r>
              <w:rPr>
                <w:rFonts w:hint="eastAsia" w:ascii="华文仿宋" w:hAnsi="华文仿宋" w:eastAsia="华文仿宋" w:cs="华文仿宋"/>
                <w:sz w:val="24"/>
              </w:rPr>
              <w:t>以报名时间截至后第1个自然日（如非工作日，则顺延到工作日）为T日。</w:t>
            </w:r>
          </w:p>
        </w:tc>
      </w:tr>
      <w:tr w14:paraId="3908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795D8D7C">
            <w:pPr>
              <w:jc w:val="center"/>
              <w:textAlignment w:val="center"/>
              <w:rPr>
                <w:rFonts w:ascii="华文仿宋" w:hAnsi="华文仿宋" w:eastAsia="华文仿宋" w:cs="华文仿宋"/>
                <w:color w:val="auto"/>
                <w:kern w:val="0"/>
                <w:sz w:val="24"/>
                <w:lang w:bidi="ar"/>
              </w:rPr>
            </w:pPr>
            <w:r>
              <w:rPr>
                <w:rFonts w:hint="eastAsia" w:ascii="华文仿宋" w:hAnsi="华文仿宋" w:eastAsia="华文仿宋" w:cs="华文仿宋"/>
                <w:color w:val="auto"/>
                <w:kern w:val="0"/>
                <w:sz w:val="24"/>
                <w:lang w:bidi="ar"/>
              </w:rPr>
              <w:t>T日</w:t>
            </w:r>
          </w:p>
        </w:tc>
        <w:tc>
          <w:tcPr>
            <w:tcW w:w="3897" w:type="pct"/>
            <w:vAlign w:val="center"/>
          </w:tcPr>
          <w:p w14:paraId="6F72C5CC">
            <w:pPr>
              <w:numPr>
                <w:ilvl w:val="0"/>
                <w:numId w:val="9"/>
              </w:numPr>
              <w:rPr>
                <w:rFonts w:ascii="华文仿宋" w:hAnsi="华文仿宋" w:eastAsia="华文仿宋" w:cs="华文仿宋"/>
                <w:color w:val="auto"/>
                <w:kern w:val="0"/>
                <w:sz w:val="24"/>
                <w:lang w:bidi="ar"/>
              </w:rPr>
            </w:pPr>
            <w:r>
              <w:rPr>
                <w:rFonts w:hint="eastAsia" w:ascii="华文仿宋" w:hAnsi="华文仿宋" w:eastAsia="华文仿宋" w:cs="华文仿宋"/>
                <w:color w:val="auto"/>
                <w:sz w:val="24"/>
              </w:rPr>
              <w:t>评测小组对参测</w:t>
            </w:r>
            <w:r>
              <w:rPr>
                <w:rFonts w:hint="eastAsia" w:ascii="华文仿宋" w:hAnsi="华文仿宋" w:eastAsia="华文仿宋" w:cs="华文仿宋"/>
                <w:color w:val="auto"/>
                <w:kern w:val="0"/>
                <w:sz w:val="24"/>
                <w:lang w:bidi="ar"/>
              </w:rPr>
              <w:t>厂商按报名顺序逐一进行POC测评方案解答（线上方式）；</w:t>
            </w:r>
          </w:p>
          <w:p w14:paraId="20C817C1">
            <w:pPr>
              <w:pStyle w:val="81"/>
              <w:widowControl/>
              <w:numPr>
                <w:ilvl w:val="255"/>
                <w:numId w:val="0"/>
              </w:numPr>
              <w:tabs>
                <w:tab w:val="left" w:pos="392"/>
              </w:tabs>
              <w:spacing w:after="0" w:line="240" w:lineRule="auto"/>
              <w:jc w:val="left"/>
              <w:textAlignment w:val="center"/>
              <w:rPr>
                <w:rFonts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2、报名顺序即为测评顺序。</w:t>
            </w:r>
          </w:p>
        </w:tc>
      </w:tr>
      <w:tr w14:paraId="73DA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0020AC26">
            <w:pPr>
              <w:jc w:val="center"/>
              <w:textAlignment w:val="center"/>
              <w:rPr>
                <w:rFonts w:ascii="华文仿宋" w:hAnsi="华文仿宋" w:eastAsia="华文仿宋" w:cs="华文仿宋"/>
                <w:color w:val="auto"/>
                <w:kern w:val="0"/>
                <w:sz w:val="24"/>
                <w:lang w:bidi="ar"/>
              </w:rPr>
            </w:pPr>
            <w:r>
              <w:rPr>
                <w:rFonts w:hint="eastAsia" w:ascii="华文仿宋" w:hAnsi="华文仿宋" w:eastAsia="华文仿宋" w:cs="华文仿宋"/>
                <w:color w:val="auto"/>
                <w:kern w:val="0"/>
                <w:sz w:val="24"/>
                <w:lang w:bidi="ar"/>
              </w:rPr>
              <w:t>T+1日至T+10日</w:t>
            </w:r>
          </w:p>
          <w:p w14:paraId="05A47FE6">
            <w:pPr>
              <w:jc w:val="center"/>
              <w:textAlignment w:val="center"/>
              <w:rPr>
                <w:rFonts w:ascii="华文仿宋" w:hAnsi="华文仿宋" w:eastAsia="华文仿宋" w:cs="华文仿宋"/>
                <w:color w:val="auto"/>
                <w:sz w:val="24"/>
              </w:rPr>
            </w:pPr>
            <w:r>
              <w:rPr>
                <w:rFonts w:hint="eastAsia" w:ascii="华文仿宋" w:hAnsi="华文仿宋" w:eastAsia="华文仿宋" w:cs="华文仿宋"/>
                <w:color w:val="auto"/>
                <w:kern w:val="0"/>
                <w:sz w:val="24"/>
                <w:lang w:bidi="ar"/>
              </w:rPr>
              <w:t>（包含假期）</w:t>
            </w:r>
          </w:p>
        </w:tc>
        <w:tc>
          <w:tcPr>
            <w:tcW w:w="3897" w:type="pct"/>
            <w:vAlign w:val="center"/>
          </w:tcPr>
          <w:p w14:paraId="1F1D75AA">
            <w:pPr>
              <w:textAlignment w:val="center"/>
              <w:rPr>
                <w:rFonts w:ascii="华文仿宋" w:hAnsi="华文仿宋" w:eastAsia="华文仿宋" w:cs="华文仿宋"/>
                <w:color w:val="auto"/>
                <w:sz w:val="24"/>
              </w:rPr>
            </w:pPr>
            <w:r>
              <w:rPr>
                <w:rFonts w:hint="eastAsia" w:ascii="华文仿宋" w:hAnsi="华文仿宋" w:eastAsia="华文仿宋" w:cs="华文仿宋"/>
                <w:color w:val="auto"/>
                <w:kern w:val="0"/>
                <w:sz w:val="24"/>
                <w:lang w:bidi="ar"/>
              </w:rPr>
              <w:t>各个厂商自行准备测评环境，根据测评方案准备测评案例，包括业务应用场景数据准备、数据加工、系统配置、系统功能全流程演示案例准备等。</w:t>
            </w:r>
          </w:p>
        </w:tc>
      </w:tr>
      <w:tr w14:paraId="5725B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2EDE138E">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T+10日</w:t>
            </w:r>
          </w:p>
        </w:tc>
        <w:tc>
          <w:tcPr>
            <w:tcW w:w="3897" w:type="pct"/>
            <w:vAlign w:val="center"/>
          </w:tcPr>
          <w:p w14:paraId="6B7F9AFC">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所有参测厂商于T+10日下午16:00前提交POC测评报告及佐证材料。</w:t>
            </w:r>
          </w:p>
        </w:tc>
      </w:tr>
      <w:tr w14:paraId="252E0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6745DB98">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T+11日至T+15日</w:t>
            </w:r>
          </w:p>
        </w:tc>
        <w:tc>
          <w:tcPr>
            <w:tcW w:w="3897" w:type="pct"/>
            <w:vAlign w:val="center"/>
          </w:tcPr>
          <w:p w14:paraId="4D9B7344">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按厂商测评顺序进行测评，每家参测厂商2小时。</w:t>
            </w:r>
          </w:p>
        </w:tc>
      </w:tr>
      <w:tr w14:paraId="25738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7D4F6233">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T+18日</w:t>
            </w:r>
          </w:p>
        </w:tc>
        <w:tc>
          <w:tcPr>
            <w:tcW w:w="3897" w:type="pct"/>
            <w:vAlign w:val="center"/>
          </w:tcPr>
          <w:p w14:paraId="3D12D8AE">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sz w:val="24"/>
              </w:rPr>
              <w:t>本行评测小组</w:t>
            </w:r>
            <w:r>
              <w:rPr>
                <w:rFonts w:hint="eastAsia" w:ascii="华文仿宋" w:hAnsi="华文仿宋" w:eastAsia="华文仿宋" w:cs="华文仿宋"/>
                <w:color w:val="000000"/>
                <w:kern w:val="0"/>
                <w:sz w:val="24"/>
                <w:lang w:bidi="ar"/>
              </w:rPr>
              <w:t>完成推荐供应商POC测评报告</w:t>
            </w:r>
            <w:r>
              <w:rPr>
                <w:rFonts w:hint="eastAsia" w:ascii="仿宋" w:hAnsi="仿宋" w:eastAsia="仿宋" w:cs="仿宋"/>
                <w:sz w:val="24"/>
                <w:szCs w:val="32"/>
              </w:rPr>
              <w:t>整理</w:t>
            </w:r>
            <w:r>
              <w:rPr>
                <w:rFonts w:hint="eastAsia" w:ascii="华文仿宋" w:hAnsi="华文仿宋" w:eastAsia="华文仿宋" w:cs="华文仿宋"/>
                <w:color w:val="000000"/>
                <w:kern w:val="0"/>
                <w:sz w:val="24"/>
                <w:lang w:bidi="ar"/>
              </w:rPr>
              <w:t>。包括测评报告正文、意向供应商POC得分。</w:t>
            </w:r>
          </w:p>
        </w:tc>
      </w:tr>
      <w:bookmarkEnd w:id="27"/>
      <w:bookmarkEnd w:id="28"/>
    </w:tbl>
    <w:p w14:paraId="465947CC">
      <w:pPr>
        <w:pStyle w:val="4"/>
      </w:pPr>
      <w:bookmarkStart w:id="31" w:name="_Toc12364"/>
      <w:bookmarkStart w:id="32" w:name="_Toc4301"/>
      <w:bookmarkStart w:id="33" w:name="_Toc418023753"/>
      <w:r>
        <w:rPr>
          <w:rFonts w:hint="eastAsia"/>
        </w:rPr>
        <w:t>评测案例</w:t>
      </w:r>
      <w:bookmarkEnd w:id="31"/>
      <w:bookmarkEnd w:id="32"/>
    </w:p>
    <w:p w14:paraId="381DE974">
      <w:pPr>
        <w:pStyle w:val="5"/>
        <w:rPr>
          <w:rFonts w:ascii="仿宋" w:hAnsi="仿宋" w:eastAsia="仿宋" w:cs="仿宋"/>
          <w:highlight w:val="none"/>
        </w:rPr>
      </w:pPr>
      <w:bookmarkStart w:id="34" w:name="_Toc5669"/>
      <w:bookmarkStart w:id="35" w:name="_Toc1813"/>
      <w:r>
        <w:rPr>
          <w:rFonts w:hint="eastAsia" w:ascii="仿宋" w:hAnsi="仿宋" w:eastAsia="仿宋" w:cs="仿宋"/>
          <w:highlight w:val="none"/>
        </w:rPr>
        <w:t>业务方案评测</w:t>
      </w:r>
      <w:bookmarkEnd w:id="34"/>
      <w:bookmarkEnd w:id="35"/>
    </w:p>
    <w:p w14:paraId="7E52D662">
      <w:pPr>
        <w:pStyle w:val="6"/>
      </w:pPr>
      <w:r>
        <w:rPr>
          <w:rFonts w:hint="eastAsia"/>
        </w:rPr>
        <w:t>管户分配与交接</w:t>
      </w:r>
    </w:p>
    <w:p w14:paraId="3C1B94C5">
      <w:pPr>
        <w:ind w:firstLine="560" w:firstLineChars="200"/>
        <w:rPr>
          <w:rFonts w:hint="default" w:ascii="仿宋" w:hAnsi="仿宋" w:eastAsia="仿宋" w:cs="仿宋"/>
          <w:sz w:val="28"/>
          <w:szCs w:val="28"/>
        </w:rPr>
      </w:pPr>
      <w:r>
        <w:rPr>
          <w:rFonts w:hint="eastAsia" w:ascii="仿宋" w:hAnsi="仿宋" w:eastAsia="仿宋" w:cs="仿宋"/>
          <w:sz w:val="28"/>
          <w:szCs w:val="28"/>
        </w:rPr>
        <w:t>假设某一</w:t>
      </w:r>
      <w:r>
        <w:rPr>
          <w:rFonts w:hint="default" w:ascii="仿宋" w:hAnsi="仿宋" w:eastAsia="仿宋" w:cs="仿宋"/>
          <w:sz w:val="28"/>
          <w:szCs w:val="28"/>
          <w:lang w:val="en-US" w:eastAsia="zh-CN"/>
        </w:rPr>
        <w:t>企业</w:t>
      </w:r>
      <w:r>
        <w:rPr>
          <w:rFonts w:hint="eastAsia" w:ascii="仿宋" w:hAnsi="仿宋" w:eastAsia="仿宋" w:cs="仿宋"/>
          <w:sz w:val="28"/>
          <w:szCs w:val="28"/>
        </w:rPr>
        <w:t>客户</w:t>
      </w:r>
      <w:r>
        <w:rPr>
          <w:rFonts w:hint="default" w:ascii="仿宋" w:hAnsi="仿宋" w:eastAsia="仿宋" w:cs="仿宋"/>
          <w:sz w:val="28"/>
          <w:szCs w:val="28"/>
          <w:lang w:val="en-US" w:eastAsia="zh-CN"/>
        </w:rPr>
        <w:t>有一家主办行和多家协办行、一名主办和多名协办</w:t>
      </w:r>
      <w:r>
        <w:rPr>
          <w:rFonts w:hint="eastAsia" w:ascii="仿宋" w:hAnsi="仿宋" w:eastAsia="仿宋" w:cs="仿宋"/>
          <w:sz w:val="28"/>
          <w:szCs w:val="28"/>
        </w:rPr>
        <w:t>。</w:t>
      </w:r>
    </w:p>
    <w:p w14:paraId="3460577D">
      <w:pPr>
        <w:pStyle w:val="18"/>
        <w:numPr>
          <w:ilvl w:val="0"/>
          <w:numId w:val="10"/>
        </w:numPr>
        <w:ind w:firstLine="560"/>
        <w:rPr>
          <w:rFonts w:hint="eastAsia" w:ascii="仿宋" w:hAnsi="仿宋" w:cs="仿宋"/>
          <w:szCs w:val="28"/>
        </w:rPr>
      </w:pPr>
      <w:r>
        <w:rPr>
          <w:rFonts w:hint="eastAsia" w:ascii="仿宋" w:hAnsi="仿宋" w:cs="仿宋"/>
          <w:szCs w:val="28"/>
        </w:rPr>
        <w:t>展示</w:t>
      </w:r>
      <w:r>
        <w:rPr>
          <w:rFonts w:hint="eastAsia" w:ascii="仿宋" w:hAnsi="仿宋" w:cs="仿宋"/>
          <w:szCs w:val="28"/>
          <w:lang w:val="en-US" w:eastAsia="zh-CN"/>
        </w:rPr>
        <w:t>根据客户分配规则，</w:t>
      </w:r>
      <w:r>
        <w:rPr>
          <w:rFonts w:hint="eastAsia" w:ascii="仿宋" w:hAnsi="仿宋" w:cs="仿宋"/>
          <w:szCs w:val="28"/>
        </w:rPr>
        <w:t>系统对客户的</w:t>
      </w:r>
      <w:r>
        <w:rPr>
          <w:rFonts w:hint="eastAsia" w:ascii="仿宋" w:hAnsi="仿宋" w:cs="仿宋"/>
          <w:szCs w:val="28"/>
          <w:lang w:val="en-US" w:eastAsia="zh-CN"/>
        </w:rPr>
        <w:t>自动</w:t>
      </w:r>
      <w:r>
        <w:rPr>
          <w:rFonts w:hint="eastAsia" w:ascii="仿宋" w:hAnsi="仿宋" w:cs="仿宋"/>
          <w:szCs w:val="28"/>
        </w:rPr>
        <w:t>分配操作</w:t>
      </w:r>
      <w:r>
        <w:rPr>
          <w:rFonts w:hint="eastAsia" w:ascii="仿宋" w:hAnsi="仿宋" w:cs="仿宋"/>
          <w:szCs w:val="28"/>
          <w:lang w:val="en-US" w:eastAsia="zh-CN"/>
        </w:rPr>
        <w:t>及定期调整规则</w:t>
      </w:r>
      <w:r>
        <w:rPr>
          <w:rFonts w:hint="eastAsia" w:ascii="仿宋" w:hAnsi="仿宋" w:cs="仿宋"/>
          <w:szCs w:val="28"/>
        </w:rPr>
        <w:t>；</w:t>
      </w:r>
    </w:p>
    <w:p w14:paraId="6C112A08">
      <w:pPr>
        <w:pStyle w:val="18"/>
        <w:numPr>
          <w:ilvl w:val="0"/>
          <w:numId w:val="10"/>
        </w:numPr>
        <w:ind w:firstLine="560"/>
        <w:rPr>
          <w:rFonts w:hint="eastAsia" w:ascii="仿宋" w:hAnsi="仿宋" w:cs="仿宋"/>
          <w:szCs w:val="28"/>
        </w:rPr>
      </w:pPr>
      <w:r>
        <w:rPr>
          <w:rFonts w:hint="eastAsia" w:ascii="仿宋" w:hAnsi="仿宋" w:cs="仿宋"/>
          <w:szCs w:val="28"/>
          <w:lang w:val="en-US" w:eastAsia="zh-CN"/>
        </w:rPr>
        <w:t>展示客户手工分配、认领、移交、托管、回收等操作，显示完整审批链路。</w:t>
      </w:r>
    </w:p>
    <w:p w14:paraId="7CCA0363">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3</w:t>
      </w:r>
      <w:r>
        <w:rPr>
          <w:rFonts w:hint="eastAsia" w:ascii="仿宋" w:hAnsi="仿宋" w:cs="仿宋"/>
          <w:szCs w:val="28"/>
        </w:rPr>
        <w:t>）展示控制限制无法分配的形式，是否支持参数调整。</w:t>
      </w:r>
    </w:p>
    <w:p w14:paraId="23D86DAD">
      <w:pPr>
        <w:pStyle w:val="18"/>
        <w:ind w:firstLine="560"/>
        <w:rPr>
          <w:rFonts w:ascii="仿宋" w:hAnsi="仿宋" w:cs="仿宋"/>
          <w:szCs w:val="28"/>
        </w:rPr>
      </w:pPr>
      <w:r>
        <w:rPr>
          <w:rFonts w:hint="eastAsia" w:ascii="仿宋" w:hAnsi="仿宋" w:cs="仿宋"/>
          <w:szCs w:val="28"/>
        </w:rPr>
        <w:t>关注要点：</w:t>
      </w:r>
    </w:p>
    <w:p w14:paraId="27D48C92">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1</w:t>
      </w:r>
      <w:r>
        <w:rPr>
          <w:rFonts w:hint="eastAsia" w:ascii="仿宋" w:hAnsi="仿宋" w:cs="仿宋"/>
          <w:szCs w:val="28"/>
        </w:rPr>
        <w:t>）分配形式多样，能最大限度满足日常的分配使用要求；</w:t>
      </w:r>
    </w:p>
    <w:p w14:paraId="6CC9734D">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2</w:t>
      </w:r>
      <w:r>
        <w:rPr>
          <w:rFonts w:hint="eastAsia" w:ascii="仿宋" w:hAnsi="仿宋" w:cs="仿宋"/>
          <w:szCs w:val="28"/>
        </w:rPr>
        <w:t>）</w:t>
      </w:r>
      <w:r>
        <w:rPr>
          <w:rFonts w:hint="eastAsia" w:ascii="仿宋" w:hAnsi="仿宋" w:cs="仿宋"/>
          <w:szCs w:val="28"/>
          <w:lang w:val="en-US" w:eastAsia="zh-CN"/>
        </w:rPr>
        <w:t>手工</w:t>
      </w:r>
      <w:r>
        <w:rPr>
          <w:rFonts w:hint="eastAsia" w:ascii="仿宋" w:hAnsi="仿宋" w:cs="仿宋"/>
          <w:szCs w:val="28"/>
        </w:rPr>
        <w:t>操作</w:t>
      </w:r>
      <w:r>
        <w:rPr>
          <w:rFonts w:hint="eastAsia" w:ascii="仿宋" w:hAnsi="仿宋" w:cs="仿宋"/>
          <w:szCs w:val="28"/>
          <w:lang w:val="en-US" w:eastAsia="zh-CN"/>
        </w:rPr>
        <w:t>审批流程是否完整，操作</w:t>
      </w:r>
      <w:r>
        <w:rPr>
          <w:rFonts w:hint="eastAsia" w:ascii="仿宋" w:hAnsi="仿宋" w:cs="仿宋"/>
          <w:szCs w:val="28"/>
        </w:rPr>
        <w:t>过程简便实用；</w:t>
      </w:r>
    </w:p>
    <w:p w14:paraId="55719E33">
      <w:pPr>
        <w:pStyle w:val="18"/>
        <w:ind w:firstLine="560"/>
        <w:rPr>
          <w:rFonts w:ascii="仿宋" w:hAnsi="仿宋" w:cs="仿宋"/>
          <w:szCs w:val="28"/>
        </w:rPr>
      </w:pPr>
      <w:r>
        <w:rPr>
          <w:rFonts w:hint="eastAsia" w:ascii="仿宋" w:hAnsi="仿宋" w:cs="仿宋"/>
          <w:szCs w:val="28"/>
        </w:rPr>
        <w:t>（</w:t>
      </w:r>
      <w:r>
        <w:rPr>
          <w:rFonts w:hint="eastAsia" w:ascii="仿宋" w:hAnsi="仿宋" w:cs="仿宋"/>
          <w:szCs w:val="28"/>
          <w:lang w:val="en-US" w:eastAsia="zh-CN"/>
        </w:rPr>
        <w:t>3</w:t>
      </w:r>
      <w:r>
        <w:rPr>
          <w:rFonts w:hint="eastAsia" w:ascii="仿宋" w:hAnsi="仿宋" w:cs="仿宋"/>
          <w:szCs w:val="28"/>
        </w:rPr>
        <w:t>）能灵活配置控制某类客户或者某个用户无法执行分配等操作，满足业务管理要求；</w:t>
      </w:r>
    </w:p>
    <w:p w14:paraId="398B8D3B">
      <w:pPr>
        <w:pStyle w:val="18"/>
        <w:ind w:firstLine="560"/>
        <w:rPr>
          <w:rFonts w:hint="eastAsia" w:ascii="仿宋" w:hAnsi="仿宋" w:cs="仿宋"/>
          <w:szCs w:val="28"/>
        </w:rPr>
      </w:pPr>
      <w:r>
        <w:rPr>
          <w:rFonts w:hint="eastAsia" w:ascii="仿宋" w:hAnsi="仿宋" w:cs="仿宋"/>
          <w:szCs w:val="28"/>
        </w:rPr>
        <w:t>（</w:t>
      </w:r>
      <w:r>
        <w:rPr>
          <w:rFonts w:hint="eastAsia" w:ascii="仿宋" w:hAnsi="仿宋" w:cs="仿宋"/>
          <w:szCs w:val="28"/>
          <w:lang w:val="en-US" w:eastAsia="zh-CN"/>
        </w:rPr>
        <w:t>4</w:t>
      </w:r>
      <w:r>
        <w:rPr>
          <w:rFonts w:hint="eastAsia" w:ascii="仿宋" w:hAnsi="仿宋" w:cs="仿宋"/>
          <w:szCs w:val="28"/>
        </w:rPr>
        <w:t>）满足要求并有更优的建设方案建议。</w:t>
      </w:r>
    </w:p>
    <w:p w14:paraId="0BAD0FFA">
      <w:pPr>
        <w:pStyle w:val="6"/>
        <w:rPr>
          <w:rFonts w:hint="eastAsia" w:ascii="宋体" w:hAnsi="宋体"/>
          <w:bCs/>
          <w:szCs w:val="28"/>
          <w:lang w:val="en-US" w:eastAsia="zh-CN"/>
        </w:rPr>
      </w:pPr>
      <w:r>
        <w:rPr>
          <w:rFonts w:hint="eastAsia"/>
        </w:rPr>
        <w:t>客户数据整合与统一视图（360视图）</w:t>
      </w:r>
      <w:r>
        <w:rPr>
          <w:rFonts w:hint="eastAsia" w:ascii="宋体" w:hAnsi="宋体"/>
          <w:bCs/>
          <w:szCs w:val="28"/>
          <w:lang w:val="en-US" w:eastAsia="zh-CN"/>
        </w:rPr>
        <w:tab/>
      </w:r>
    </w:p>
    <w:p w14:paraId="312499ED">
      <w:pPr>
        <w:pStyle w:val="18"/>
        <w:ind w:firstLine="560"/>
      </w:pPr>
      <w:r>
        <w:rPr>
          <w:rFonts w:hint="eastAsia" w:ascii="Times New Roman" w:hAnsi="Times New Roman"/>
          <w:bCs w:val="0"/>
          <w:szCs w:val="24"/>
        </w:rPr>
        <w:t>假设某一</w:t>
      </w:r>
      <w:r>
        <w:rPr>
          <w:rFonts w:hint="eastAsia" w:ascii="Times New Roman" w:hAnsi="Times New Roman"/>
          <w:bCs w:val="0"/>
          <w:szCs w:val="24"/>
          <w:lang w:val="en-US" w:eastAsia="zh-CN"/>
        </w:rPr>
        <w:t>企业</w:t>
      </w:r>
      <w:r>
        <w:rPr>
          <w:rFonts w:hint="eastAsia" w:ascii="Times New Roman" w:hAnsi="Times New Roman"/>
          <w:bCs w:val="0"/>
          <w:szCs w:val="24"/>
        </w:rPr>
        <w:t>客户，持有我行</w:t>
      </w:r>
      <w:r>
        <w:rPr>
          <w:rFonts w:hint="eastAsia" w:ascii="Times New Roman" w:hAnsi="Times New Roman"/>
          <w:bCs w:val="0"/>
          <w:szCs w:val="24"/>
          <w:lang w:val="en-US" w:eastAsia="zh-CN"/>
        </w:rPr>
        <w:t>多个对公</w:t>
      </w:r>
      <w:r>
        <w:rPr>
          <w:rFonts w:hint="eastAsia" w:ascii="Times New Roman" w:hAnsi="Times New Roman"/>
          <w:bCs w:val="0"/>
          <w:szCs w:val="24"/>
        </w:rPr>
        <w:t>产品和开通相关业务功能（对公存款、贷款、</w:t>
      </w:r>
      <w:r>
        <w:rPr>
          <w:rFonts w:hint="eastAsia" w:ascii="Times New Roman" w:hAnsi="Times New Roman"/>
          <w:bCs w:val="0"/>
          <w:szCs w:val="24"/>
          <w:lang w:val="en-US" w:eastAsia="zh-CN"/>
        </w:rPr>
        <w:t>贸易融资、</w:t>
      </w:r>
      <w:r>
        <w:rPr>
          <w:rFonts w:hint="eastAsia" w:ascii="Times New Roman" w:hAnsi="Times New Roman"/>
          <w:bCs w:val="0"/>
          <w:szCs w:val="24"/>
        </w:rPr>
        <w:t>国际结算、投资银行；开通</w:t>
      </w:r>
      <w:r>
        <w:rPr>
          <w:rFonts w:hint="eastAsia" w:ascii="Times New Roman" w:hAnsi="Times New Roman"/>
          <w:bCs w:val="0"/>
          <w:szCs w:val="24"/>
          <w:lang w:val="en-US" w:eastAsia="zh-CN"/>
        </w:rPr>
        <w:t>企业网银</w:t>
      </w:r>
      <w:r>
        <w:rPr>
          <w:rFonts w:hint="eastAsia" w:ascii="Times New Roman" w:hAnsi="Times New Roman"/>
          <w:bCs w:val="0"/>
          <w:szCs w:val="24"/>
        </w:rPr>
        <w:t>），有固定的</w:t>
      </w:r>
      <w:r>
        <w:rPr>
          <w:rFonts w:hint="eastAsia" w:ascii="Times New Roman" w:hAnsi="Times New Roman"/>
          <w:bCs w:val="0"/>
          <w:szCs w:val="24"/>
          <w:lang w:val="en-US" w:eastAsia="zh-CN"/>
        </w:rPr>
        <w:t>支行、</w:t>
      </w:r>
      <w:r>
        <w:rPr>
          <w:rFonts w:hint="eastAsia" w:ascii="Times New Roman" w:hAnsi="Times New Roman"/>
          <w:bCs w:val="0"/>
          <w:szCs w:val="24"/>
        </w:rPr>
        <w:t>客户经理</w:t>
      </w:r>
      <w:r>
        <w:rPr>
          <w:rFonts w:hint="eastAsia" w:ascii="Times New Roman" w:hAnsi="Times New Roman"/>
          <w:bCs w:val="0"/>
          <w:szCs w:val="24"/>
          <w:lang w:eastAsia="zh-CN"/>
        </w:rPr>
        <w:t>（</w:t>
      </w:r>
      <w:r>
        <w:rPr>
          <w:rFonts w:hint="eastAsia" w:ascii="Times New Roman" w:hAnsi="Times New Roman"/>
          <w:bCs w:val="0"/>
          <w:szCs w:val="24"/>
          <w:lang w:val="en-US" w:eastAsia="zh-CN"/>
        </w:rPr>
        <w:t>包括一家主办行和多家协办行；一名主办和多名协办</w:t>
      </w:r>
      <w:r>
        <w:rPr>
          <w:rFonts w:hint="eastAsia" w:ascii="Times New Roman" w:hAnsi="Times New Roman"/>
          <w:bCs w:val="0"/>
          <w:szCs w:val="24"/>
          <w:lang w:eastAsia="zh-CN"/>
        </w:rPr>
        <w:t>）</w:t>
      </w:r>
      <w:r>
        <w:rPr>
          <w:rFonts w:hint="eastAsia" w:ascii="Times New Roman" w:hAnsi="Times New Roman"/>
          <w:bCs w:val="0"/>
          <w:szCs w:val="24"/>
        </w:rPr>
        <w:t>跟踪，每月有不同类型的触客行为（包括但不限于产品到期提醒</w:t>
      </w:r>
      <w:r>
        <w:rPr>
          <w:rFonts w:hint="eastAsia" w:ascii="Times New Roman" w:hAnsi="Times New Roman"/>
          <w:bCs w:val="0"/>
          <w:szCs w:val="24"/>
          <w:lang w:eastAsia="zh-CN"/>
        </w:rPr>
        <w:t>、</w:t>
      </w:r>
      <w:r>
        <w:rPr>
          <w:rFonts w:hint="eastAsia" w:ascii="Times New Roman" w:hAnsi="Times New Roman"/>
          <w:bCs w:val="0"/>
          <w:szCs w:val="24"/>
          <w:lang w:val="en-US" w:eastAsia="zh-CN"/>
        </w:rPr>
        <w:t>贷后管理</w:t>
      </w:r>
      <w:r>
        <w:rPr>
          <w:rFonts w:hint="eastAsia" w:ascii="Times New Roman" w:hAnsi="Times New Roman"/>
          <w:bCs w:val="0"/>
          <w:szCs w:val="24"/>
        </w:rPr>
        <w:t>、资产配置营销建议等）。</w:t>
      </w:r>
    </w:p>
    <w:p w14:paraId="438DAC25">
      <w:pPr>
        <w:pStyle w:val="18"/>
        <w:numPr>
          <w:ilvl w:val="0"/>
          <w:numId w:val="11"/>
        </w:numPr>
        <w:ind w:firstLine="560"/>
      </w:pPr>
      <w:r>
        <w:rPr>
          <w:rFonts w:hint="eastAsia"/>
          <w:lang w:val="en-US" w:eastAsia="zh-CN"/>
        </w:rPr>
        <w:t>分别展示主办、协办</w:t>
      </w:r>
      <w:r>
        <w:rPr>
          <w:rFonts w:hint="eastAsia"/>
        </w:rPr>
        <w:t>该客户的客户360视图，</w:t>
      </w:r>
      <w:r>
        <w:rPr>
          <w:rFonts w:hint="eastAsia"/>
          <w:lang w:val="en-US" w:eastAsia="zh-CN"/>
        </w:rPr>
        <w:t>如何区分主办、协办的查看、操作权限；</w:t>
      </w:r>
      <w:r>
        <w:rPr>
          <w:rFonts w:hint="eastAsia"/>
        </w:rPr>
        <w:t>如何让</w:t>
      </w:r>
      <w:r>
        <w:rPr>
          <w:rFonts w:hint="eastAsia"/>
          <w:lang w:val="en-US" w:eastAsia="zh-CN"/>
        </w:rPr>
        <w:t>客户经理</w:t>
      </w:r>
      <w:r>
        <w:rPr>
          <w:rFonts w:hint="eastAsia"/>
        </w:rPr>
        <w:t>清晰全方位了解客户的各类信息，以便管户人更好的服务客户及挖掘客户需求；</w:t>
      </w:r>
    </w:p>
    <w:p w14:paraId="4DA214F9">
      <w:pPr>
        <w:pStyle w:val="18"/>
        <w:numPr>
          <w:ilvl w:val="0"/>
          <w:numId w:val="11"/>
        </w:numPr>
        <w:ind w:firstLine="560"/>
      </w:pPr>
      <w:r>
        <w:rPr>
          <w:rFonts w:hint="eastAsia"/>
        </w:rPr>
        <w:t>针对集团客户，</w:t>
      </w:r>
      <w:r>
        <w:rPr>
          <w:rFonts w:hint="eastAsia"/>
          <w:lang w:val="en-US" w:eastAsia="zh-CN"/>
        </w:rPr>
        <w:t>展示集团客户判断规则，</w:t>
      </w:r>
      <w:r>
        <w:rPr>
          <w:rFonts w:hint="eastAsia"/>
        </w:rPr>
        <w:t>展示其集团架构、成员企业信息、集团整体授信及使用情况、集团内关联交易、资金归集情况等，形成完整的集团客户全景视图</w:t>
      </w:r>
      <w:r>
        <w:rPr>
          <w:rFonts w:hint="eastAsia"/>
          <w:lang w:eastAsia="zh-CN"/>
        </w:rPr>
        <w:t>；</w:t>
      </w:r>
    </w:p>
    <w:p w14:paraId="16D8CF88">
      <w:pPr>
        <w:pStyle w:val="18"/>
        <w:numPr>
          <w:ilvl w:val="0"/>
          <w:numId w:val="11"/>
        </w:numPr>
        <w:ind w:firstLine="560" w:firstLineChars="200"/>
        <w:rPr>
          <w:rFonts w:hint="eastAsia"/>
        </w:rPr>
      </w:pPr>
      <w:r>
        <w:rPr>
          <w:rFonts w:hint="eastAsia"/>
        </w:rPr>
        <w:t>解说当行内产品</w:t>
      </w:r>
      <w:r>
        <w:rPr>
          <w:rFonts w:hint="eastAsia"/>
          <w:lang w:eastAsia="zh-CN"/>
        </w:rPr>
        <w:t>、</w:t>
      </w:r>
      <w:r>
        <w:rPr>
          <w:rFonts w:hint="eastAsia"/>
          <w:lang w:val="en-US" w:eastAsia="zh-CN"/>
        </w:rPr>
        <w:t>业务</w:t>
      </w:r>
      <w:r>
        <w:rPr>
          <w:rFonts w:hint="eastAsia"/>
        </w:rPr>
        <w:t>发生变化，如新增、到期、撤销时，系统如何知悉，并启用何种机制，通过何种方式快速实现变化更新信息，保证数据的准确和及时，同时展示在各层级用户的界面</w:t>
      </w:r>
      <w:r>
        <w:rPr>
          <w:rFonts w:hint="eastAsia"/>
          <w:lang w:eastAsia="zh-CN"/>
        </w:rPr>
        <w:t>；</w:t>
      </w:r>
    </w:p>
    <w:p w14:paraId="75F41322">
      <w:pPr>
        <w:pStyle w:val="18"/>
        <w:numPr>
          <w:ilvl w:val="0"/>
          <w:numId w:val="11"/>
        </w:numPr>
        <w:ind w:firstLine="560" w:firstLineChars="200"/>
        <w:rPr>
          <w:rFonts w:hint="eastAsia"/>
        </w:rPr>
      </w:pPr>
      <w:r>
        <w:rPr>
          <w:rFonts w:hint="eastAsia"/>
          <w:lang w:val="en-US" w:eastAsia="zh-CN"/>
        </w:rPr>
        <w:t>展示当客户因性质、业务、风险等发生变化时，其对应的标签是否及时调整。</w:t>
      </w:r>
    </w:p>
    <w:p w14:paraId="56A0AED0">
      <w:pPr>
        <w:pStyle w:val="18"/>
        <w:ind w:firstLine="560"/>
      </w:pPr>
      <w:r>
        <w:rPr>
          <w:rFonts w:hint="eastAsia"/>
        </w:rPr>
        <w:t>关注要点：</w:t>
      </w:r>
    </w:p>
    <w:p w14:paraId="4DA18746">
      <w:pPr>
        <w:pStyle w:val="18"/>
        <w:numPr>
          <w:ilvl w:val="0"/>
          <w:numId w:val="12"/>
        </w:numPr>
        <w:ind w:firstLine="560"/>
        <w:rPr>
          <w:rFonts w:hint="eastAsia"/>
        </w:rPr>
      </w:pPr>
      <w:r>
        <w:rPr>
          <w:rFonts w:hint="eastAsia"/>
        </w:rPr>
        <w:t>客户信息展示齐全、科学合理</w:t>
      </w:r>
      <w:r>
        <w:rPr>
          <w:rFonts w:hint="eastAsia"/>
          <w:lang w:eastAsia="zh-CN"/>
        </w:rPr>
        <w:t>。</w:t>
      </w:r>
    </w:p>
    <w:p w14:paraId="62C970F7">
      <w:pPr>
        <w:pStyle w:val="18"/>
        <w:numPr>
          <w:ilvl w:val="0"/>
          <w:numId w:val="12"/>
        </w:numPr>
        <w:ind w:firstLine="560"/>
        <w:rPr>
          <w:rFonts w:hint="eastAsia"/>
        </w:rPr>
      </w:pPr>
      <w:r>
        <w:rPr>
          <w:rFonts w:hint="eastAsia"/>
          <w:lang w:val="en-US" w:eastAsia="zh-CN"/>
        </w:rPr>
        <w:t>集团客户判断、展示清晰、无误。</w:t>
      </w:r>
    </w:p>
    <w:p w14:paraId="66959018">
      <w:pPr>
        <w:pStyle w:val="18"/>
        <w:numPr>
          <w:ilvl w:val="0"/>
          <w:numId w:val="12"/>
        </w:numPr>
        <w:ind w:firstLine="560"/>
        <w:rPr>
          <w:rFonts w:hint="eastAsia"/>
        </w:rPr>
      </w:pPr>
      <w:r>
        <w:rPr>
          <w:rFonts w:hint="eastAsia"/>
          <w:lang w:val="en-US" w:eastAsia="zh-CN"/>
        </w:rPr>
        <w:t>主办、协办客户经理查看权限的边界清晰、无误。</w:t>
      </w:r>
    </w:p>
    <w:p w14:paraId="4037618F">
      <w:pPr>
        <w:pStyle w:val="18"/>
        <w:numPr>
          <w:ilvl w:val="0"/>
          <w:numId w:val="12"/>
        </w:numPr>
        <w:ind w:firstLine="560"/>
        <w:rPr>
          <w:rFonts w:hint="eastAsia"/>
        </w:rPr>
      </w:pPr>
      <w:r>
        <w:rPr>
          <w:rFonts w:hint="eastAsia"/>
          <w:lang w:val="en-US" w:eastAsia="zh-CN"/>
        </w:rPr>
        <w:t>标签分类科学、准确。</w:t>
      </w:r>
    </w:p>
    <w:p w14:paraId="7ED2A6E3">
      <w:pPr>
        <w:pStyle w:val="18"/>
        <w:numPr>
          <w:ilvl w:val="0"/>
          <w:numId w:val="12"/>
        </w:numPr>
        <w:ind w:firstLine="560"/>
        <w:rPr>
          <w:rFonts w:hint="eastAsia" w:ascii="Times New Roman" w:hAnsi="Times New Roman" w:cs="Times New Roman"/>
        </w:rPr>
      </w:pPr>
      <w:r>
        <w:rPr>
          <w:rFonts w:hint="eastAsia" w:ascii="Times New Roman" w:hAnsi="Times New Roman" w:cs="Times New Roman"/>
        </w:rPr>
        <w:t>数据校验和更新机制是否完善。</w:t>
      </w:r>
    </w:p>
    <w:p w14:paraId="2641426E">
      <w:pPr>
        <w:pStyle w:val="6"/>
        <w:rPr>
          <w:rFonts w:hint="eastAsia" w:ascii="宋体" w:hAnsi="宋体" w:eastAsia="仿宋" w:cs="Times New Roman"/>
          <w:i w:val="0"/>
          <w:iCs w:val="0"/>
          <w:caps w:val="0"/>
          <w:spacing w:val="0"/>
          <w:sz w:val="28"/>
          <w:szCs w:val="28"/>
          <w:shd w:val="clear"/>
          <w:lang w:val="en-US" w:eastAsia="zh-CN"/>
        </w:rPr>
      </w:pPr>
      <w:r>
        <w:rPr>
          <w:rFonts w:hint="eastAsia" w:ascii="宋体" w:hAnsi="宋体" w:cs="Times New Roman"/>
          <w:i w:val="0"/>
          <w:iCs w:val="0"/>
          <w:caps w:val="0"/>
          <w:spacing w:val="0"/>
          <w:sz w:val="28"/>
          <w:szCs w:val="28"/>
          <w:shd w:val="clear"/>
          <w:lang w:val="en-US" w:eastAsia="zh-CN"/>
        </w:rPr>
        <w:t>客户评价模型与定价管理</w:t>
      </w:r>
    </w:p>
    <w:p w14:paraId="31C4B16B">
      <w:pPr>
        <w:pStyle w:val="18"/>
        <w:numPr>
          <w:ilvl w:val="-1"/>
          <w:numId w:val="0"/>
        </w:numPr>
        <w:ind w:firstLine="560"/>
        <w:rPr>
          <w:rFonts w:hint="eastAsia" w:ascii="仿宋" w:hAnsi="仿宋" w:eastAsia="仿宋" w:cs="仿宋"/>
          <w:i w:val="0"/>
          <w:iCs w:val="0"/>
          <w:caps w:val="0"/>
          <w:spacing w:val="0"/>
          <w:sz w:val="28"/>
          <w:szCs w:val="28"/>
          <w:shd w:val="clear"/>
        </w:rPr>
      </w:pPr>
      <w:r>
        <w:rPr>
          <w:rFonts w:hint="eastAsia" w:ascii="仿宋" w:hAnsi="仿宋" w:cs="仿宋"/>
          <w:i w:val="0"/>
          <w:iCs w:val="0"/>
          <w:caps w:val="0"/>
          <w:spacing w:val="0"/>
          <w:sz w:val="28"/>
          <w:szCs w:val="28"/>
          <w:shd w:val="clear"/>
          <w:lang w:eastAsia="zh-CN"/>
        </w:rPr>
        <w:t>（</w:t>
      </w:r>
      <w:r>
        <w:rPr>
          <w:rFonts w:hint="eastAsia" w:ascii="仿宋" w:hAnsi="仿宋" w:cs="仿宋"/>
          <w:i w:val="0"/>
          <w:iCs w:val="0"/>
          <w:caps w:val="0"/>
          <w:spacing w:val="0"/>
          <w:sz w:val="28"/>
          <w:szCs w:val="28"/>
          <w:shd w:val="clear"/>
          <w:lang w:val="en-US" w:eastAsia="zh-CN"/>
        </w:rPr>
        <w:t>1</w:t>
      </w:r>
      <w:r>
        <w:rPr>
          <w:rFonts w:hint="eastAsia" w:ascii="仿宋" w:hAnsi="仿宋" w:cs="仿宋"/>
          <w:i w:val="0"/>
          <w:iCs w:val="0"/>
          <w:caps w:val="0"/>
          <w:spacing w:val="0"/>
          <w:sz w:val="28"/>
          <w:szCs w:val="28"/>
          <w:shd w:val="clear"/>
          <w:lang w:eastAsia="zh-CN"/>
        </w:rPr>
        <w:t>）</w:t>
      </w:r>
      <w:r>
        <w:rPr>
          <w:rFonts w:hint="eastAsia" w:ascii="仿宋" w:hAnsi="仿宋" w:eastAsia="仿宋" w:cs="仿宋"/>
          <w:i w:val="0"/>
          <w:iCs w:val="0"/>
          <w:caps w:val="0"/>
          <w:color w:val="auto"/>
          <w:spacing w:val="0"/>
          <w:sz w:val="28"/>
          <w:szCs w:val="28"/>
          <w:shd w:val="clear" w:fill="auto"/>
        </w:rPr>
        <w:t>展示客户评价模型的管理功能，包括评价方案的新增、修改、审批流程等；</w:t>
      </w:r>
    </w:p>
    <w:p w14:paraId="16CCE9A0">
      <w:pPr>
        <w:pStyle w:val="18"/>
        <w:numPr>
          <w:ilvl w:val="-1"/>
          <w:numId w:val="0"/>
        </w:numPr>
        <w:ind w:firstLine="560"/>
        <w:rPr>
          <w:rFonts w:hint="eastAsia" w:ascii="仿宋" w:hAnsi="仿宋" w:eastAsia="仿宋" w:cs="仿宋"/>
          <w:i w:val="0"/>
          <w:iCs w:val="0"/>
          <w:caps w:val="0"/>
          <w:spacing w:val="0"/>
          <w:sz w:val="28"/>
          <w:szCs w:val="28"/>
          <w:shd w:val="clear"/>
        </w:rPr>
      </w:pPr>
      <w:r>
        <w:rPr>
          <w:rFonts w:hint="eastAsia" w:ascii="仿宋" w:hAnsi="仿宋" w:eastAsia="仿宋" w:cs="仿宋"/>
          <w:i w:val="0"/>
          <w:iCs w:val="0"/>
          <w:caps w:val="0"/>
          <w:color w:val="auto"/>
          <w:spacing w:val="0"/>
          <w:sz w:val="28"/>
          <w:szCs w:val="28"/>
          <w:shd w:val="clear" w:fill="auto"/>
        </w:rPr>
        <w:t>（2）展示如何通过系统维护客户忠诚度和贡献度评价方案，支持对客户评价方案的审批流程化管理；</w:t>
      </w:r>
    </w:p>
    <w:p w14:paraId="41CD43CC">
      <w:pPr>
        <w:pStyle w:val="18"/>
        <w:numPr>
          <w:ilvl w:val="-1"/>
          <w:numId w:val="0"/>
        </w:numPr>
        <w:ind w:firstLine="560"/>
        <w:rPr>
          <w:rFonts w:hint="eastAsia" w:ascii="仿宋" w:hAnsi="仿宋" w:eastAsia="仿宋" w:cs="仿宋"/>
          <w:i w:val="0"/>
          <w:iCs w:val="0"/>
          <w:caps w:val="0"/>
          <w:spacing w:val="0"/>
          <w:sz w:val="28"/>
          <w:szCs w:val="28"/>
          <w:shd w:val="clear"/>
        </w:rPr>
      </w:pPr>
      <w:r>
        <w:rPr>
          <w:rFonts w:hint="eastAsia" w:ascii="仿宋" w:hAnsi="仿宋" w:eastAsia="仿宋" w:cs="仿宋"/>
          <w:i w:val="0"/>
          <w:iCs w:val="0"/>
          <w:caps w:val="0"/>
          <w:color w:val="auto"/>
          <w:spacing w:val="0"/>
          <w:sz w:val="28"/>
          <w:szCs w:val="28"/>
          <w:shd w:val="clear" w:fill="auto"/>
        </w:rPr>
        <w:t>（3）展示如何维护贡献度指标权重、忠诚度区间参数等模型参数；</w:t>
      </w:r>
    </w:p>
    <w:p w14:paraId="34A899F6">
      <w:pPr>
        <w:pStyle w:val="18"/>
        <w:numPr>
          <w:ilvl w:val="-1"/>
          <w:numId w:val="0"/>
        </w:numPr>
        <w:ind w:firstLine="560"/>
        <w:rPr>
          <w:rFonts w:hint="eastAsia" w:ascii="仿宋" w:hAnsi="仿宋" w:cs="仿宋"/>
          <w:i w:val="0"/>
          <w:iCs w:val="0"/>
          <w:caps w:val="0"/>
          <w:spacing w:val="0"/>
          <w:sz w:val="28"/>
          <w:szCs w:val="28"/>
          <w:shd w:val="clear"/>
          <w:lang w:val="en-US" w:eastAsia="zh-CN"/>
        </w:rPr>
      </w:pPr>
      <w:r>
        <w:rPr>
          <w:rFonts w:hint="eastAsia" w:ascii="仿宋" w:hAnsi="仿宋" w:eastAsia="仿宋" w:cs="仿宋"/>
          <w:i w:val="0"/>
          <w:iCs w:val="0"/>
          <w:caps w:val="0"/>
          <w:color w:val="auto"/>
          <w:spacing w:val="0"/>
          <w:sz w:val="28"/>
          <w:szCs w:val="28"/>
          <w:shd w:val="clear" w:fill="auto"/>
        </w:rPr>
        <w:t>（4）</w:t>
      </w:r>
      <w:r>
        <w:rPr>
          <w:rFonts w:hint="eastAsia" w:ascii="仿宋" w:hAnsi="仿宋" w:cs="仿宋"/>
          <w:i w:val="0"/>
          <w:iCs w:val="0"/>
          <w:caps w:val="0"/>
          <w:spacing w:val="0"/>
          <w:sz w:val="28"/>
          <w:szCs w:val="28"/>
          <w:shd w:val="clear"/>
          <w:lang w:val="en-US" w:eastAsia="zh-CN"/>
        </w:rPr>
        <w:t>展示</w:t>
      </w:r>
      <w:r>
        <w:rPr>
          <w:rFonts w:hint="eastAsia" w:ascii="仿宋" w:hAnsi="仿宋" w:eastAsia="仿宋" w:cs="仿宋"/>
          <w:i w:val="0"/>
          <w:iCs w:val="0"/>
          <w:caps w:val="0"/>
          <w:color w:val="auto"/>
          <w:spacing w:val="0"/>
          <w:sz w:val="28"/>
          <w:szCs w:val="28"/>
          <w:shd w:val="clear" w:fill="auto"/>
        </w:rPr>
        <w:t>系统如何根据评价模型自动生成客户评级</w:t>
      </w:r>
      <w:r>
        <w:rPr>
          <w:rFonts w:hint="eastAsia" w:ascii="仿宋" w:hAnsi="仿宋" w:cs="仿宋"/>
          <w:i w:val="0"/>
          <w:iCs w:val="0"/>
          <w:caps w:val="0"/>
          <w:spacing w:val="0"/>
          <w:sz w:val="28"/>
          <w:szCs w:val="28"/>
          <w:shd w:val="clear"/>
          <w:lang w:val="en-US" w:eastAsia="zh-CN"/>
        </w:rPr>
        <w:t>和归属对应标签；</w:t>
      </w:r>
    </w:p>
    <w:p w14:paraId="45E5E096">
      <w:pPr>
        <w:pStyle w:val="18"/>
        <w:numPr>
          <w:ilvl w:val="-1"/>
          <w:numId w:val="0"/>
        </w:numPr>
        <w:ind w:firstLine="560"/>
        <w:rPr>
          <w:rFonts w:hint="eastAsia" w:ascii="仿宋" w:hAnsi="仿宋" w:cs="仿宋"/>
          <w:szCs w:val="28"/>
          <w:lang w:val="en-US" w:eastAsia="zh-CN"/>
        </w:rPr>
      </w:pPr>
      <w:r>
        <w:rPr>
          <w:rFonts w:hint="eastAsia" w:ascii="仿宋" w:hAnsi="仿宋" w:cs="仿宋"/>
          <w:szCs w:val="28"/>
          <w:lang w:eastAsia="zh-CN"/>
        </w:rPr>
        <w:t>（</w:t>
      </w:r>
      <w:r>
        <w:rPr>
          <w:rFonts w:hint="eastAsia" w:ascii="仿宋" w:hAnsi="仿宋" w:cs="仿宋"/>
          <w:szCs w:val="28"/>
          <w:lang w:val="en-US" w:eastAsia="zh-CN"/>
        </w:rPr>
        <w:t>5</w:t>
      </w:r>
      <w:r>
        <w:rPr>
          <w:rFonts w:hint="eastAsia" w:ascii="仿宋" w:hAnsi="仿宋" w:cs="仿宋"/>
          <w:szCs w:val="28"/>
          <w:lang w:eastAsia="zh-CN"/>
        </w:rPr>
        <w:t>）</w:t>
      </w:r>
      <w:r>
        <w:rPr>
          <w:rFonts w:hint="eastAsia" w:ascii="仿宋" w:hAnsi="仿宋" w:cs="仿宋"/>
          <w:szCs w:val="28"/>
          <w:lang w:val="en-US" w:eastAsia="zh-CN"/>
        </w:rPr>
        <w:t>展示客户定价的完整审批流程。</w:t>
      </w:r>
    </w:p>
    <w:p w14:paraId="439D233B">
      <w:pPr>
        <w:pStyle w:val="18"/>
        <w:ind w:firstLine="560"/>
      </w:pPr>
      <w:r>
        <w:rPr>
          <w:rFonts w:hint="eastAsia"/>
        </w:rPr>
        <w:t>关注要点：</w:t>
      </w:r>
    </w:p>
    <w:p w14:paraId="411B7016">
      <w:pPr>
        <w:pStyle w:val="18"/>
        <w:numPr>
          <w:ilvl w:val="0"/>
          <w:numId w:val="13"/>
        </w:numPr>
        <w:ind w:firstLine="560"/>
        <w:rPr>
          <w:rFonts w:hint="eastAsia" w:ascii="仿宋" w:hAnsi="仿宋" w:cs="仿宋"/>
          <w:szCs w:val="28"/>
          <w:lang w:val="en-US" w:eastAsia="zh-CN"/>
        </w:rPr>
      </w:pPr>
      <w:r>
        <w:rPr>
          <w:rFonts w:hint="eastAsia" w:ascii="仿宋" w:hAnsi="仿宋" w:cs="仿宋"/>
          <w:szCs w:val="28"/>
          <w:lang w:val="en-US" w:eastAsia="zh-CN"/>
        </w:rPr>
        <w:t>客户评分展示清晰；</w:t>
      </w:r>
    </w:p>
    <w:p w14:paraId="7A08D540">
      <w:pPr>
        <w:pStyle w:val="18"/>
        <w:numPr>
          <w:ilvl w:val="0"/>
          <w:numId w:val="13"/>
        </w:numPr>
        <w:ind w:firstLine="560"/>
        <w:rPr>
          <w:rFonts w:hint="default" w:ascii="仿宋" w:hAnsi="仿宋" w:cs="仿宋"/>
          <w:szCs w:val="28"/>
        </w:rPr>
      </w:pPr>
      <w:r>
        <w:rPr>
          <w:rFonts w:hint="eastAsia" w:ascii="仿宋" w:hAnsi="仿宋" w:cs="仿宋"/>
          <w:szCs w:val="28"/>
          <w:lang w:val="en-US" w:eastAsia="zh-CN"/>
        </w:rPr>
        <w:t>参数维护简便，</w:t>
      </w:r>
      <w:r>
        <w:rPr>
          <w:rFonts w:hint="eastAsia" w:ascii="仿宋" w:hAnsi="仿宋" w:eastAsia="仿宋" w:cs="仿宋"/>
          <w:i w:val="0"/>
          <w:iCs w:val="0"/>
          <w:caps w:val="0"/>
          <w:color w:val="auto"/>
          <w:spacing w:val="0"/>
          <w:sz w:val="28"/>
          <w:szCs w:val="28"/>
          <w:shd w:val="clear" w:fill="auto"/>
        </w:rPr>
        <w:t>规则可追溯</w:t>
      </w:r>
      <w:r>
        <w:rPr>
          <w:rFonts w:hint="eastAsia" w:ascii="仿宋" w:hAnsi="仿宋" w:cs="仿宋"/>
          <w:i w:val="0"/>
          <w:iCs w:val="0"/>
          <w:caps w:val="0"/>
          <w:spacing w:val="0"/>
          <w:sz w:val="28"/>
          <w:szCs w:val="28"/>
          <w:shd w:val="clear"/>
          <w:lang w:eastAsia="zh-CN"/>
        </w:rPr>
        <w:t>；</w:t>
      </w:r>
    </w:p>
    <w:p w14:paraId="680BCD31">
      <w:pPr>
        <w:pStyle w:val="18"/>
        <w:numPr>
          <w:ilvl w:val="0"/>
          <w:numId w:val="13"/>
        </w:numPr>
        <w:ind w:firstLine="560"/>
        <w:rPr>
          <w:rFonts w:hint="default" w:ascii="仿宋" w:hAnsi="仿宋" w:cs="仿宋"/>
          <w:szCs w:val="28"/>
        </w:rPr>
      </w:pPr>
      <w:r>
        <w:rPr>
          <w:rFonts w:hint="eastAsia" w:ascii="仿宋" w:hAnsi="仿宋" w:cs="仿宋"/>
          <w:i w:val="0"/>
          <w:iCs w:val="0"/>
          <w:caps w:val="0"/>
          <w:spacing w:val="0"/>
          <w:sz w:val="28"/>
          <w:szCs w:val="28"/>
          <w:shd w:val="clear"/>
          <w:lang w:val="en-US" w:eastAsia="zh-CN"/>
        </w:rPr>
        <w:t>客户定价审批链路完整。</w:t>
      </w:r>
    </w:p>
    <w:p w14:paraId="44D26CE2">
      <w:pPr>
        <w:pStyle w:val="6"/>
      </w:pPr>
      <w:r>
        <w:rPr>
          <w:rFonts w:hint="eastAsia"/>
        </w:rPr>
        <w:t>客户细分与精准营销</w:t>
      </w:r>
    </w:p>
    <w:p w14:paraId="70736D50">
      <w:pPr>
        <w:pStyle w:val="18"/>
        <w:ind w:firstLine="560"/>
        <w:rPr>
          <w:rFonts w:ascii="仿宋" w:hAnsi="仿宋" w:cs="仿宋"/>
          <w:szCs w:val="28"/>
        </w:rPr>
      </w:pPr>
      <w:r>
        <w:rPr>
          <w:rFonts w:hint="eastAsia" w:ascii="仿宋" w:hAnsi="仿宋" w:cs="仿宋"/>
          <w:szCs w:val="28"/>
        </w:rPr>
        <w:t>场景1：</w:t>
      </w:r>
      <w:r>
        <w:rPr>
          <w:rFonts w:hint="eastAsia" w:ascii="仿宋" w:hAnsi="仿宋" w:eastAsia="仿宋" w:cs="仿宋"/>
          <w:i w:val="0"/>
          <w:iCs w:val="0"/>
          <w:caps w:val="0"/>
          <w:spacing w:val="0"/>
          <w:sz w:val="28"/>
          <w:szCs w:val="28"/>
          <w:shd w:val="clear"/>
        </w:rPr>
        <w:t>假设有按行业分类（如制造业、批发零售业、科技服务业等）、企业规模（大型、中型、小型、微型）、信用评级（A、B、C类）等维度划分的客群，根据业务需要，在某一行业客群中，进一步筛选出近一年内有</w:t>
      </w:r>
      <w:r>
        <w:rPr>
          <w:rFonts w:hint="eastAsia" w:ascii="仿宋" w:hAnsi="仿宋" w:cs="仿宋"/>
          <w:i w:val="0"/>
          <w:iCs w:val="0"/>
          <w:caps w:val="0"/>
          <w:spacing w:val="0"/>
          <w:sz w:val="28"/>
          <w:szCs w:val="28"/>
          <w:shd w:val="clear"/>
          <w:lang w:val="en-US" w:eastAsia="zh-CN"/>
        </w:rPr>
        <w:t>国际业务</w:t>
      </w:r>
      <w:r>
        <w:rPr>
          <w:rFonts w:hint="eastAsia" w:ascii="仿宋" w:hAnsi="仿宋" w:eastAsia="仿宋" w:cs="仿宋"/>
          <w:i w:val="0"/>
          <w:iCs w:val="0"/>
          <w:caps w:val="0"/>
          <w:spacing w:val="0"/>
          <w:sz w:val="28"/>
          <w:szCs w:val="28"/>
          <w:shd w:val="clear"/>
        </w:rPr>
        <w:t>结算记录</w:t>
      </w:r>
      <w:r>
        <w:rPr>
          <w:rFonts w:hint="eastAsia" w:ascii="仿宋" w:hAnsi="仿宋" w:cs="仿宋"/>
          <w:i w:val="0"/>
          <w:iCs w:val="0"/>
          <w:caps w:val="0"/>
          <w:spacing w:val="0"/>
          <w:sz w:val="28"/>
          <w:szCs w:val="28"/>
          <w:shd w:val="clear"/>
          <w:lang w:eastAsia="zh-CN"/>
        </w:rPr>
        <w:t>，</w:t>
      </w:r>
      <w:r>
        <w:rPr>
          <w:rFonts w:hint="eastAsia" w:ascii="仿宋" w:hAnsi="仿宋" w:eastAsia="仿宋" w:cs="仿宋"/>
          <w:i w:val="0"/>
          <w:iCs w:val="0"/>
          <w:caps w:val="0"/>
          <w:spacing w:val="0"/>
          <w:sz w:val="28"/>
          <w:szCs w:val="28"/>
          <w:shd w:val="clear"/>
        </w:rPr>
        <w:t>且近期有融资需求的企业客户，进行</w:t>
      </w:r>
      <w:r>
        <w:rPr>
          <w:rFonts w:hint="eastAsia" w:ascii="仿宋" w:hAnsi="仿宋" w:cs="仿宋"/>
          <w:i w:val="0"/>
          <w:iCs w:val="0"/>
          <w:caps w:val="0"/>
          <w:spacing w:val="0"/>
          <w:sz w:val="28"/>
          <w:szCs w:val="28"/>
          <w:shd w:val="clear"/>
          <w:lang w:val="en-US" w:eastAsia="zh-CN"/>
        </w:rPr>
        <w:t>某产品重点营销</w:t>
      </w:r>
      <w:r>
        <w:rPr>
          <w:rFonts w:hint="eastAsia" w:ascii="仿宋" w:hAnsi="仿宋" w:eastAsia="仿宋" w:cs="仿宋"/>
          <w:i w:val="0"/>
          <w:iCs w:val="0"/>
          <w:caps w:val="0"/>
          <w:spacing w:val="0"/>
          <w:sz w:val="28"/>
          <w:szCs w:val="28"/>
          <w:shd w:val="clear"/>
        </w:rPr>
        <w:t>。</w:t>
      </w:r>
    </w:p>
    <w:p w14:paraId="1FF2CB28">
      <w:pPr>
        <w:pStyle w:val="18"/>
        <w:ind w:firstLine="560"/>
        <w:rPr>
          <w:rFonts w:ascii="仿宋" w:hAnsi="仿宋" w:cs="仿宋"/>
          <w:szCs w:val="28"/>
        </w:rPr>
      </w:pPr>
      <w:r>
        <w:rPr>
          <w:rFonts w:hint="eastAsia" w:ascii="仿宋" w:hAnsi="仿宋" w:cs="仿宋"/>
          <w:szCs w:val="28"/>
        </w:rPr>
        <w:t>场景2：筛选出属于国家重点支持行业（如绿色金融、科技创新类）、且近期有固定资产投资计划的企业客户，主动营销我行</w:t>
      </w:r>
      <w:r>
        <w:rPr>
          <w:rFonts w:hint="eastAsia" w:ascii="仿宋" w:hAnsi="仿宋" w:cs="仿宋"/>
          <w:szCs w:val="28"/>
          <w:lang w:val="en-US" w:eastAsia="zh-CN"/>
        </w:rPr>
        <w:t>某产品</w:t>
      </w:r>
      <w:r>
        <w:rPr>
          <w:rFonts w:hint="eastAsia" w:ascii="仿宋" w:hAnsi="仿宋" w:cs="仿宋"/>
          <w:szCs w:val="28"/>
        </w:rPr>
        <w:t>。</w:t>
      </w:r>
    </w:p>
    <w:p w14:paraId="3D512881">
      <w:pPr>
        <w:pStyle w:val="18"/>
        <w:ind w:firstLine="560"/>
        <w:rPr>
          <w:rFonts w:ascii="仿宋" w:hAnsi="仿宋" w:cs="仿宋"/>
          <w:szCs w:val="28"/>
        </w:rPr>
      </w:pPr>
      <w:r>
        <w:rPr>
          <w:rFonts w:hint="eastAsia" w:ascii="仿宋" w:hAnsi="仿宋" w:cs="仿宋"/>
          <w:szCs w:val="28"/>
        </w:rPr>
        <w:t>（1）系统中展示筛选过程，名单如何产生；</w:t>
      </w:r>
    </w:p>
    <w:p w14:paraId="2AAFE830">
      <w:pPr>
        <w:pStyle w:val="18"/>
        <w:ind w:firstLine="560"/>
        <w:rPr>
          <w:rFonts w:ascii="仿宋" w:hAnsi="仿宋" w:cs="仿宋"/>
          <w:szCs w:val="28"/>
        </w:rPr>
      </w:pPr>
      <w:r>
        <w:rPr>
          <w:rFonts w:hint="eastAsia" w:ascii="仿宋" w:hAnsi="仿宋" w:cs="仿宋"/>
          <w:szCs w:val="28"/>
        </w:rPr>
        <w:t>（2）产生后的营销名单如何在系统中进行任务分配（分配到分支行</w:t>
      </w:r>
      <w:r>
        <w:rPr>
          <w:rFonts w:hint="eastAsia" w:ascii="仿宋" w:hAnsi="仿宋" w:cs="仿宋"/>
          <w:szCs w:val="28"/>
          <w:lang w:val="en-US" w:eastAsia="zh-CN"/>
        </w:rPr>
        <w:t>或</w:t>
      </w:r>
      <w:r>
        <w:rPr>
          <w:rFonts w:hint="eastAsia" w:ascii="仿宋" w:hAnsi="仿宋" w:cs="仿宋"/>
          <w:szCs w:val="28"/>
        </w:rPr>
        <w:t>管户人）；</w:t>
      </w:r>
    </w:p>
    <w:p w14:paraId="104C387F">
      <w:pPr>
        <w:pStyle w:val="18"/>
        <w:ind w:firstLine="560"/>
        <w:rPr>
          <w:rFonts w:ascii="仿宋" w:hAnsi="仿宋" w:cs="仿宋"/>
          <w:szCs w:val="28"/>
        </w:rPr>
      </w:pPr>
      <w:r>
        <w:rPr>
          <w:rFonts w:hint="eastAsia" w:ascii="仿宋" w:hAnsi="仿宋" w:cs="仿宋"/>
          <w:szCs w:val="28"/>
        </w:rPr>
        <w:t>（3）总行、分行、支行各层级用户可视情况；</w:t>
      </w:r>
    </w:p>
    <w:p w14:paraId="6F0C24B1">
      <w:pPr>
        <w:pStyle w:val="18"/>
        <w:ind w:firstLine="560"/>
        <w:rPr>
          <w:rFonts w:hint="eastAsia" w:ascii="仿宋" w:hAnsi="仿宋" w:cs="仿宋"/>
          <w:szCs w:val="28"/>
        </w:rPr>
      </w:pPr>
      <w:r>
        <w:rPr>
          <w:rFonts w:hint="eastAsia" w:ascii="仿宋" w:hAnsi="仿宋" w:cs="仿宋"/>
          <w:szCs w:val="28"/>
        </w:rPr>
        <w:t>（4）管户人如何查看被分配的客群任务，如何执行相应的营销动作，系统如何提醒和记录；</w:t>
      </w:r>
    </w:p>
    <w:p w14:paraId="7A076CBA">
      <w:pPr>
        <w:pStyle w:val="18"/>
        <w:ind w:firstLine="560"/>
        <w:rPr>
          <w:rFonts w:hint="default" w:ascii="仿宋" w:hAnsi="仿宋" w:eastAsia="仿宋" w:cs="仿宋"/>
          <w:szCs w:val="28"/>
          <w:lang w:val="en-US" w:eastAsia="zh-CN"/>
        </w:rPr>
      </w:pPr>
      <w:r>
        <w:rPr>
          <w:rFonts w:hint="eastAsia" w:ascii="仿宋" w:hAnsi="仿宋" w:cs="仿宋"/>
          <w:szCs w:val="28"/>
          <w:lang w:eastAsia="zh-CN"/>
        </w:rPr>
        <w:t>（</w:t>
      </w:r>
      <w:r>
        <w:rPr>
          <w:rFonts w:hint="eastAsia" w:ascii="仿宋" w:hAnsi="仿宋" w:cs="仿宋"/>
          <w:szCs w:val="28"/>
          <w:lang w:val="en-US" w:eastAsia="zh-CN"/>
        </w:rPr>
        <w:t>5</w:t>
      </w:r>
      <w:r>
        <w:rPr>
          <w:rFonts w:hint="eastAsia" w:ascii="仿宋" w:hAnsi="仿宋" w:cs="仿宋"/>
          <w:szCs w:val="28"/>
          <w:lang w:eastAsia="zh-CN"/>
        </w:rPr>
        <w:t>）</w:t>
      </w:r>
      <w:r>
        <w:rPr>
          <w:rFonts w:hint="eastAsia" w:ascii="仿宋" w:hAnsi="仿宋" w:cs="仿宋"/>
          <w:szCs w:val="28"/>
          <w:lang w:val="en-US" w:eastAsia="zh-CN"/>
        </w:rPr>
        <w:t>管护人对客户进行面访或电访时，如何在移动端进行操作；</w:t>
      </w:r>
    </w:p>
    <w:p w14:paraId="3953FFCA">
      <w:pPr>
        <w:pStyle w:val="18"/>
        <w:ind w:firstLine="560"/>
        <w:rPr>
          <w:rFonts w:ascii="仿宋" w:hAnsi="仿宋" w:cs="仿宋"/>
          <w:szCs w:val="28"/>
        </w:rPr>
      </w:pPr>
      <w:r>
        <w:rPr>
          <w:rFonts w:hint="eastAsia" w:ascii="仿宋" w:hAnsi="仿宋" w:cs="仿宋"/>
          <w:szCs w:val="28"/>
        </w:rPr>
        <w:t>（5）展示每日监控跟踪</w:t>
      </w:r>
      <w:r>
        <w:rPr>
          <w:rFonts w:hint="eastAsia" w:ascii="仿宋" w:hAnsi="仿宋" w:cs="仿宋"/>
          <w:szCs w:val="28"/>
          <w:lang w:eastAsia="zh-CN"/>
        </w:rPr>
        <w:t>（</w:t>
      </w:r>
      <w:r>
        <w:rPr>
          <w:rFonts w:hint="eastAsia" w:ascii="仿宋" w:hAnsi="仿宋" w:cs="仿宋"/>
          <w:szCs w:val="28"/>
          <w:lang w:val="en-US" w:eastAsia="zh-CN"/>
        </w:rPr>
        <w:t>含拜访记录和营销任务记录</w:t>
      </w:r>
      <w:r>
        <w:rPr>
          <w:rFonts w:hint="eastAsia" w:ascii="仿宋" w:hAnsi="仿宋" w:cs="仿宋"/>
          <w:szCs w:val="28"/>
          <w:lang w:eastAsia="zh-CN"/>
        </w:rPr>
        <w:t>）</w:t>
      </w:r>
      <w:r>
        <w:rPr>
          <w:rFonts w:hint="eastAsia" w:ascii="仿宋" w:hAnsi="仿宋" w:cs="仿宋"/>
          <w:szCs w:val="28"/>
        </w:rPr>
        <w:t>，效果评估的案例要求；</w:t>
      </w:r>
    </w:p>
    <w:p w14:paraId="6933A173">
      <w:pPr>
        <w:pStyle w:val="18"/>
        <w:ind w:firstLine="560"/>
        <w:rPr>
          <w:rFonts w:ascii="仿宋" w:hAnsi="仿宋" w:cs="仿宋"/>
          <w:szCs w:val="28"/>
        </w:rPr>
      </w:pPr>
      <w:r>
        <w:rPr>
          <w:rFonts w:hint="eastAsia" w:ascii="仿宋" w:hAnsi="仿宋" w:cs="仿宋"/>
          <w:szCs w:val="28"/>
        </w:rPr>
        <w:t>（6）业务管理人员过程如何追踪该锁定客群</w:t>
      </w:r>
      <w:r>
        <w:rPr>
          <w:rFonts w:hint="eastAsia" w:ascii="仿宋" w:hAnsi="仿宋" w:cs="仿宋"/>
          <w:szCs w:val="28"/>
          <w:lang w:val="en-US" w:eastAsia="zh-CN"/>
        </w:rPr>
        <w:t>及每个客户</w:t>
      </w:r>
      <w:r>
        <w:rPr>
          <w:rFonts w:hint="eastAsia" w:ascii="仿宋" w:hAnsi="仿宋" w:cs="仿宋"/>
          <w:szCs w:val="28"/>
        </w:rPr>
        <w:t>的</w:t>
      </w:r>
      <w:r>
        <w:rPr>
          <w:rFonts w:hint="eastAsia" w:ascii="仿宋" w:hAnsi="仿宋" w:cs="仿宋"/>
          <w:szCs w:val="28"/>
          <w:lang w:val="en-US" w:eastAsia="zh-CN"/>
        </w:rPr>
        <w:t>业务报批与落地情况</w:t>
      </w:r>
      <w:r>
        <w:rPr>
          <w:rFonts w:hint="eastAsia" w:ascii="仿宋" w:hAnsi="仿宋" w:cs="仿宋"/>
          <w:szCs w:val="28"/>
        </w:rPr>
        <w:t>，管户人的触客次数，透视营销内容，检验成效等。活动结束后，如何对筛选名单进行处理。</w:t>
      </w:r>
    </w:p>
    <w:p w14:paraId="660EAF6A">
      <w:pPr>
        <w:pStyle w:val="18"/>
        <w:ind w:firstLine="560"/>
        <w:rPr>
          <w:rFonts w:ascii="仿宋" w:hAnsi="仿宋" w:cs="仿宋"/>
          <w:szCs w:val="28"/>
        </w:rPr>
      </w:pPr>
      <w:r>
        <w:rPr>
          <w:rFonts w:hint="eastAsia" w:ascii="仿宋" w:hAnsi="仿宋" w:cs="仿宋"/>
          <w:szCs w:val="28"/>
        </w:rPr>
        <w:t>关注要点：</w:t>
      </w:r>
    </w:p>
    <w:p w14:paraId="4A95C3DD">
      <w:pPr>
        <w:pStyle w:val="18"/>
        <w:ind w:firstLine="560"/>
        <w:rPr>
          <w:rFonts w:ascii="仿宋" w:hAnsi="仿宋" w:cs="仿宋"/>
          <w:szCs w:val="28"/>
        </w:rPr>
      </w:pPr>
      <w:r>
        <w:rPr>
          <w:rFonts w:hint="eastAsia" w:ascii="仿宋" w:hAnsi="仿宋" w:cs="仿宋"/>
          <w:szCs w:val="28"/>
        </w:rPr>
        <w:t>（1）筛选功能完善，满足多种场景组合，操作性强，准确性高；</w:t>
      </w:r>
    </w:p>
    <w:p w14:paraId="6903FA8D">
      <w:pPr>
        <w:pStyle w:val="18"/>
        <w:ind w:firstLine="560"/>
        <w:rPr>
          <w:rFonts w:hint="eastAsia" w:ascii="仿宋" w:hAnsi="仿宋" w:cs="仿宋"/>
          <w:szCs w:val="28"/>
        </w:rPr>
      </w:pPr>
      <w:r>
        <w:rPr>
          <w:rFonts w:hint="eastAsia" w:ascii="仿宋" w:hAnsi="仿宋" w:cs="仿宋"/>
          <w:szCs w:val="28"/>
        </w:rPr>
        <w:t>（2）对筛选出的名单分配操作合适简便；</w:t>
      </w:r>
    </w:p>
    <w:p w14:paraId="42660173">
      <w:pPr>
        <w:pStyle w:val="18"/>
        <w:ind w:firstLine="560"/>
        <w:rPr>
          <w:rFonts w:hint="default" w:ascii="仿宋" w:hAnsi="仿宋" w:eastAsia="仿宋" w:cs="仿宋"/>
          <w:szCs w:val="28"/>
          <w:lang w:val="en-US" w:eastAsia="zh-CN"/>
        </w:rPr>
      </w:pPr>
      <w:r>
        <w:rPr>
          <w:rFonts w:hint="eastAsia" w:ascii="仿宋" w:hAnsi="仿宋" w:cs="仿宋"/>
          <w:szCs w:val="28"/>
          <w:lang w:eastAsia="zh-CN"/>
        </w:rPr>
        <w:t>（</w:t>
      </w:r>
      <w:r>
        <w:rPr>
          <w:rFonts w:hint="eastAsia" w:ascii="仿宋" w:hAnsi="仿宋" w:cs="仿宋"/>
          <w:szCs w:val="28"/>
          <w:lang w:val="en-US" w:eastAsia="zh-CN"/>
        </w:rPr>
        <w:t>3</w:t>
      </w:r>
      <w:r>
        <w:rPr>
          <w:rFonts w:hint="eastAsia" w:ascii="仿宋" w:hAnsi="仿宋" w:cs="仿宋"/>
          <w:szCs w:val="28"/>
          <w:lang w:eastAsia="zh-CN"/>
        </w:rPr>
        <w:t>）</w:t>
      </w:r>
      <w:r>
        <w:rPr>
          <w:rFonts w:hint="eastAsia" w:ascii="仿宋" w:hAnsi="仿宋" w:cs="仿宋"/>
          <w:szCs w:val="28"/>
          <w:lang w:val="en-US" w:eastAsia="zh-CN"/>
        </w:rPr>
        <w:t>对客户的面访、电访操作简便，定位打卡、拜访记录等准确；</w:t>
      </w:r>
    </w:p>
    <w:p w14:paraId="5817C1C2">
      <w:pPr>
        <w:pStyle w:val="18"/>
        <w:ind w:firstLine="560" w:firstLineChars="0"/>
        <w:rPr>
          <w:rFonts w:hint="eastAsia" w:ascii="仿宋" w:hAnsi="仿宋" w:cs="仿宋"/>
          <w:szCs w:val="28"/>
        </w:rPr>
      </w:pPr>
      <w:r>
        <w:rPr>
          <w:rFonts w:hint="eastAsia" w:ascii="仿宋" w:hAnsi="仿宋" w:cs="仿宋"/>
          <w:szCs w:val="28"/>
        </w:rPr>
        <w:t>（3）对筛选出的名单</w:t>
      </w:r>
      <w:r>
        <w:rPr>
          <w:rFonts w:hint="eastAsia" w:ascii="仿宋" w:hAnsi="仿宋" w:cs="仿宋"/>
          <w:szCs w:val="28"/>
          <w:lang w:val="en-US" w:eastAsia="zh-CN"/>
        </w:rPr>
        <w:t>和单户</w:t>
      </w:r>
      <w:r>
        <w:rPr>
          <w:rFonts w:hint="eastAsia" w:ascii="仿宋" w:hAnsi="仿宋" w:cs="仿宋"/>
          <w:szCs w:val="28"/>
        </w:rPr>
        <w:t>跟踪满足业务使用所需。</w:t>
      </w:r>
    </w:p>
    <w:p w14:paraId="181B2698">
      <w:pPr>
        <w:pStyle w:val="6"/>
      </w:pPr>
      <w:r>
        <w:rPr>
          <w:rFonts w:hint="eastAsia"/>
        </w:rPr>
        <w:t>客户生命周期管理</w:t>
      </w:r>
    </w:p>
    <w:p w14:paraId="3C897974">
      <w:pPr>
        <w:pStyle w:val="18"/>
        <w:ind w:firstLine="560"/>
        <w:rPr>
          <w:rFonts w:ascii="仿宋" w:hAnsi="仿宋" w:cs="仿宋"/>
          <w:szCs w:val="28"/>
        </w:rPr>
      </w:pPr>
      <w:r>
        <w:rPr>
          <w:rFonts w:hint="eastAsia" w:ascii="仿宋" w:hAnsi="仿宋" w:cs="仿宋"/>
          <w:szCs w:val="28"/>
        </w:rPr>
        <w:t>假设有这三类对公客户：新开户企业（以开户日期判断）、成长期企业（近一年内业务量增长显著）、退出期企业（近期业务量持续下降或已结清业务）。</w:t>
      </w:r>
    </w:p>
    <w:p w14:paraId="11C0F560">
      <w:pPr>
        <w:pStyle w:val="18"/>
        <w:ind w:firstLine="560"/>
        <w:rPr>
          <w:rFonts w:ascii="仿宋" w:hAnsi="仿宋" w:cs="仿宋"/>
          <w:szCs w:val="28"/>
        </w:rPr>
      </w:pPr>
      <w:r>
        <w:rPr>
          <w:rFonts w:hint="eastAsia" w:ascii="仿宋" w:hAnsi="仿宋" w:cs="仿宋"/>
          <w:szCs w:val="28"/>
        </w:rPr>
        <w:t>（1）系统如何对这三类客户进行识别标注</w:t>
      </w:r>
      <w:r>
        <w:rPr>
          <w:rFonts w:hint="eastAsia" w:ascii="仿宋" w:hAnsi="仿宋" w:cs="仿宋"/>
          <w:szCs w:val="28"/>
          <w:lang w:val="en-US" w:eastAsia="zh-CN"/>
        </w:rPr>
        <w:t>和标签配置</w:t>
      </w:r>
      <w:r>
        <w:rPr>
          <w:rFonts w:hint="eastAsia" w:ascii="仿宋" w:hAnsi="仿宋" w:cs="仿宋"/>
          <w:szCs w:val="28"/>
        </w:rPr>
        <w:t>（能否自定义配置），并形成对应的商机对管户人进行提醒；</w:t>
      </w:r>
    </w:p>
    <w:p w14:paraId="4339EE94">
      <w:pPr>
        <w:pStyle w:val="18"/>
        <w:ind w:firstLine="560"/>
        <w:rPr>
          <w:rFonts w:ascii="仿宋" w:hAnsi="仿宋" w:cs="仿宋"/>
          <w:szCs w:val="28"/>
        </w:rPr>
      </w:pPr>
      <w:r>
        <w:rPr>
          <w:rFonts w:hint="eastAsia" w:ascii="仿宋" w:hAnsi="仿宋" w:cs="仿宋"/>
          <w:szCs w:val="28"/>
        </w:rPr>
        <w:t>（2）管户人如何对目标客户进行商机提醒的触客落实行为，管理者如何查看管户人执行情况；</w:t>
      </w:r>
    </w:p>
    <w:p w14:paraId="112A1CD6">
      <w:pPr>
        <w:pStyle w:val="18"/>
        <w:ind w:firstLine="560"/>
        <w:rPr>
          <w:rFonts w:ascii="仿宋" w:hAnsi="仿宋" w:cs="仿宋"/>
          <w:szCs w:val="28"/>
        </w:rPr>
      </w:pPr>
      <w:r>
        <w:rPr>
          <w:rFonts w:hint="eastAsia" w:ascii="仿宋" w:hAnsi="仿宋" w:cs="仿宋"/>
          <w:szCs w:val="28"/>
        </w:rPr>
        <w:t>（3）</w:t>
      </w:r>
      <w:r>
        <w:rPr>
          <w:rFonts w:hint="eastAsia" w:ascii="仿宋" w:hAnsi="仿宋" w:eastAsia="仿宋" w:cs="仿宋"/>
          <w:i w:val="0"/>
          <w:iCs w:val="0"/>
          <w:caps w:val="0"/>
          <w:spacing w:val="0"/>
          <w:sz w:val="28"/>
          <w:szCs w:val="28"/>
          <w:shd w:val="clear"/>
        </w:rPr>
        <w:t>客户业务规模提升或下降后，系统如何展示客户层级</w:t>
      </w:r>
      <w:r>
        <w:rPr>
          <w:rFonts w:hint="eastAsia" w:ascii="仿宋" w:hAnsi="仿宋" w:cs="仿宋"/>
          <w:i w:val="0"/>
          <w:iCs w:val="0"/>
          <w:caps w:val="0"/>
          <w:spacing w:val="0"/>
          <w:sz w:val="28"/>
          <w:szCs w:val="28"/>
          <w:shd w:val="clear"/>
          <w:lang w:val="en-US" w:eastAsia="zh-CN"/>
        </w:rPr>
        <w:t>及对应标签的</w:t>
      </w:r>
      <w:r>
        <w:rPr>
          <w:rFonts w:hint="eastAsia" w:ascii="仿宋" w:hAnsi="仿宋" w:eastAsia="仿宋" w:cs="仿宋"/>
          <w:i w:val="0"/>
          <w:iCs w:val="0"/>
          <w:caps w:val="0"/>
          <w:spacing w:val="0"/>
          <w:sz w:val="28"/>
          <w:szCs w:val="28"/>
          <w:shd w:val="clear"/>
        </w:rPr>
        <w:t>变化，</w:t>
      </w:r>
      <w:r>
        <w:rPr>
          <w:rFonts w:hint="eastAsia" w:ascii="仿宋" w:hAnsi="仿宋" w:cs="仿宋"/>
          <w:szCs w:val="28"/>
        </w:rPr>
        <w:t>各层级用户可视数据情况。</w:t>
      </w:r>
    </w:p>
    <w:p w14:paraId="789D5023">
      <w:pPr>
        <w:pStyle w:val="18"/>
        <w:ind w:firstLine="560"/>
        <w:rPr>
          <w:rFonts w:ascii="仿宋" w:hAnsi="仿宋" w:cs="仿宋"/>
          <w:szCs w:val="28"/>
        </w:rPr>
      </w:pPr>
      <w:r>
        <w:rPr>
          <w:rFonts w:hint="eastAsia" w:ascii="仿宋" w:hAnsi="仿宋" w:cs="仿宋"/>
          <w:szCs w:val="28"/>
        </w:rPr>
        <w:t>关注要点：</w:t>
      </w:r>
    </w:p>
    <w:p w14:paraId="074D21F8">
      <w:pPr>
        <w:pStyle w:val="18"/>
        <w:ind w:firstLine="560"/>
        <w:rPr>
          <w:rFonts w:ascii="仿宋" w:hAnsi="仿宋" w:cs="仿宋"/>
          <w:szCs w:val="28"/>
        </w:rPr>
      </w:pPr>
      <w:r>
        <w:rPr>
          <w:rFonts w:hint="eastAsia" w:ascii="仿宋" w:hAnsi="仿宋" w:cs="仿宋"/>
          <w:szCs w:val="28"/>
        </w:rPr>
        <w:t>系统清晰标注识别不同类别客户（支持配置），形成商机提醒，管户人简便执行响应，并形成对应的响应记录进行追踪。</w:t>
      </w:r>
    </w:p>
    <w:p w14:paraId="2A6E774F">
      <w:pPr>
        <w:pStyle w:val="6"/>
      </w:pPr>
      <w:r>
        <w:rPr>
          <w:rFonts w:hint="eastAsia"/>
        </w:rPr>
        <w:t>商机整合与提醒</w:t>
      </w:r>
    </w:p>
    <w:p w14:paraId="19C603BC">
      <w:pPr>
        <w:pStyle w:val="18"/>
        <w:ind w:firstLine="560"/>
        <w:rPr>
          <w:rFonts w:ascii="仿宋" w:hAnsi="仿宋" w:cs="仿宋"/>
          <w:szCs w:val="28"/>
        </w:rPr>
      </w:pPr>
      <w:r>
        <w:rPr>
          <w:rFonts w:hint="eastAsia" w:ascii="仿宋" w:hAnsi="仿宋" w:cs="仿宋"/>
          <w:szCs w:val="28"/>
        </w:rPr>
        <w:t>商机如可按产品商机归类及行为商机归类等，精准灵活配置，实现商机的良好把控，助力客户维护及营销开拓。</w:t>
      </w:r>
    </w:p>
    <w:p w14:paraId="2CA3ACB1">
      <w:pPr>
        <w:pStyle w:val="18"/>
        <w:ind w:firstLine="560"/>
        <w:rPr>
          <w:rFonts w:ascii="仿宋" w:hAnsi="仿宋" w:cs="仿宋"/>
          <w:szCs w:val="28"/>
        </w:rPr>
      </w:pPr>
      <w:r>
        <w:rPr>
          <w:rFonts w:hint="eastAsia" w:ascii="仿宋" w:hAnsi="仿宋" w:cs="仿宋"/>
          <w:szCs w:val="28"/>
        </w:rPr>
        <w:t>（1）展示商机的归类及分布情况；</w:t>
      </w:r>
    </w:p>
    <w:p w14:paraId="0B087207">
      <w:pPr>
        <w:pStyle w:val="18"/>
        <w:ind w:firstLine="560"/>
        <w:rPr>
          <w:rFonts w:ascii="仿宋" w:hAnsi="仿宋" w:cs="仿宋"/>
          <w:szCs w:val="28"/>
        </w:rPr>
      </w:pPr>
      <w:r>
        <w:rPr>
          <w:rFonts w:hint="eastAsia" w:ascii="仿宋" w:hAnsi="仿宋" w:cs="仿宋"/>
          <w:szCs w:val="28"/>
        </w:rPr>
        <w:t>（2）展示商机在系统中如何触发提醒用户（如</w:t>
      </w:r>
      <w:r>
        <w:rPr>
          <w:rFonts w:hint="eastAsia" w:ascii="仿宋" w:hAnsi="仿宋" w:cs="仿宋"/>
          <w:szCs w:val="28"/>
          <w:lang w:val="en-US" w:eastAsia="zh-CN"/>
        </w:rPr>
        <w:t>业务</w:t>
      </w:r>
      <w:r>
        <w:rPr>
          <w:rFonts w:hint="eastAsia" w:ascii="仿宋" w:hAnsi="仿宋" w:cs="仿宋"/>
          <w:szCs w:val="28"/>
        </w:rPr>
        <w:t>到期</w:t>
      </w:r>
      <w:r>
        <w:rPr>
          <w:rFonts w:hint="eastAsia" w:ascii="仿宋" w:hAnsi="仿宋" w:cs="仿宋"/>
          <w:szCs w:val="28"/>
          <w:lang w:eastAsia="zh-CN"/>
        </w:rPr>
        <w:t>、</w:t>
      </w:r>
      <w:r>
        <w:rPr>
          <w:rFonts w:hint="eastAsia" w:ascii="仿宋" w:hAnsi="仿宋" w:cs="仿宋"/>
          <w:szCs w:val="28"/>
          <w:lang w:val="en-US" w:eastAsia="zh-CN"/>
        </w:rPr>
        <w:t>大额资金变动、某外部数据变动、客户关系人生日提醒等</w:t>
      </w:r>
      <w:r>
        <w:rPr>
          <w:rFonts w:hint="eastAsia" w:ascii="仿宋" w:hAnsi="仿宋" w:cs="仿宋"/>
          <w:szCs w:val="28"/>
        </w:rPr>
        <w:t>），用户如何执行，系统如何记录执行情况；</w:t>
      </w:r>
    </w:p>
    <w:p w14:paraId="4ABF5D0A">
      <w:pPr>
        <w:pStyle w:val="18"/>
        <w:ind w:firstLine="560"/>
        <w:rPr>
          <w:rFonts w:ascii="仿宋" w:hAnsi="仿宋" w:cs="仿宋"/>
          <w:szCs w:val="28"/>
        </w:rPr>
      </w:pPr>
      <w:r>
        <w:rPr>
          <w:rFonts w:hint="eastAsia" w:ascii="仿宋" w:hAnsi="仿宋" w:cs="仿宋"/>
          <w:szCs w:val="28"/>
        </w:rPr>
        <w:t>（3）展示如何对商机的归类进行自定义配置，满足业务管理所需。</w:t>
      </w:r>
    </w:p>
    <w:p w14:paraId="1BBD5F90">
      <w:pPr>
        <w:pStyle w:val="18"/>
        <w:ind w:firstLine="560"/>
        <w:rPr>
          <w:rFonts w:ascii="仿宋" w:hAnsi="仿宋" w:cs="仿宋"/>
          <w:szCs w:val="28"/>
        </w:rPr>
      </w:pPr>
      <w:r>
        <w:rPr>
          <w:rFonts w:hint="eastAsia" w:ascii="仿宋" w:hAnsi="仿宋" w:cs="仿宋"/>
          <w:szCs w:val="28"/>
        </w:rPr>
        <w:t>关注要点：</w:t>
      </w:r>
    </w:p>
    <w:p w14:paraId="1D15B0AF">
      <w:pPr>
        <w:pStyle w:val="18"/>
        <w:ind w:firstLine="560"/>
        <w:rPr>
          <w:rFonts w:ascii="仿宋" w:hAnsi="仿宋" w:cs="仿宋"/>
          <w:szCs w:val="28"/>
        </w:rPr>
      </w:pPr>
      <w:r>
        <w:rPr>
          <w:rFonts w:hint="eastAsia" w:ascii="仿宋" w:hAnsi="仿宋" w:cs="仿宋"/>
          <w:szCs w:val="28"/>
        </w:rPr>
        <w:t>（1）归类科学合适，分布合理；</w:t>
      </w:r>
    </w:p>
    <w:p w14:paraId="4080EF4F">
      <w:pPr>
        <w:pStyle w:val="18"/>
        <w:ind w:firstLine="560"/>
        <w:rPr>
          <w:rFonts w:hint="eastAsia" w:ascii="仿宋" w:hAnsi="仿宋" w:cs="仿宋"/>
          <w:szCs w:val="28"/>
        </w:rPr>
      </w:pPr>
      <w:r>
        <w:rPr>
          <w:rFonts w:hint="eastAsia" w:ascii="仿宋" w:hAnsi="仿宋" w:cs="仿宋"/>
          <w:szCs w:val="28"/>
        </w:rPr>
        <w:t>（2）商机提醒合理，执行便捷，机制配置灵活性强。</w:t>
      </w:r>
    </w:p>
    <w:p w14:paraId="242383F7">
      <w:pPr>
        <w:pStyle w:val="6"/>
        <w:ind w:firstLineChars="0"/>
        <w:rPr>
          <w:rFonts w:hint="eastAsia" w:ascii="宋体" w:hAnsi="宋体" w:cs="Times New Roman"/>
          <w:szCs w:val="28"/>
          <w:lang w:val="en-US" w:eastAsia="zh-CN"/>
        </w:rPr>
      </w:pPr>
      <w:r>
        <w:rPr>
          <w:rFonts w:hint="eastAsia" w:ascii="宋体" w:hAnsi="宋体" w:cs="Times New Roman"/>
          <w:szCs w:val="28"/>
          <w:lang w:val="en-US" w:eastAsia="zh-CN"/>
        </w:rPr>
        <w:t>网格化营销管理</w:t>
      </w:r>
    </w:p>
    <w:p w14:paraId="7107AECD">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支持基于地域、行业、客户群等维度划分营销网格，实现网格内客户的精细化管理和营销资源的优化配置。</w:t>
      </w:r>
    </w:p>
    <w:p w14:paraId="7C461E6C">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（1）展示网格划分规则配置功能，支持按行政区域、经济区域、客户集群等维度灵活定义营销网格；</w:t>
      </w:r>
    </w:p>
    <w:p w14:paraId="006EEF95">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（2）展示网格与业务团队的匹配关系，按逻辑或物理规则分配客户；</w:t>
      </w:r>
    </w:p>
    <w:p w14:paraId="43EA6058">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（3）展示网格内客户的整体视图，包括支行周边(公里可配置)的企业、园区信息，存量客户周边同类企业营销等情况；</w:t>
      </w:r>
    </w:p>
    <w:p w14:paraId="74EEAAF2">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（4）说明系统如何支持网格营销任务的制定、分配、执行和跟踪，以及网格业绩的统计与评估。</w:t>
      </w:r>
    </w:p>
    <w:p w14:paraId="358E1430">
      <w:pPr>
        <w:pStyle w:val="18"/>
        <w:ind w:firstLine="560"/>
        <w:rPr>
          <w:rFonts w:ascii="仿宋" w:hAnsi="仿宋" w:cs="仿宋"/>
          <w:szCs w:val="28"/>
        </w:rPr>
      </w:pPr>
      <w:r>
        <w:rPr>
          <w:rFonts w:hint="eastAsia" w:ascii="仿宋" w:hAnsi="仿宋" w:cs="仿宋"/>
          <w:szCs w:val="28"/>
        </w:rPr>
        <w:t>关注要点：</w:t>
      </w:r>
    </w:p>
    <w:p w14:paraId="6A28E4D0">
      <w:pPr>
        <w:pStyle w:val="18"/>
        <w:ind w:firstLine="560" w:firstLineChars="0"/>
        <w:rPr>
          <w:rFonts w:hint="default" w:ascii="仿宋" w:hAnsi="仿宋" w:cs="仿宋"/>
          <w:szCs w:val="28"/>
          <w:lang w:val="en-US" w:eastAsia="zh-CN"/>
        </w:rPr>
      </w:pPr>
      <w:r>
        <w:rPr>
          <w:rFonts w:hint="eastAsia" w:ascii="仿宋" w:hAnsi="仿宋" w:cs="仿宋"/>
          <w:szCs w:val="28"/>
          <w:lang w:val="en-US" w:eastAsia="zh-CN"/>
        </w:rPr>
        <w:t>（1）网格展示直观、清晰，便于不同层级的机构、人员查看；</w:t>
      </w:r>
    </w:p>
    <w:p w14:paraId="19059A23">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（2）网格划分的规则科学合理，能有效覆盖目标客户群体；</w:t>
      </w:r>
    </w:p>
    <w:p w14:paraId="0EB933B1">
      <w:pPr>
        <w:pStyle w:val="18"/>
        <w:ind w:firstLine="560" w:firstLineChars="0"/>
        <w:rPr>
          <w:rFonts w:hint="eastAsia" w:ascii="仿宋" w:hAnsi="仿宋" w:cs="仿宋"/>
          <w:szCs w:val="28"/>
          <w:lang w:val="en-US" w:eastAsia="zh-CN"/>
        </w:rPr>
      </w:pPr>
      <w:r>
        <w:rPr>
          <w:rFonts w:hint="eastAsia" w:ascii="仿宋" w:hAnsi="仿宋" w:cs="仿宋"/>
          <w:szCs w:val="28"/>
          <w:lang w:val="en-US" w:eastAsia="zh-CN"/>
        </w:rPr>
        <w:t>（3）网格营销过程可控，效果可衡量。</w:t>
      </w:r>
    </w:p>
    <w:p w14:paraId="542C7CD6">
      <w:pPr>
        <w:pStyle w:val="6"/>
      </w:pPr>
      <w:r>
        <w:rPr>
          <w:rFonts w:hint="eastAsia"/>
          <w:lang w:val="en-US" w:eastAsia="zh-CN"/>
        </w:rPr>
        <w:t>经营分析</w:t>
      </w:r>
      <w:r>
        <w:rPr>
          <w:rFonts w:hint="eastAsia"/>
        </w:rPr>
        <w:t>展示</w:t>
      </w:r>
    </w:p>
    <w:p w14:paraId="51FD88CF">
      <w:pPr>
        <w:pStyle w:val="18"/>
        <w:ind w:firstLine="560"/>
        <w:rPr>
          <w:rFonts w:ascii="仿宋" w:hAnsi="仿宋" w:cs="仿宋"/>
          <w:szCs w:val="28"/>
        </w:rPr>
      </w:pPr>
      <w:r>
        <w:rPr>
          <w:rFonts w:hint="eastAsia" w:ascii="仿宋" w:hAnsi="仿宋" w:cs="仿宋"/>
          <w:szCs w:val="28"/>
        </w:rPr>
        <w:t>以不同层级及不同角色用户展示总行、分行、支行、客户经理四</w:t>
      </w:r>
      <w:r>
        <w:rPr>
          <w:rFonts w:hint="eastAsia" w:ascii="仿宋" w:hAnsi="仿宋" w:cs="仿宋"/>
          <w:szCs w:val="28"/>
          <w:lang w:val="en-US" w:eastAsia="zh-CN"/>
        </w:rPr>
        <w:t>个层级不同的</w:t>
      </w:r>
      <w:r>
        <w:rPr>
          <w:rFonts w:hint="eastAsia" w:ascii="仿宋" w:hAnsi="仿宋" w:cs="仿宋"/>
          <w:szCs w:val="28"/>
        </w:rPr>
        <w:t>用户角色的界面，展示过程需配以对应角色所关注的重点，贯穿式的介绍各类功能。</w:t>
      </w:r>
    </w:p>
    <w:p w14:paraId="47ABCE30">
      <w:pPr>
        <w:pStyle w:val="18"/>
        <w:numPr>
          <w:ilvl w:val="0"/>
          <w:numId w:val="14"/>
        </w:numPr>
        <w:ind w:firstLine="560"/>
        <w:rPr>
          <w:rFonts w:hint="eastAsia" w:ascii="仿宋" w:hAnsi="仿宋" w:cs="仿宋"/>
          <w:szCs w:val="28"/>
        </w:rPr>
      </w:pPr>
      <w:r>
        <w:rPr>
          <w:rFonts w:hint="eastAsia" w:ascii="仿宋" w:hAnsi="仿宋" w:cs="仿宋"/>
          <w:szCs w:val="28"/>
        </w:rPr>
        <w:t>总行、分行、支行、客户经理四</w:t>
      </w:r>
      <w:r>
        <w:rPr>
          <w:rFonts w:hint="eastAsia" w:ascii="仿宋" w:hAnsi="仿宋" w:cs="仿宋"/>
          <w:szCs w:val="28"/>
          <w:lang w:val="en-US" w:eastAsia="zh-CN"/>
        </w:rPr>
        <w:t>个层级的</w:t>
      </w:r>
      <w:r>
        <w:rPr>
          <w:rFonts w:hint="eastAsia" w:ascii="仿宋" w:hAnsi="仿宋" w:cs="仿宋"/>
          <w:szCs w:val="28"/>
        </w:rPr>
        <w:t>展示</w:t>
      </w:r>
      <w:r>
        <w:rPr>
          <w:rFonts w:hint="eastAsia" w:ascii="仿宋" w:hAnsi="仿宋" w:cs="仿宋"/>
          <w:szCs w:val="28"/>
          <w:lang w:eastAsia="zh-CN"/>
        </w:rPr>
        <w:t>，可逐层下钻，在管理层可看到往下层级的各类排序；</w:t>
      </w:r>
    </w:p>
    <w:p w14:paraId="7A454B1D">
      <w:pPr>
        <w:pStyle w:val="18"/>
        <w:numPr>
          <w:ilvl w:val="0"/>
          <w:numId w:val="14"/>
        </w:numPr>
        <w:ind w:firstLine="560"/>
        <w:rPr>
          <w:rFonts w:hint="eastAsia" w:ascii="仿宋" w:hAnsi="仿宋" w:cs="仿宋"/>
          <w:szCs w:val="28"/>
        </w:rPr>
      </w:pPr>
      <w:r>
        <w:rPr>
          <w:rFonts w:hint="eastAsia" w:ascii="仿宋" w:hAnsi="仿宋" w:cs="仿宋"/>
          <w:szCs w:val="28"/>
          <w:lang w:val="en-US" w:eastAsia="zh-CN"/>
        </w:rPr>
        <w:t>可</w:t>
      </w:r>
      <w:r>
        <w:rPr>
          <w:rFonts w:hint="eastAsia" w:ascii="仿宋" w:hAnsi="仿宋" w:cs="仿宋"/>
          <w:szCs w:val="28"/>
        </w:rPr>
        <w:t>提供最新数与变动情况（较上日、上月末、上季末、上年末、上年同期变动，部分数据展示趋势图）</w:t>
      </w:r>
      <w:r>
        <w:rPr>
          <w:rFonts w:hint="eastAsia" w:ascii="仿宋" w:hAnsi="仿宋" w:cs="仿宋"/>
          <w:szCs w:val="28"/>
          <w:lang w:eastAsia="zh-CN"/>
        </w:rPr>
        <w:t>；</w:t>
      </w:r>
    </w:p>
    <w:p w14:paraId="27308047">
      <w:pPr>
        <w:pStyle w:val="18"/>
        <w:numPr>
          <w:ilvl w:val="0"/>
          <w:numId w:val="14"/>
        </w:numPr>
        <w:ind w:firstLine="560"/>
        <w:rPr>
          <w:rFonts w:hint="eastAsia" w:ascii="仿宋" w:hAnsi="仿宋" w:cs="仿宋"/>
          <w:szCs w:val="28"/>
        </w:rPr>
      </w:pPr>
      <w:r>
        <w:rPr>
          <w:rFonts w:hint="eastAsia" w:ascii="仿宋" w:hAnsi="仿宋" w:cs="仿宋"/>
          <w:szCs w:val="28"/>
          <w:lang w:val="en-US" w:eastAsia="zh-CN"/>
        </w:rPr>
        <w:t>维度</w:t>
      </w:r>
      <w:r>
        <w:rPr>
          <w:rFonts w:hint="eastAsia" w:ascii="仿宋" w:hAnsi="仿宋" w:cs="仿宋"/>
          <w:szCs w:val="28"/>
        </w:rPr>
        <w:t>包括常规分析</w:t>
      </w:r>
      <w:r>
        <w:rPr>
          <w:rFonts w:hint="eastAsia" w:ascii="仿宋" w:hAnsi="仿宋" w:cs="仿宋"/>
          <w:szCs w:val="28"/>
          <w:lang w:eastAsia="zh-CN"/>
        </w:rPr>
        <w:t>（客户、资产、负债、中间业务等，含规模与净增的余额与日均等）</w:t>
      </w:r>
      <w:r>
        <w:rPr>
          <w:rFonts w:hint="eastAsia" w:ascii="仿宋" w:hAnsi="仿宋" w:cs="仿宋"/>
          <w:szCs w:val="28"/>
        </w:rPr>
        <w:t>、业务分析</w:t>
      </w:r>
      <w:r>
        <w:rPr>
          <w:rFonts w:hint="eastAsia" w:ascii="仿宋" w:hAnsi="仿宋" w:cs="仿宋"/>
          <w:szCs w:val="28"/>
          <w:lang w:eastAsia="zh-CN"/>
        </w:rPr>
        <w:t>（授信上报、批复、投放、还款，存款大额变动等）</w:t>
      </w:r>
      <w:r>
        <w:rPr>
          <w:rFonts w:hint="eastAsia" w:ascii="仿宋" w:hAnsi="仿宋" w:cs="仿宋"/>
          <w:szCs w:val="28"/>
        </w:rPr>
        <w:t>、产品分析</w:t>
      </w:r>
      <w:r>
        <w:rPr>
          <w:rFonts w:hint="eastAsia" w:ascii="仿宋" w:hAnsi="仿宋" w:cs="仿宋"/>
          <w:szCs w:val="28"/>
          <w:lang w:eastAsia="zh-CN"/>
        </w:rPr>
        <w:t>（营收、拨备前利润、拨备后利润、EVA，存款付息率、贷款收息率、利差，其中收入包括整体收入、存款收入、贷款收入、中间业务收入，存款/贷款利率分层统计客户数、规模数等）</w:t>
      </w:r>
      <w:r>
        <w:rPr>
          <w:rFonts w:hint="eastAsia" w:ascii="仿宋" w:hAnsi="仿宋" w:cs="仿宋"/>
          <w:szCs w:val="28"/>
        </w:rPr>
        <w:t>、收益分析</w:t>
      </w:r>
      <w:r>
        <w:rPr>
          <w:rFonts w:hint="eastAsia" w:ascii="仿宋" w:hAnsi="仿宋" w:cs="仿宋"/>
          <w:szCs w:val="28"/>
          <w:lang w:eastAsia="zh-CN"/>
        </w:rPr>
        <w:t>（营收、拨备前利润、拨备后利润、EVA，存款付息率、贷款收息率、利差，其中收入包括整体收入、存款收入、贷款收入、中间业务收入，存款/贷款利率分层统计客户数、规模数等）</w:t>
      </w:r>
      <w:r>
        <w:rPr>
          <w:rFonts w:hint="eastAsia" w:ascii="仿宋" w:hAnsi="仿宋" w:cs="仿宋"/>
          <w:szCs w:val="28"/>
        </w:rPr>
        <w:t>、客群分析</w:t>
      </w:r>
      <w:r>
        <w:rPr>
          <w:rFonts w:hint="eastAsia" w:ascii="仿宋" w:hAnsi="仿宋" w:cs="仿宋"/>
          <w:szCs w:val="28"/>
          <w:lang w:eastAsia="zh-CN"/>
        </w:rPr>
        <w:t>（结算户、价值户、授信客户、新拓授信户、贷款客户等，及根据标签可分类统计，包含客户数、规模，及产品加载分析）</w:t>
      </w:r>
      <w:r>
        <w:rPr>
          <w:rFonts w:hint="eastAsia" w:ascii="仿宋" w:hAnsi="仿宋" w:cs="仿宋"/>
          <w:szCs w:val="28"/>
        </w:rPr>
        <w:t>、客户排序</w:t>
      </w:r>
      <w:r>
        <w:rPr>
          <w:rFonts w:hint="eastAsia" w:ascii="仿宋" w:hAnsi="仿宋" w:cs="仿宋"/>
          <w:szCs w:val="28"/>
          <w:lang w:eastAsia="zh-CN"/>
        </w:rPr>
        <w:t>（客户综合收益排序、客户存贷款规模排序、客户上日/本月/本年规模、收益变化排序）</w:t>
      </w:r>
      <w:r>
        <w:rPr>
          <w:rFonts w:hint="eastAsia" w:ascii="仿宋" w:hAnsi="仿宋" w:cs="仿宋"/>
          <w:szCs w:val="28"/>
        </w:rPr>
        <w:t>、营销效果分析</w:t>
      </w:r>
      <w:r>
        <w:rPr>
          <w:rFonts w:hint="eastAsia" w:ascii="仿宋" w:hAnsi="仿宋" w:cs="仿宋"/>
          <w:szCs w:val="28"/>
          <w:lang w:eastAsia="zh-CN"/>
        </w:rPr>
        <w:t>（</w:t>
      </w:r>
      <w:r>
        <w:rPr>
          <w:rFonts w:hint="eastAsia" w:ascii="仿宋" w:hAnsi="仿宋" w:cs="仿宋"/>
          <w:szCs w:val="28"/>
          <w:lang w:val="en-US" w:eastAsia="zh-CN"/>
        </w:rPr>
        <w:t>任务/商机/网格化营销客户的触达、报批、审批、投放、新增情况</w:t>
      </w:r>
      <w:r>
        <w:rPr>
          <w:rFonts w:hint="eastAsia" w:ascii="仿宋" w:hAnsi="仿宋" w:cs="仿宋"/>
          <w:szCs w:val="28"/>
          <w:lang w:eastAsia="zh-CN"/>
        </w:rPr>
        <w:t>）</w:t>
      </w:r>
      <w:r>
        <w:rPr>
          <w:rFonts w:hint="eastAsia" w:ascii="仿宋" w:hAnsi="仿宋" w:cs="仿宋"/>
          <w:szCs w:val="28"/>
        </w:rPr>
        <w:t>等</w:t>
      </w:r>
      <w:r>
        <w:rPr>
          <w:rFonts w:hint="eastAsia" w:ascii="仿宋" w:hAnsi="仿宋" w:cs="仿宋"/>
          <w:szCs w:val="28"/>
          <w:lang w:eastAsia="zh-CN"/>
        </w:rPr>
        <w:t>；</w:t>
      </w:r>
    </w:p>
    <w:p w14:paraId="2F7720CB">
      <w:pPr>
        <w:pStyle w:val="18"/>
        <w:numPr>
          <w:ilvl w:val="0"/>
          <w:numId w:val="14"/>
        </w:numPr>
        <w:ind w:firstLine="560"/>
        <w:rPr>
          <w:rFonts w:hint="eastAsia" w:ascii="仿宋" w:hAnsi="仿宋" w:cs="仿宋"/>
          <w:szCs w:val="28"/>
        </w:rPr>
      </w:pPr>
      <w:r>
        <w:rPr>
          <w:rFonts w:hint="eastAsia" w:ascii="仿宋" w:hAnsi="仿宋" w:cs="仿宋"/>
          <w:szCs w:val="28"/>
        </w:rPr>
        <w:t>支持通过筛选功能等对各指标具体统计口径进行调整</w:t>
      </w:r>
      <w:r>
        <w:rPr>
          <w:rFonts w:hint="eastAsia" w:ascii="仿宋" w:hAnsi="仿宋" w:cs="仿宋"/>
          <w:szCs w:val="28"/>
          <w:lang w:eastAsia="zh-CN"/>
        </w:rPr>
        <w:t>；</w:t>
      </w:r>
    </w:p>
    <w:p w14:paraId="2F8467C2">
      <w:pPr>
        <w:pStyle w:val="18"/>
        <w:numPr>
          <w:ilvl w:val="0"/>
          <w:numId w:val="14"/>
        </w:numPr>
        <w:ind w:firstLine="560"/>
        <w:rPr>
          <w:rFonts w:hint="eastAsia" w:ascii="仿宋" w:hAnsi="仿宋" w:cs="仿宋"/>
          <w:szCs w:val="28"/>
        </w:rPr>
      </w:pPr>
      <w:r>
        <w:rPr>
          <w:rFonts w:hint="eastAsia" w:ascii="仿宋" w:hAnsi="仿宋" w:cs="仿宋"/>
          <w:szCs w:val="28"/>
        </w:rPr>
        <w:t>满足要求并有更优的建设方案建议。</w:t>
      </w:r>
    </w:p>
    <w:p w14:paraId="78DD26FC">
      <w:pPr>
        <w:pStyle w:val="18"/>
        <w:ind w:firstLine="560"/>
        <w:rPr>
          <w:rFonts w:ascii="仿宋" w:hAnsi="仿宋" w:cs="仿宋"/>
          <w:szCs w:val="28"/>
        </w:rPr>
      </w:pPr>
      <w:r>
        <w:rPr>
          <w:rFonts w:hint="eastAsia" w:ascii="仿宋" w:hAnsi="仿宋" w:cs="仿宋"/>
          <w:szCs w:val="28"/>
        </w:rPr>
        <w:t>关注要点：</w:t>
      </w:r>
    </w:p>
    <w:p w14:paraId="66024848">
      <w:pPr>
        <w:pStyle w:val="18"/>
        <w:numPr>
          <w:ilvl w:val="0"/>
          <w:numId w:val="15"/>
        </w:numPr>
        <w:ind w:firstLine="560"/>
        <w:rPr>
          <w:rFonts w:hint="eastAsia" w:ascii="仿宋" w:hAnsi="仿宋" w:cs="仿宋"/>
          <w:szCs w:val="28"/>
        </w:rPr>
      </w:pPr>
      <w:r>
        <w:rPr>
          <w:rFonts w:hint="eastAsia" w:ascii="仿宋" w:hAnsi="仿宋" w:cs="仿宋"/>
          <w:szCs w:val="28"/>
        </w:rPr>
        <w:t>不同角色</w:t>
      </w:r>
      <w:r>
        <w:rPr>
          <w:rFonts w:hint="eastAsia" w:ascii="仿宋" w:hAnsi="仿宋" w:cs="仿宋"/>
          <w:szCs w:val="28"/>
          <w:lang w:val="en-US" w:eastAsia="zh-CN"/>
        </w:rPr>
        <w:t>的权限配置准确，</w:t>
      </w:r>
      <w:r>
        <w:rPr>
          <w:rFonts w:hint="eastAsia" w:ascii="仿宋" w:hAnsi="仿宋" w:cs="仿宋"/>
          <w:szCs w:val="28"/>
        </w:rPr>
        <w:t>所关注重点功能板块齐全</w:t>
      </w:r>
      <w:r>
        <w:rPr>
          <w:rFonts w:hint="eastAsia" w:ascii="仿宋" w:hAnsi="仿宋" w:cs="仿宋"/>
          <w:szCs w:val="28"/>
          <w:lang w:eastAsia="zh-CN"/>
        </w:rPr>
        <w:t>；</w:t>
      </w:r>
    </w:p>
    <w:p w14:paraId="54458CCC">
      <w:pPr>
        <w:pStyle w:val="18"/>
        <w:numPr>
          <w:ilvl w:val="0"/>
          <w:numId w:val="15"/>
        </w:numPr>
        <w:ind w:firstLine="560"/>
        <w:rPr>
          <w:rFonts w:hint="eastAsia" w:ascii="仿宋" w:hAnsi="仿宋" w:cs="仿宋"/>
          <w:szCs w:val="28"/>
        </w:rPr>
      </w:pPr>
      <w:r>
        <w:rPr>
          <w:rFonts w:hint="eastAsia" w:ascii="仿宋" w:hAnsi="仿宋" w:cs="仿宋"/>
          <w:szCs w:val="28"/>
          <w:lang w:val="en-US" w:eastAsia="zh-CN"/>
        </w:rPr>
        <w:t>数据与关联系统的对应数据一致；</w:t>
      </w:r>
    </w:p>
    <w:p w14:paraId="3CEA0E2E">
      <w:pPr>
        <w:pStyle w:val="18"/>
        <w:ind w:firstLine="560"/>
        <w:rPr>
          <w:rFonts w:hint="eastAsia" w:ascii="仿宋" w:hAnsi="仿宋" w:eastAsia="仿宋" w:cs="仿宋"/>
          <w:szCs w:val="28"/>
          <w:lang w:eastAsia="zh-CN"/>
        </w:rPr>
      </w:pPr>
      <w:r>
        <w:rPr>
          <w:rFonts w:hint="eastAsia" w:ascii="仿宋" w:hAnsi="仿宋" w:cs="仿宋"/>
          <w:szCs w:val="28"/>
        </w:rPr>
        <w:t>（</w:t>
      </w:r>
      <w:r>
        <w:rPr>
          <w:rFonts w:hint="eastAsia" w:ascii="仿宋" w:hAnsi="仿宋" w:cs="仿宋"/>
          <w:szCs w:val="28"/>
          <w:lang w:val="en-US" w:eastAsia="zh-CN"/>
        </w:rPr>
        <w:t>3</w:t>
      </w:r>
      <w:r>
        <w:rPr>
          <w:rFonts w:hint="eastAsia" w:ascii="仿宋" w:hAnsi="仿宋" w:cs="仿宋"/>
          <w:szCs w:val="28"/>
        </w:rPr>
        <w:t>）重点功能板块的布局信息清晰实用，查阅操作便捷</w:t>
      </w:r>
      <w:r>
        <w:rPr>
          <w:rFonts w:hint="eastAsia" w:ascii="仿宋" w:hAnsi="仿宋" w:cs="仿宋"/>
          <w:szCs w:val="28"/>
          <w:lang w:eastAsia="zh-CN"/>
        </w:rPr>
        <w:t>；</w:t>
      </w:r>
    </w:p>
    <w:p w14:paraId="5300A6B1">
      <w:pPr>
        <w:pStyle w:val="18"/>
        <w:ind w:firstLine="560"/>
        <w:rPr>
          <w:rFonts w:hint="eastAsia" w:ascii="仿宋" w:hAnsi="仿宋" w:cs="仿宋"/>
          <w:szCs w:val="28"/>
        </w:rPr>
      </w:pPr>
      <w:r>
        <w:rPr>
          <w:rFonts w:ascii="仿宋" w:hAnsi="仿宋" w:cs="仿宋"/>
          <w:szCs w:val="28"/>
        </w:rPr>
        <w:t>（</w:t>
      </w:r>
      <w:r>
        <w:rPr>
          <w:rFonts w:hint="eastAsia" w:ascii="仿宋" w:hAnsi="仿宋" w:cs="仿宋"/>
          <w:szCs w:val="28"/>
          <w:lang w:val="en-US" w:eastAsia="zh-CN"/>
        </w:rPr>
        <w:t>4</w:t>
      </w:r>
      <w:r>
        <w:rPr>
          <w:rFonts w:ascii="仿宋" w:hAnsi="仿宋" w:cs="仿宋"/>
          <w:szCs w:val="28"/>
        </w:rPr>
        <w:t>）</w:t>
      </w:r>
      <w:r>
        <w:rPr>
          <w:rFonts w:hint="eastAsia" w:ascii="仿宋" w:hAnsi="仿宋" w:cs="仿宋"/>
          <w:szCs w:val="28"/>
        </w:rPr>
        <w:t>满足要求并有更优的连贯性及建设方案建议。</w:t>
      </w:r>
    </w:p>
    <w:p w14:paraId="12F9CB2F">
      <w:pPr>
        <w:pStyle w:val="6"/>
      </w:pPr>
      <w:r>
        <w:rPr>
          <w:rFonts w:hint="eastAsia"/>
          <w:lang w:val="en-US" w:eastAsia="zh-CN"/>
        </w:rPr>
        <w:t>工作台</w:t>
      </w:r>
      <w:r>
        <w:rPr>
          <w:rFonts w:hint="eastAsia"/>
        </w:rPr>
        <w:t>展示</w:t>
      </w:r>
    </w:p>
    <w:p w14:paraId="6FF7AFB7">
      <w:pPr>
        <w:pStyle w:val="18"/>
        <w:numPr>
          <w:ilvl w:val="0"/>
          <w:numId w:val="16"/>
        </w:numPr>
        <w:ind w:firstLine="560"/>
        <w:rPr>
          <w:rFonts w:hint="eastAsia" w:ascii="仿宋" w:hAnsi="仿宋" w:cs="仿宋"/>
          <w:i w:val="0"/>
          <w:iCs w:val="0"/>
          <w:caps w:val="0"/>
          <w:spacing w:val="0"/>
          <w:sz w:val="28"/>
          <w:szCs w:val="28"/>
          <w:shd w:val="clear"/>
          <w:lang w:eastAsia="zh-CN"/>
        </w:rPr>
      </w:pPr>
      <w:r>
        <w:rPr>
          <w:rFonts w:hint="eastAsia" w:ascii="仿宋" w:hAnsi="仿宋" w:eastAsia="仿宋" w:cs="仿宋"/>
          <w:i w:val="0"/>
          <w:iCs w:val="0"/>
          <w:caps w:val="0"/>
          <w:spacing w:val="0"/>
          <w:sz w:val="28"/>
          <w:szCs w:val="28"/>
          <w:shd w:val="clear"/>
        </w:rPr>
        <w:t>展示</w:t>
      </w:r>
      <w:r>
        <w:rPr>
          <w:rFonts w:hint="eastAsia" w:ascii="仿宋" w:hAnsi="仿宋" w:cs="仿宋"/>
          <w:i w:val="0"/>
          <w:iCs w:val="0"/>
          <w:caps w:val="0"/>
          <w:spacing w:val="0"/>
          <w:sz w:val="28"/>
          <w:szCs w:val="28"/>
          <w:shd w:val="clear"/>
          <w:lang w:val="en-US" w:eastAsia="zh-CN"/>
        </w:rPr>
        <w:t>工作日历</w:t>
      </w:r>
      <w:r>
        <w:rPr>
          <w:rFonts w:hint="eastAsia" w:ascii="仿宋" w:hAnsi="仿宋" w:eastAsia="仿宋" w:cs="仿宋"/>
          <w:i w:val="0"/>
          <w:iCs w:val="0"/>
          <w:caps w:val="0"/>
          <w:spacing w:val="0"/>
          <w:sz w:val="28"/>
          <w:szCs w:val="28"/>
          <w:shd w:val="clear"/>
        </w:rPr>
        <w:t>功能，支持月视图、周视图、日视图等多种展示方式</w:t>
      </w:r>
      <w:r>
        <w:rPr>
          <w:rFonts w:hint="eastAsia" w:ascii="仿宋" w:hAnsi="仿宋" w:cs="仿宋"/>
          <w:i w:val="0"/>
          <w:iCs w:val="0"/>
          <w:caps w:val="0"/>
          <w:spacing w:val="0"/>
          <w:sz w:val="28"/>
          <w:szCs w:val="28"/>
          <w:shd w:val="clear"/>
          <w:lang w:eastAsia="zh-CN"/>
        </w:rPr>
        <w:t>；</w:t>
      </w:r>
      <w:r>
        <w:rPr>
          <w:rFonts w:hint="eastAsia" w:ascii="仿宋" w:hAnsi="仿宋" w:cs="仿宋"/>
          <w:i w:val="0"/>
          <w:iCs w:val="0"/>
          <w:caps w:val="0"/>
          <w:spacing w:val="0"/>
          <w:sz w:val="28"/>
          <w:szCs w:val="28"/>
          <w:shd w:val="clear"/>
          <w:lang w:val="en-US" w:eastAsia="zh-CN"/>
        </w:rPr>
        <w:t>展示我的提醒、我的任务等功能，</w:t>
      </w:r>
      <w:r>
        <w:rPr>
          <w:rFonts w:hint="eastAsia" w:ascii="仿宋" w:hAnsi="仿宋" w:eastAsia="仿宋" w:cs="仿宋"/>
          <w:i w:val="0"/>
          <w:iCs w:val="0"/>
          <w:caps w:val="0"/>
          <w:spacing w:val="0"/>
          <w:sz w:val="28"/>
          <w:szCs w:val="28"/>
          <w:shd w:val="clear"/>
        </w:rPr>
        <w:t>以及与客户拜访、业务办理等活动的关联</w:t>
      </w:r>
      <w:r>
        <w:rPr>
          <w:rFonts w:hint="eastAsia" w:ascii="仿宋" w:hAnsi="仿宋" w:cs="仿宋"/>
          <w:i w:val="0"/>
          <w:iCs w:val="0"/>
          <w:caps w:val="0"/>
          <w:spacing w:val="0"/>
          <w:sz w:val="28"/>
          <w:szCs w:val="28"/>
          <w:shd w:val="clear"/>
          <w:lang w:eastAsia="zh-CN"/>
        </w:rPr>
        <w:t>；</w:t>
      </w:r>
    </w:p>
    <w:p w14:paraId="4E189271">
      <w:pPr>
        <w:pStyle w:val="18"/>
        <w:numPr>
          <w:ilvl w:val="0"/>
          <w:numId w:val="16"/>
        </w:numPr>
        <w:ind w:firstLine="560"/>
        <w:rPr>
          <w:rFonts w:hint="eastAsia" w:ascii="仿宋" w:hAnsi="仿宋" w:cs="仿宋"/>
          <w:szCs w:val="28"/>
          <w:lang w:val="en-US" w:eastAsia="zh-CN"/>
        </w:rPr>
      </w:pPr>
      <w:r>
        <w:rPr>
          <w:rFonts w:hint="eastAsia" w:ascii="仿宋" w:hAnsi="仿宋" w:cs="仿宋"/>
          <w:szCs w:val="28"/>
          <w:lang w:val="en-US" w:eastAsia="zh-CN"/>
        </w:rPr>
        <w:t>展示金融计算器功能，提供包括贷款试算、存款试算、综合收益试算等金融计算工具，展示金融计算器如何支持根据不同业务品种将FTP、费率、风险资本占用等常用指标预设为统一参数或固定值，营销人员仅需输入客户相关的变动值（如金额、利率、期限等），即可自动计算出准确的结果。</w:t>
      </w:r>
    </w:p>
    <w:p w14:paraId="30E026DF">
      <w:pPr>
        <w:pStyle w:val="18"/>
        <w:ind w:firstLine="560"/>
        <w:rPr>
          <w:rFonts w:hint="default" w:ascii="仿宋" w:hAnsi="仿宋" w:eastAsia="仿宋" w:cs="仿宋"/>
          <w:szCs w:val="28"/>
          <w:lang w:val="en-US" w:eastAsia="zh-CN"/>
        </w:rPr>
      </w:pPr>
      <w:r>
        <w:rPr>
          <w:rFonts w:hint="eastAsia" w:ascii="仿宋" w:hAnsi="仿宋" w:cs="仿宋"/>
          <w:szCs w:val="28"/>
          <w:lang w:val="en-US" w:eastAsia="zh-CN"/>
        </w:rPr>
        <w:t>关注要点：</w:t>
      </w:r>
    </w:p>
    <w:p w14:paraId="5E80D2ED">
      <w:pPr>
        <w:pStyle w:val="18"/>
        <w:ind w:firstLine="560"/>
        <w:rPr>
          <w:rFonts w:hint="eastAsia" w:ascii="仿宋" w:hAnsi="仿宋" w:cs="仿宋"/>
          <w:szCs w:val="28"/>
        </w:rPr>
      </w:pPr>
      <w:r>
        <w:rPr>
          <w:rFonts w:hint="eastAsia" w:ascii="仿宋" w:hAnsi="仿宋" w:cs="仿宋"/>
          <w:szCs w:val="28"/>
          <w:lang w:eastAsia="zh-CN"/>
        </w:rPr>
        <w:t>（</w:t>
      </w:r>
      <w:r>
        <w:rPr>
          <w:rFonts w:hint="eastAsia" w:ascii="仿宋" w:hAnsi="仿宋" w:cs="仿宋"/>
          <w:szCs w:val="28"/>
          <w:lang w:val="en-US" w:eastAsia="zh-CN"/>
        </w:rPr>
        <w:t>1</w:t>
      </w:r>
      <w:r>
        <w:rPr>
          <w:rFonts w:hint="eastAsia" w:ascii="仿宋" w:hAnsi="仿宋" w:cs="仿宋"/>
          <w:szCs w:val="28"/>
          <w:lang w:eastAsia="zh-CN"/>
        </w:rPr>
        <w:t>）</w:t>
      </w:r>
      <w:r>
        <w:rPr>
          <w:rFonts w:hint="eastAsia" w:ascii="仿宋" w:hAnsi="仿宋" w:cs="仿宋"/>
          <w:szCs w:val="28"/>
        </w:rPr>
        <w:t>工作台布局</w:t>
      </w:r>
      <w:r>
        <w:rPr>
          <w:rFonts w:hint="eastAsia" w:ascii="仿宋" w:hAnsi="仿宋" w:cs="仿宋"/>
          <w:szCs w:val="28"/>
          <w:lang w:eastAsia="zh-CN"/>
        </w:rPr>
        <w:t>、</w:t>
      </w:r>
      <w:r>
        <w:rPr>
          <w:rFonts w:hint="eastAsia" w:ascii="仿宋" w:hAnsi="仿宋" w:cs="仿宋"/>
          <w:szCs w:val="28"/>
          <w:lang w:val="en-US" w:eastAsia="zh-CN"/>
        </w:rPr>
        <w:t>弹窗提醒</w:t>
      </w:r>
      <w:r>
        <w:rPr>
          <w:rFonts w:hint="eastAsia" w:ascii="仿宋" w:hAnsi="仿宋" w:cs="仿宋"/>
          <w:szCs w:val="28"/>
        </w:rPr>
        <w:t>合理，</w:t>
      </w:r>
      <w:r>
        <w:rPr>
          <w:rFonts w:hint="eastAsia" w:ascii="仿宋" w:hAnsi="仿宋" w:cs="仿宋"/>
          <w:szCs w:val="28"/>
          <w:lang w:val="en-US" w:eastAsia="zh-CN"/>
        </w:rPr>
        <w:t>界面美观舒适，</w:t>
      </w:r>
      <w:r>
        <w:rPr>
          <w:rFonts w:hint="eastAsia" w:ascii="仿宋" w:hAnsi="仿宋" w:cs="仿宋"/>
          <w:szCs w:val="28"/>
        </w:rPr>
        <w:t>重点信息突出；</w:t>
      </w:r>
    </w:p>
    <w:p w14:paraId="785618B6">
      <w:pPr>
        <w:pStyle w:val="18"/>
        <w:ind w:firstLine="560"/>
        <w:rPr>
          <w:rFonts w:hint="eastAsia" w:ascii="仿宋" w:hAnsi="仿宋" w:cs="仿宋"/>
          <w:szCs w:val="28"/>
          <w:lang w:eastAsia="zh-CN"/>
        </w:rPr>
      </w:pPr>
      <w:r>
        <w:rPr>
          <w:rFonts w:hint="eastAsia" w:ascii="仿宋" w:hAnsi="仿宋" w:cs="仿宋"/>
          <w:szCs w:val="28"/>
          <w:lang w:eastAsia="zh-CN"/>
        </w:rPr>
        <w:t>（</w:t>
      </w:r>
      <w:r>
        <w:rPr>
          <w:rFonts w:hint="eastAsia" w:ascii="仿宋" w:hAnsi="仿宋" w:cs="仿宋"/>
          <w:szCs w:val="28"/>
          <w:lang w:val="en-US" w:eastAsia="zh-CN"/>
        </w:rPr>
        <w:t>2</w:t>
      </w:r>
      <w:r>
        <w:rPr>
          <w:rFonts w:hint="eastAsia" w:ascii="仿宋" w:hAnsi="仿宋" w:cs="仿宋"/>
          <w:szCs w:val="28"/>
          <w:lang w:eastAsia="zh-CN"/>
        </w:rPr>
        <w:t>）</w:t>
      </w:r>
      <w:r>
        <w:rPr>
          <w:rFonts w:hint="eastAsia" w:ascii="仿宋" w:hAnsi="仿宋" w:cs="仿宋"/>
          <w:szCs w:val="28"/>
        </w:rPr>
        <w:t>待办事项处理便捷，</w:t>
      </w:r>
      <w:r>
        <w:rPr>
          <w:rFonts w:hint="eastAsia" w:ascii="仿宋" w:hAnsi="仿宋" w:cs="仿宋"/>
          <w:szCs w:val="28"/>
          <w:lang w:val="en-US" w:eastAsia="zh-CN"/>
        </w:rPr>
        <w:t>能根据需要快速跳转至客户首页、任务/商机等页面</w:t>
      </w:r>
      <w:r>
        <w:rPr>
          <w:rFonts w:hint="eastAsia" w:ascii="仿宋" w:hAnsi="仿宋" w:cs="仿宋"/>
          <w:szCs w:val="28"/>
          <w:lang w:eastAsia="zh-CN"/>
        </w:rPr>
        <w:t>。</w:t>
      </w:r>
    </w:p>
    <w:p w14:paraId="745386AF">
      <w:pPr>
        <w:pStyle w:val="18"/>
        <w:ind w:firstLine="560"/>
        <w:rPr>
          <w:rFonts w:ascii="仿宋" w:hAnsi="仿宋" w:cs="仿宋"/>
          <w:szCs w:val="28"/>
        </w:rPr>
      </w:pPr>
      <w:r>
        <w:rPr>
          <w:rFonts w:hint="eastAsia" w:ascii="仿宋" w:hAnsi="仿宋" w:cs="仿宋"/>
          <w:szCs w:val="28"/>
          <w:lang w:eastAsia="zh-CN"/>
        </w:rPr>
        <w:t>（</w:t>
      </w:r>
      <w:r>
        <w:rPr>
          <w:rFonts w:hint="eastAsia" w:ascii="仿宋" w:hAnsi="仿宋" w:cs="仿宋"/>
          <w:szCs w:val="28"/>
          <w:lang w:val="en-US" w:eastAsia="zh-CN"/>
        </w:rPr>
        <w:t>3</w:t>
      </w:r>
      <w:r>
        <w:rPr>
          <w:rFonts w:hint="eastAsia" w:ascii="仿宋" w:hAnsi="仿宋" w:cs="仿宋"/>
          <w:szCs w:val="28"/>
          <w:lang w:eastAsia="zh-CN"/>
        </w:rPr>
        <w:t>）金融计算器支持关键业务参数的统一配置与灵活调用，操作简便，计算结果准确、直观。</w:t>
      </w:r>
    </w:p>
    <w:p w14:paraId="20AD3C22">
      <w:pPr>
        <w:pStyle w:val="5"/>
        <w:rPr>
          <w:rFonts w:ascii="仿宋" w:hAnsi="仿宋" w:cs="仿宋"/>
          <w:szCs w:val="28"/>
        </w:rPr>
      </w:pPr>
      <w:bookmarkStart w:id="36" w:name="_Toc15158"/>
      <w:bookmarkStart w:id="37" w:name="_Toc17638"/>
      <w:r>
        <w:rPr>
          <w:rFonts w:hint="eastAsia" w:ascii="仿宋" w:hAnsi="仿宋" w:eastAsia="仿宋" w:cs="仿宋"/>
        </w:rPr>
        <w:t>技术方案评测</w:t>
      </w:r>
      <w:bookmarkEnd w:id="36"/>
      <w:bookmarkEnd w:id="37"/>
    </w:p>
    <w:p w14:paraId="696FFABA">
      <w:pPr>
        <w:pStyle w:val="6"/>
      </w:pPr>
      <w:bookmarkStart w:id="38" w:name="_Toc23076"/>
      <w:bookmarkStart w:id="39" w:name="_Toc32026"/>
      <w:r>
        <w:rPr>
          <w:rFonts w:hint="eastAsia"/>
        </w:rPr>
        <w:t>客户数据加工能力</w:t>
      </w:r>
      <w:bookmarkEnd w:id="38"/>
      <w:bookmarkEnd w:id="39"/>
    </w:p>
    <w:p w14:paraId="5DA2AAE6">
      <w:pPr>
        <w:pStyle w:val="18"/>
        <w:ind w:firstLine="560"/>
        <w:rPr>
          <w:rFonts w:ascii="仿宋" w:hAnsi="仿宋" w:cs="仿宋"/>
          <w:szCs w:val="28"/>
        </w:rPr>
      </w:pPr>
      <w:r>
        <w:rPr>
          <w:rFonts w:hint="eastAsia" w:ascii="仿宋" w:hAnsi="仿宋" w:cs="仿宋"/>
          <w:szCs w:val="28"/>
        </w:rPr>
        <w:t>对厂商客户数据集市的整体实施方案的成熟性、可落地性进行评测，是否有效覆盖我行需求及支撑未来发展。</w:t>
      </w:r>
    </w:p>
    <w:p w14:paraId="681698A3">
      <w:pPr>
        <w:pStyle w:val="18"/>
        <w:ind w:firstLine="560"/>
        <w:rPr>
          <w:rFonts w:ascii="仿宋" w:hAnsi="仿宋" w:cs="仿宋"/>
          <w:szCs w:val="28"/>
        </w:rPr>
      </w:pPr>
      <w:r>
        <w:rPr>
          <w:rFonts w:hint="eastAsia" w:ascii="仿宋" w:hAnsi="仿宋" w:cs="仿宋"/>
          <w:szCs w:val="28"/>
        </w:rPr>
        <w:t>（1）数据集市的数据模型设计应充分考虑客户关系管理的共性，数据模型层级划分及主题划分是否合理、界限清晰；是否具有高可扩展性和易用性，满足后续数据应用和分析的扩展需求。</w:t>
      </w:r>
    </w:p>
    <w:p w14:paraId="62C05685">
      <w:pPr>
        <w:pStyle w:val="18"/>
        <w:ind w:firstLine="560"/>
        <w:rPr>
          <w:rFonts w:ascii="仿宋" w:hAnsi="仿宋" w:cs="仿宋"/>
          <w:szCs w:val="28"/>
        </w:rPr>
      </w:pPr>
      <w:r>
        <w:rPr>
          <w:rFonts w:hint="eastAsia" w:ascii="仿宋" w:hAnsi="仿宋" w:cs="仿宋"/>
          <w:szCs w:val="28"/>
        </w:rPr>
        <w:t>（2）数据集市在我行零售CRM系统建设的数据集市</w:t>
      </w:r>
      <w:r>
        <w:rPr>
          <w:rFonts w:hint="eastAsia" w:ascii="仿宋" w:hAnsi="仿宋" w:cs="仿宋"/>
          <w:szCs w:val="28"/>
          <w:lang w:val="en-US" w:eastAsia="zh-CN"/>
        </w:rPr>
        <w:t>进行</w:t>
      </w:r>
      <w:r>
        <w:rPr>
          <w:rFonts w:hint="eastAsia" w:ascii="仿宋" w:hAnsi="仿宋" w:cs="仿宋"/>
          <w:szCs w:val="28"/>
        </w:rPr>
        <w:t>扩展，模型的设计符合大数据分布式架构特征，能与传统关系型数据库的数据仓库设计方式区分，设计原则方面能确保性能方面的最优。</w:t>
      </w:r>
    </w:p>
    <w:p w14:paraId="4AC615B8">
      <w:pPr>
        <w:pStyle w:val="18"/>
        <w:ind w:firstLine="560"/>
        <w:rPr>
          <w:rFonts w:hint="eastAsia" w:ascii="仿宋" w:hAnsi="仿宋" w:cs="仿宋"/>
          <w:szCs w:val="28"/>
        </w:rPr>
      </w:pPr>
      <w:r>
        <w:rPr>
          <w:rFonts w:hint="eastAsia" w:ascii="仿宋" w:hAnsi="仿宋" w:cs="仿宋"/>
          <w:szCs w:val="28"/>
        </w:rPr>
        <w:t>（3）在我行零售CRM建设的标签应用上扩展对公标签功能，能为客户视图、客户分层管理、客群分析等CRM应用提供基础数据服务。</w:t>
      </w:r>
    </w:p>
    <w:p w14:paraId="66C9DA4B">
      <w:pPr>
        <w:pStyle w:val="18"/>
        <w:ind w:firstLine="560"/>
        <w:rPr>
          <w:rFonts w:hint="eastAsia" w:ascii="仿宋" w:hAnsi="仿宋" w:eastAsia="仿宋" w:cs="仿宋"/>
          <w:szCs w:val="28"/>
          <w:lang w:eastAsia="zh-CN"/>
        </w:rPr>
      </w:pPr>
      <w:r>
        <w:rPr>
          <w:rFonts w:hint="eastAsia" w:ascii="仿宋" w:hAnsi="仿宋" w:cs="仿宋"/>
          <w:szCs w:val="28"/>
          <w:lang w:eastAsia="zh-CN"/>
        </w:rPr>
        <w:t>（</w:t>
      </w:r>
      <w:r>
        <w:rPr>
          <w:rFonts w:hint="eastAsia" w:ascii="仿宋" w:hAnsi="仿宋" w:cs="仿宋"/>
          <w:szCs w:val="28"/>
          <w:lang w:val="en-US" w:eastAsia="zh-CN"/>
        </w:rPr>
        <w:t>4</w:t>
      </w:r>
      <w:r>
        <w:rPr>
          <w:rFonts w:hint="eastAsia" w:ascii="仿宋" w:hAnsi="仿宋" w:cs="仿宋"/>
          <w:szCs w:val="28"/>
          <w:lang w:eastAsia="zh-CN"/>
        </w:rPr>
        <w:t>）在我行零售CRM建设的营销应用上扩展对公营销应用功能。</w:t>
      </w:r>
    </w:p>
    <w:p w14:paraId="19C2F4F5">
      <w:pPr>
        <w:pStyle w:val="18"/>
        <w:ind w:firstLine="560"/>
        <w:rPr>
          <w:rFonts w:hint="eastAsia" w:ascii="仿宋" w:hAnsi="仿宋" w:cs="仿宋"/>
          <w:szCs w:val="28"/>
        </w:rPr>
      </w:pPr>
      <w:r>
        <w:rPr>
          <w:rFonts w:hint="eastAsia" w:ascii="仿宋" w:hAnsi="仿宋" w:cs="仿宋"/>
          <w:szCs w:val="28"/>
        </w:rPr>
        <w:t>（</w:t>
      </w:r>
      <w:r>
        <w:rPr>
          <w:rFonts w:hint="eastAsia" w:ascii="仿宋" w:hAnsi="仿宋" w:cs="仿宋"/>
          <w:szCs w:val="28"/>
          <w:lang w:val="en-US" w:eastAsia="zh-CN"/>
        </w:rPr>
        <w:t>5</w:t>
      </w:r>
      <w:r>
        <w:rPr>
          <w:rFonts w:hint="eastAsia" w:ascii="仿宋" w:hAnsi="仿宋" w:cs="仿宋"/>
          <w:szCs w:val="28"/>
        </w:rPr>
        <w:t>）厂商的客户数据集市是否具有成熟的数据应用支撑方案，能为客户管理、营销管理、产品管理等CRM应用提供基础数据服务，支持客户视图、客户分层管理、客群分析、产品查询及分析、客户及客户资产分析、客户经理分析等CRM应用。应充分考虑对应用扩展性的支撑，以便能支撑应用的快速变化。</w:t>
      </w:r>
    </w:p>
    <w:p w14:paraId="0CEE92EE">
      <w:pPr>
        <w:pStyle w:val="18"/>
        <w:ind w:firstLine="560"/>
        <w:rPr>
          <w:rFonts w:hint="eastAsia" w:ascii="仿宋" w:hAnsi="仿宋" w:cs="仿宋"/>
          <w:szCs w:val="28"/>
        </w:rPr>
      </w:pPr>
      <w:r>
        <w:rPr>
          <w:rFonts w:hint="eastAsia" w:ascii="仿宋" w:hAnsi="仿宋" w:cs="仿宋"/>
          <w:szCs w:val="28"/>
          <w:lang w:val="en-US" w:eastAsia="zh-CN"/>
        </w:rPr>
        <w:t>（6）厂商能否保证数据更新的时效性，支持关键指标（存款/贷款日均、余额等）每小时更新，并同步展示指标有变动的客户明细；其余指标在来源系统出数后T+1日内更新。</w:t>
      </w:r>
    </w:p>
    <w:p w14:paraId="7593AA1C">
      <w:pPr>
        <w:pStyle w:val="6"/>
      </w:pPr>
      <w:r>
        <w:rPr>
          <w:rFonts w:hint="eastAsia"/>
        </w:rPr>
        <w:t>产品技术能力</w:t>
      </w:r>
    </w:p>
    <w:p w14:paraId="4E8D6677">
      <w:pPr>
        <w:pStyle w:val="18"/>
        <w:ind w:firstLine="560"/>
        <w:rPr>
          <w:b/>
          <w:bCs/>
        </w:rPr>
      </w:pPr>
      <w:r>
        <w:rPr>
          <w:rFonts w:hint="eastAsia" w:ascii="仿宋" w:hAnsi="仿宋" w:cs="仿宋"/>
          <w:szCs w:val="28"/>
        </w:rPr>
        <w:t>对厂商产品的技术能力，包括平台扩展性、可管理可运维等方面进行测评，考察产品非功能需求满足度。</w:t>
      </w:r>
    </w:p>
    <w:p w14:paraId="71EB7AB6">
      <w:pPr>
        <w:pStyle w:val="18"/>
        <w:ind w:firstLine="560"/>
        <w:rPr>
          <w:rFonts w:hint="eastAsia" w:ascii="仿宋" w:hAnsi="仿宋" w:eastAsia="仿宋" w:cs="仿宋"/>
          <w:szCs w:val="28"/>
          <w:lang w:eastAsia="zh-CN"/>
        </w:rPr>
      </w:pPr>
      <w:r>
        <w:rPr>
          <w:rFonts w:hint="eastAsia" w:ascii="仿宋" w:hAnsi="仿宋" w:cs="仿宋"/>
          <w:szCs w:val="28"/>
        </w:rPr>
        <w:t>（1）开放性评测：基于主流技术搭建，技术自主可控</w:t>
      </w:r>
      <w:r>
        <w:rPr>
          <w:rFonts w:hint="eastAsia" w:ascii="仿宋" w:hAnsi="仿宋" w:cs="仿宋"/>
          <w:szCs w:val="28"/>
          <w:lang w:eastAsia="zh-CN"/>
        </w:rPr>
        <w:t>；</w:t>
      </w:r>
    </w:p>
    <w:p w14:paraId="02B7366F">
      <w:pPr>
        <w:pStyle w:val="18"/>
        <w:ind w:firstLine="560"/>
        <w:rPr>
          <w:rFonts w:ascii="仿宋" w:hAnsi="仿宋" w:cs="仿宋"/>
          <w:szCs w:val="28"/>
        </w:rPr>
      </w:pPr>
      <w:r>
        <w:rPr>
          <w:rFonts w:hint="eastAsia" w:ascii="仿宋" w:hAnsi="仿宋" w:cs="仿宋"/>
          <w:szCs w:val="28"/>
        </w:rPr>
        <w:t>（2）信创要求：系统支持信创部署，需支持主流的信创服务器、信创操作系统、信创数据库和信创中间件；</w:t>
      </w:r>
    </w:p>
    <w:p w14:paraId="5421B5DD">
      <w:pPr>
        <w:pStyle w:val="18"/>
        <w:ind w:firstLine="560"/>
        <w:rPr>
          <w:rFonts w:hint="eastAsia" w:ascii="仿宋" w:hAnsi="仿宋" w:eastAsia="仿宋" w:cs="仿宋"/>
          <w:szCs w:val="28"/>
          <w:lang w:eastAsia="zh-CN"/>
        </w:rPr>
      </w:pPr>
      <w:r>
        <w:rPr>
          <w:rFonts w:hint="eastAsia" w:ascii="仿宋" w:hAnsi="仿宋" w:cs="仿宋"/>
          <w:szCs w:val="28"/>
        </w:rPr>
        <w:t>（3）可扩展性：整体技术架构和功能具有持续支撑CRM系统建设能力</w:t>
      </w:r>
      <w:r>
        <w:rPr>
          <w:rFonts w:hint="eastAsia" w:ascii="仿宋" w:hAnsi="仿宋" w:cs="仿宋"/>
          <w:szCs w:val="28"/>
          <w:lang w:eastAsia="zh-CN"/>
        </w:rPr>
        <w:t>，</w:t>
      </w:r>
      <w:r>
        <w:rPr>
          <w:rFonts w:hint="eastAsia" w:ascii="仿宋" w:hAnsi="仿宋" w:cs="仿宋"/>
          <w:szCs w:val="28"/>
          <w:lang w:val="en-US" w:eastAsia="zh-CN"/>
        </w:rPr>
        <w:t>如能持续支持扩展建设对公CRM相关功能</w:t>
      </w:r>
      <w:r>
        <w:rPr>
          <w:rFonts w:hint="eastAsia" w:ascii="仿宋" w:hAnsi="仿宋" w:cs="仿宋"/>
          <w:szCs w:val="28"/>
        </w:rPr>
        <w:t>；系统设计吞吐量满足目前业务实际需要的同时，满足未来业务发展和数据增长需求，支持横向拓展节点</w:t>
      </w:r>
      <w:r>
        <w:rPr>
          <w:rFonts w:hint="eastAsia" w:ascii="仿宋" w:hAnsi="仿宋" w:cs="仿宋"/>
          <w:szCs w:val="28"/>
          <w:lang w:eastAsia="zh-CN"/>
        </w:rPr>
        <w:t>；</w:t>
      </w:r>
    </w:p>
    <w:p w14:paraId="4D17DD47">
      <w:pPr>
        <w:pStyle w:val="18"/>
        <w:ind w:firstLine="560"/>
        <w:rPr>
          <w:rFonts w:ascii="仿宋" w:hAnsi="仿宋" w:cs="仿宋"/>
          <w:szCs w:val="28"/>
        </w:rPr>
      </w:pPr>
      <w:r>
        <w:rPr>
          <w:rFonts w:hint="eastAsia" w:ascii="仿宋" w:hAnsi="仿宋" w:cs="仿宋"/>
          <w:szCs w:val="28"/>
        </w:rPr>
        <w:t>（4）可管理测评：系统支持运行维护监控，包括系统运行情况、用户操作日志、微服务体系内中间件、应用服务器等进行监控；</w:t>
      </w:r>
    </w:p>
    <w:p w14:paraId="0A0C0033">
      <w:pPr>
        <w:pStyle w:val="18"/>
        <w:ind w:firstLine="560"/>
        <w:rPr>
          <w:rFonts w:hint="eastAsia" w:ascii="仿宋" w:hAnsi="仿宋" w:eastAsia="仿宋" w:cs="仿宋"/>
          <w:szCs w:val="28"/>
          <w:lang w:eastAsia="zh-CN"/>
        </w:rPr>
      </w:pPr>
      <w:r>
        <w:rPr>
          <w:rFonts w:hint="eastAsia" w:ascii="仿宋" w:hAnsi="仿宋" w:cs="仿宋"/>
          <w:szCs w:val="28"/>
        </w:rPr>
        <w:t>（5）运维灵活性：系统需支持支持快速接入客户、产品、客户经理等数据，并可通过配置，少量简单代码或零代码实现客户标签、渠道对接的快速迭代开发</w:t>
      </w:r>
      <w:r>
        <w:rPr>
          <w:rFonts w:hint="eastAsia" w:ascii="仿宋" w:hAnsi="仿宋" w:cs="仿宋"/>
          <w:szCs w:val="28"/>
          <w:lang w:eastAsia="zh-CN"/>
        </w:rPr>
        <w:t>；</w:t>
      </w:r>
    </w:p>
    <w:p w14:paraId="3E0890BB">
      <w:pPr>
        <w:pStyle w:val="18"/>
        <w:ind w:firstLine="560"/>
        <w:rPr>
          <w:rFonts w:hint="eastAsia" w:ascii="仿宋" w:hAnsi="仿宋" w:cs="仿宋"/>
          <w:szCs w:val="28"/>
        </w:rPr>
      </w:pPr>
      <w:r>
        <w:rPr>
          <w:rFonts w:hint="eastAsia" w:ascii="仿宋" w:hAnsi="仿宋" w:cs="仿宋"/>
          <w:szCs w:val="28"/>
        </w:rPr>
        <w:t>（6）数据安全：系统支持对敏感信息的加密，支持对客户信息诸如联系方式等敏感信息进行加密存储、脱敏展示。</w:t>
      </w:r>
    </w:p>
    <w:p w14:paraId="7FBDC49E">
      <w:pPr>
        <w:pStyle w:val="4"/>
      </w:pPr>
      <w:bookmarkStart w:id="40" w:name="_Toc12318"/>
      <w:bookmarkStart w:id="41" w:name="_Toc24281"/>
      <w:r>
        <w:rPr>
          <w:rFonts w:hint="eastAsia"/>
        </w:rPr>
        <w:t>评分规则</w:t>
      </w:r>
      <w:bookmarkEnd w:id="40"/>
      <w:bookmarkEnd w:id="41"/>
    </w:p>
    <w:tbl>
      <w:tblPr>
        <w:tblStyle w:val="38"/>
        <w:tblpPr w:leftFromText="180" w:rightFromText="180" w:vertAnchor="text" w:horzAnchor="page" w:tblpX="1528" w:tblpY="319"/>
        <w:tblOverlap w:val="never"/>
        <w:tblW w:w="9089" w:type="dxa"/>
        <w:tblInd w:w="0" w:type="dxa"/>
        <w:tblLayout w:type="fixed"/>
        <w:tblCellMar>
          <w:top w:w="0" w:type="dxa"/>
          <w:left w:w="108" w:type="dxa"/>
          <w:bottom w:w="0" w:type="dxa"/>
          <w:right w:w="108" w:type="dxa"/>
        </w:tblCellMar>
      </w:tblPr>
      <w:tblGrid>
        <w:gridCol w:w="476"/>
        <w:gridCol w:w="1525"/>
        <w:gridCol w:w="7088"/>
      </w:tblGrid>
      <w:tr w14:paraId="3AF8D9D1">
        <w:tblPrEx>
          <w:tblCellMar>
            <w:top w:w="0" w:type="dxa"/>
            <w:left w:w="108" w:type="dxa"/>
            <w:bottom w:w="0" w:type="dxa"/>
            <w:right w:w="108" w:type="dxa"/>
          </w:tblCellMar>
        </w:tblPrEx>
        <w:trPr>
          <w:trHeight w:val="557"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325438B">
            <w:pPr>
              <w:jc w:val="center"/>
              <w:rPr>
                <w:rFonts w:ascii="宋体" w:hAnsi="宋体" w:cs="宋体"/>
                <w:b/>
                <w:bCs/>
                <w:color w:val="000000"/>
                <w:kern w:val="0"/>
                <w:szCs w:val="21"/>
              </w:rPr>
            </w:pPr>
            <w:r>
              <w:rPr>
                <w:rFonts w:hint="eastAsia" w:ascii="宋体" w:hAnsi="宋体" w:cs="宋体"/>
                <w:b/>
                <w:bCs/>
                <w:color w:val="000000"/>
                <w:kern w:val="0"/>
                <w:szCs w:val="21"/>
              </w:rPr>
              <w:t>编号</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71E205F2">
            <w:pPr>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测评项</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14:paraId="17F699D8">
            <w:pPr>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评分规则</w:t>
            </w:r>
          </w:p>
        </w:tc>
      </w:tr>
      <w:tr w14:paraId="4E5F90BF">
        <w:tblPrEx>
          <w:tblCellMar>
            <w:top w:w="0" w:type="dxa"/>
            <w:left w:w="108" w:type="dxa"/>
            <w:bottom w:w="0" w:type="dxa"/>
            <w:right w:w="108" w:type="dxa"/>
          </w:tblCellMar>
        </w:tblPrEx>
        <w:trPr>
          <w:trHeight w:val="557"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3519AF7">
            <w:pPr>
              <w:jc w:val="center"/>
              <w:rPr>
                <w:rFonts w:hint="eastAsia" w:ascii="宋体" w:hAnsi="宋体" w:eastAsia="宋体" w:cs="宋体"/>
                <w:b w:val="0"/>
                <w:bCs w:val="0"/>
                <w:color w:val="000000"/>
                <w:kern w:val="0"/>
                <w:szCs w:val="21"/>
                <w:highlight w:val="none"/>
                <w:lang w:val="en-US" w:eastAsia="zh-CN"/>
              </w:rPr>
            </w:pPr>
            <w:r>
              <w:rPr>
                <w:rFonts w:hint="eastAsia" w:ascii="宋体" w:hAnsi="宋体" w:cs="宋体"/>
                <w:b w:val="0"/>
                <w:bCs w:val="0"/>
                <w:color w:val="000000"/>
                <w:kern w:val="0"/>
                <w:szCs w:val="21"/>
                <w:highlight w:val="none"/>
                <w:lang w:val="en-US" w:eastAsia="zh-CN"/>
              </w:rPr>
              <w:t>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5C984B02">
            <w:pPr>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bidi="ar"/>
              </w:rPr>
              <w:t>可视化数据分析及工作台管理功能满足度</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14:paraId="38CB7F5D">
            <w:pPr>
              <w:jc w:val="left"/>
              <w:textAlignment w:val="center"/>
              <w:rPr>
                <w:rFonts w:hint="eastAsia"/>
              </w:rPr>
            </w:pPr>
            <w:r>
              <w:rPr>
                <w:rFonts w:hint="eastAsia"/>
              </w:rPr>
              <w:t>1、系统具有经营分析模块，支持总行、分行、支行、客户经理四三层级业绩看板展示，可逐层下钻，在管理层可看到往下层级的各类排序，提供最新数与变动情况（较上日、上月末、上季末、上年末、上年同期变动，部分数据展示趋势图），包括常规分析、业务分析、产品分析、收益分析、客群分析、客户排序、任务/商机营销效果分析等，支持通过筛选功能等对各指标具体统计口径进行调整。全部满足得2分，满足5项以上得1分，否则不得分。（2分）</w:t>
            </w:r>
          </w:p>
          <w:p w14:paraId="4189FD49">
            <w:pPr>
              <w:jc w:val="left"/>
              <w:textAlignment w:val="center"/>
              <w:rPr>
                <w:rFonts w:hint="eastAsia"/>
              </w:rPr>
            </w:pPr>
            <w:r>
              <w:rPr>
                <w:rFonts w:hint="eastAsia"/>
              </w:rPr>
              <w:t>2、系统支持根据业绩看板生成和展示报表，系统支持报表在线浏览、报表下载等功能。具有丰富的CRM领域的报表模板且支持报表的浏览及下载功能得1分，只有报表的生成、展示、浏览及下载功能得0.5分，否则不得分。（1分）</w:t>
            </w:r>
          </w:p>
          <w:p w14:paraId="7D13A532">
            <w:pPr>
              <w:jc w:val="left"/>
              <w:textAlignment w:val="center"/>
              <w:rPr>
                <w:rFonts w:hint="eastAsia" w:ascii="宋体" w:hAnsi="宋体" w:cs="宋体"/>
                <w:b w:val="0"/>
                <w:bCs w:val="0"/>
                <w:color w:val="000000"/>
                <w:kern w:val="0"/>
                <w:szCs w:val="21"/>
                <w:highlight w:val="none"/>
                <w:lang w:bidi="ar"/>
              </w:rPr>
            </w:pPr>
            <w:r>
              <w:rPr>
                <w:rFonts w:hint="eastAsia"/>
              </w:rPr>
              <w:t>3、具有工作日历（包括月视图、周视图、日视图、日程列表等）、我的提醒、系统公告、我的任务、工作日志等，支持快捷功能配置和常用的金融工具等功能；完全满足得2分，满足3项及以上得1分，否则不得分。（2分）</w:t>
            </w:r>
          </w:p>
        </w:tc>
      </w:tr>
      <w:tr w14:paraId="61482A76">
        <w:tblPrEx>
          <w:tblCellMar>
            <w:top w:w="0" w:type="dxa"/>
            <w:left w:w="108" w:type="dxa"/>
            <w:bottom w:w="0" w:type="dxa"/>
            <w:right w:w="108" w:type="dxa"/>
          </w:tblCellMar>
        </w:tblPrEx>
        <w:trPr>
          <w:trHeight w:val="557"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2E73E1DE">
            <w:pPr>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lang w:eastAsia="zh-CN"/>
              </w:rPr>
              <w:t>2</w:t>
            </w:r>
          </w:p>
        </w:tc>
        <w:tc>
          <w:tcPr>
            <w:tcW w:w="1525" w:type="dxa"/>
            <w:tcBorders>
              <w:top w:val="single" w:color="auto" w:sz="4" w:space="0"/>
              <w:left w:val="nil"/>
              <w:bottom w:val="single" w:color="auto" w:sz="4" w:space="0"/>
              <w:right w:val="single" w:color="auto" w:sz="4" w:space="0"/>
            </w:tcBorders>
            <w:shd w:val="clear" w:color="auto" w:fill="auto"/>
            <w:vAlign w:val="center"/>
          </w:tcPr>
          <w:p w14:paraId="1C3A42EF">
            <w:pPr>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客户洞察与客户管理</w:t>
            </w:r>
          </w:p>
        </w:tc>
        <w:tc>
          <w:tcPr>
            <w:tcW w:w="7088" w:type="dxa"/>
            <w:tcBorders>
              <w:top w:val="single" w:color="auto" w:sz="4" w:space="0"/>
              <w:left w:val="nil"/>
              <w:bottom w:val="single" w:color="auto" w:sz="4" w:space="0"/>
              <w:right w:val="single" w:color="auto" w:sz="4" w:space="0"/>
            </w:tcBorders>
            <w:shd w:val="clear" w:color="auto" w:fill="auto"/>
            <w:vAlign w:val="center"/>
          </w:tcPr>
          <w:p w14:paraId="2F102D35">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针对公司产品及解决方案中的客户数据整合、统一视图（360视图）、管户分配与交接等功能满足度进行评分，关键的功能点如下：</w:t>
            </w:r>
          </w:p>
          <w:p w14:paraId="03CA2226">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支持根据业务管理规则自动进行管户分配与交接工作的配置，形成客户明确的主协办关系，并动态调整，支持手工申请，形式包括但不限于单一分配，批量分配，批量交接等。能灵活配置控制某类客户或者某个用户无法执行分配等操作，支持参数调整。满足得1分，部分满足得0.5分，不满足得0分；</w:t>
            </w:r>
          </w:p>
          <w:p w14:paraId="42A1ADEA">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支持客户搜索，包含我的客户、简单条件搜索、灵活条件搜索及外部客户搜索功能。支持清晰全方位展示客户（含存量客户、潜在客户）的内外部各类信息，并区分主办、协办的查看与操作权限，以便更好的服务客户、挖掘客户需求，客户信息展示齐全、科学合理。满足得1分，部分满足得0.5分，不满足得0分；</w:t>
            </w:r>
          </w:p>
          <w:p w14:paraId="35827C92">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支持依据客户关联关系自动判断集团客户归属与手工调整。包含设置集团客户属性、添加集团成员、移除集团成员、集团客户视图（集团信息、成员信息和业务汇总和明细信息）、集团关系审批功能。满足得1分，部分满足得0.5分，不满足得0分；</w:t>
            </w:r>
          </w:p>
          <w:p w14:paraId="50EA3CAC">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数据校验和更新机制成熟可行，能及时、准备地获取变化的数据且展示在各层级用户的界面。支持多渠道数据（含内部、外部数据）交互和整合，保证客户在各渠道互动的数据能准确地展现在CRM系统，辅助提供洞察客户行为。满足得1分，部分满足得0.5分，不满足得0分；</w:t>
            </w:r>
          </w:p>
          <w:p w14:paraId="539F7C9F">
            <w:pP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5、支持客户评价模型管理，具备修改客户评价方案、客户评价方案审批、客户评价模型参数维护功能。支持对客户忠诚度和贡献度评价方案的维护，支持对客户评价方案的审批流程化管理，同时支持对贡献度指标、忠诚度区间参数的维护。支持客户定价管理，具备完整的定价审批流程。满足得1分，部分满足得0.5分，不满足得0分。</w:t>
            </w:r>
          </w:p>
        </w:tc>
      </w:tr>
      <w:tr w14:paraId="4C3390B8">
        <w:tblPrEx>
          <w:tblCellMar>
            <w:top w:w="0" w:type="dxa"/>
            <w:left w:w="108" w:type="dxa"/>
            <w:bottom w:w="0" w:type="dxa"/>
            <w:right w:w="108" w:type="dxa"/>
          </w:tblCellMar>
        </w:tblPrEx>
        <w:trPr>
          <w:trHeight w:val="557"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E18BEAA">
            <w:pPr>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lang w:eastAsia="zh-CN"/>
              </w:rPr>
              <w:t>3</w:t>
            </w:r>
          </w:p>
        </w:tc>
        <w:tc>
          <w:tcPr>
            <w:tcW w:w="1525" w:type="dxa"/>
            <w:tcBorders>
              <w:top w:val="nil"/>
              <w:left w:val="nil"/>
              <w:bottom w:val="single" w:color="auto" w:sz="4" w:space="0"/>
              <w:right w:val="single" w:color="auto" w:sz="4" w:space="0"/>
            </w:tcBorders>
            <w:shd w:val="clear" w:color="auto" w:fill="auto"/>
            <w:vAlign w:val="center"/>
          </w:tcPr>
          <w:p w14:paraId="105A5AF0">
            <w:pPr>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营销服务与精准营销</w:t>
            </w:r>
          </w:p>
        </w:tc>
        <w:tc>
          <w:tcPr>
            <w:tcW w:w="7088" w:type="dxa"/>
            <w:tcBorders>
              <w:top w:val="nil"/>
              <w:left w:val="nil"/>
              <w:bottom w:val="single" w:color="auto" w:sz="4" w:space="0"/>
              <w:right w:val="single" w:color="auto" w:sz="4" w:space="0"/>
            </w:tcBorders>
            <w:shd w:val="clear" w:color="auto" w:fill="auto"/>
            <w:vAlign w:val="center"/>
          </w:tcPr>
          <w:p w14:paraId="61827A6A">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针对公司产品及解决方案中的客户细分与精准营销功能满足度进行评分，关键的功能点如下：</w:t>
            </w:r>
          </w:p>
          <w:p w14:paraId="0574BAB1">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1、支持对客户进行面访、电访登记，其中面访具备定位打卡功能；支持查看客户接触（电访、面访）历史信息并支持将客户接触计划加入日程预约提醒。满足得1分，部分满足得0.5分，不满足得0分；</w:t>
            </w:r>
          </w:p>
          <w:p w14:paraId="2967C07C">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支持对商机/任务的创建、跟踪、分配、抢单、执行、回收的全生命周期管理，并支持可视化的商机/任务总览视图。客群及营销名单筛选功能完善，满足多种场景组合，操作性强，准确性高，能精准地选择目标客户（含存量客户、潜在客户）。对营销名单的任务分配操作合适、简便。支持多样化、多组合的活动渠道，支持营销指标设定、营销任务分配及服务信息录入，且具有提醒和查询功能，方便管护人查看和执行营销动作。满足得1分，部分满足得0.5分，不满足得0分；</w:t>
            </w:r>
          </w:p>
          <w:p w14:paraId="4AF28849">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3、具备商机触发、下发规则管理功能，支持预设规则、自定义模型创建维护，以及产品营销、客户经营类事件规则参数维护，还可配置商机分配、认领、退回规则。满足得1分，部分满足得0.5分，不满足得0分；</w:t>
            </w:r>
          </w:p>
          <w:p w14:paraId="4D34AB4D">
            <w:pP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4、具备网格化营销功能。支持按逻辑或物理规则分配客户，覆盖支行周边(公里可配置)的企业、园区信息，存量客户周边同类企业营销，同时支持查看网格营销情况。满足得1分，部分满足得0.5分，不满足得0分；</w:t>
            </w:r>
          </w:p>
          <w:p w14:paraId="7ECF6F05">
            <w:pP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lang w:bidi="ar"/>
              </w:rPr>
              <w:t>5、具备产品管理功能：支持产品参数维护，支持自动更新与手工上传产品目录及信息；可进行产品树层级维护及产品增删查改导，能配置产品信息；支持产品查询，支持产品全景展示，根据不同类型产品属性特征，形成产品360视图。支持对知识库进行分类、信息管理，包括知识分类及信息的新增、修改、删除、查询。满足得1分，部分满足得0.5分，不满足得0分。</w:t>
            </w:r>
          </w:p>
        </w:tc>
      </w:tr>
      <w:tr w14:paraId="18177D97">
        <w:tblPrEx>
          <w:tblCellMar>
            <w:top w:w="0" w:type="dxa"/>
            <w:left w:w="108" w:type="dxa"/>
            <w:bottom w:w="0" w:type="dxa"/>
            <w:right w:w="108" w:type="dxa"/>
          </w:tblCellMar>
        </w:tblPrEx>
        <w:trPr>
          <w:trHeight w:val="433"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18044F6B">
            <w:pPr>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4</w:t>
            </w:r>
          </w:p>
        </w:tc>
        <w:tc>
          <w:tcPr>
            <w:tcW w:w="1525" w:type="dxa"/>
            <w:tcBorders>
              <w:top w:val="nil"/>
              <w:left w:val="nil"/>
              <w:bottom w:val="single" w:color="auto" w:sz="4" w:space="0"/>
              <w:right w:val="single" w:color="auto" w:sz="4" w:space="0"/>
            </w:tcBorders>
            <w:shd w:val="clear" w:color="auto" w:fill="auto"/>
            <w:vAlign w:val="center"/>
          </w:tcPr>
          <w:p w14:paraId="4A3D1A06">
            <w:pPr>
              <w:jc w:val="center"/>
              <w:textAlignment w:val="center"/>
              <w:rPr>
                <w:rFonts w:ascii="宋体" w:hAnsi="宋体" w:cs="宋体"/>
                <w:color w:val="000000"/>
                <w:kern w:val="0"/>
                <w:szCs w:val="21"/>
              </w:rPr>
            </w:pPr>
            <w:r>
              <w:rPr>
                <w:rFonts w:hint="eastAsia" w:ascii="宋体" w:hAnsi="宋体" w:cs="宋体"/>
                <w:color w:val="000000"/>
                <w:kern w:val="0"/>
                <w:szCs w:val="21"/>
                <w:lang w:bidi="ar"/>
              </w:rPr>
              <w:t>客户数据加工能力</w:t>
            </w:r>
          </w:p>
        </w:tc>
        <w:tc>
          <w:tcPr>
            <w:tcW w:w="7088" w:type="dxa"/>
            <w:tcBorders>
              <w:top w:val="nil"/>
              <w:left w:val="nil"/>
              <w:bottom w:val="single" w:color="auto" w:sz="4" w:space="0"/>
              <w:right w:val="single" w:color="auto" w:sz="4" w:space="0"/>
            </w:tcBorders>
            <w:shd w:val="clear" w:color="auto" w:fill="auto"/>
            <w:vAlign w:val="center"/>
          </w:tcPr>
          <w:p w14:paraId="475CE485">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系统应支持信创全栈部署，且投标人应承诺按招标方要求的信创环境进行开发、测试及生产部署等工作。不满足整项不得分，满足按如下评分项评分：</w:t>
            </w:r>
          </w:p>
          <w:p w14:paraId="18872308">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具有成熟、可落地的客户数据集市整体实施方案，数据集市的数据模型设计充分考虑客户关系管理的共性，数据模型层级划分及主题划分合理、界限清晰，且充分考虑未来数据应用接口的变更。满足得1分，不满足得0分。（1分）</w:t>
            </w:r>
          </w:p>
          <w:p w14:paraId="4C204EC6">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数据集市在我行零售CRM系统建设的数据集市扩展，模型的设计符合大数据分布式架构特征，能与传统关系型数据库的数据仓库设计方式区分，设计原则方面能确保性能方面的最优。满足得1分，不满足得0分。（1分）</w:t>
            </w:r>
          </w:p>
          <w:p w14:paraId="21939514">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3、在我行零售CRM建设的标签应用上扩展对公标签功能，能为客户视图、客户分层管理、客群分析等CRM应用提供基础数据服务。满足得1分，不满足得0分。（1分）</w:t>
            </w:r>
          </w:p>
          <w:p w14:paraId="7FAB09D0">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4、在我行零售CRM建设的营销应用上扩展对公营销应用功能。满足得1分，不满足得0分。（1分）</w:t>
            </w:r>
          </w:p>
          <w:p w14:paraId="113E1CD6">
            <w:p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5、对厂商产品和解决方案中的性能解决思路与方案进行评分，包括数据处理优化、系统跑批优化、引擎计算优化等。解决方案成熟可落地性强得1分；落地性较差，得0分。（1分）</w:t>
            </w:r>
          </w:p>
          <w:p w14:paraId="16732531">
            <w:pPr>
              <w:textAlignment w:val="center"/>
              <w:rPr>
                <w:rFonts w:ascii="宋体" w:hAnsi="宋体" w:cs="宋体"/>
                <w:color w:val="000000"/>
                <w:kern w:val="0"/>
                <w:szCs w:val="21"/>
              </w:rPr>
            </w:pPr>
            <w:r>
              <w:rPr>
                <w:rFonts w:hint="eastAsia" w:ascii="宋体" w:hAnsi="宋体" w:cs="宋体"/>
                <w:color w:val="000000"/>
                <w:kern w:val="0"/>
                <w:szCs w:val="21"/>
                <w:lang w:bidi="ar"/>
              </w:rPr>
              <w:t>注：请提供能体现数据加工能力的材料，如数据模型规范、实施过的成功案例成效、产品实测数据等。</w:t>
            </w:r>
          </w:p>
        </w:tc>
      </w:tr>
      <w:tr w14:paraId="38DB8F67">
        <w:tblPrEx>
          <w:tblCellMar>
            <w:top w:w="0" w:type="dxa"/>
            <w:left w:w="108" w:type="dxa"/>
            <w:bottom w:w="0" w:type="dxa"/>
            <w:right w:w="108" w:type="dxa"/>
          </w:tblCellMar>
        </w:tblPrEx>
        <w:trPr>
          <w:trHeight w:val="554" w:hRule="atLeast"/>
        </w:trPr>
        <w:tc>
          <w:tcPr>
            <w:tcW w:w="476" w:type="dxa"/>
            <w:tcBorders>
              <w:top w:val="nil"/>
              <w:left w:val="single" w:color="auto" w:sz="4" w:space="0"/>
              <w:bottom w:val="nil"/>
              <w:right w:val="single" w:color="auto" w:sz="4" w:space="0"/>
            </w:tcBorders>
            <w:shd w:val="clear" w:color="auto" w:fill="auto"/>
            <w:vAlign w:val="center"/>
          </w:tcPr>
          <w:p w14:paraId="01C30490">
            <w:pPr>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5</w:t>
            </w:r>
          </w:p>
        </w:tc>
        <w:tc>
          <w:tcPr>
            <w:tcW w:w="1525" w:type="dxa"/>
            <w:tcBorders>
              <w:top w:val="nil"/>
              <w:left w:val="nil"/>
              <w:bottom w:val="nil"/>
              <w:right w:val="single" w:color="auto" w:sz="4" w:space="0"/>
            </w:tcBorders>
            <w:shd w:val="clear" w:color="auto" w:fill="auto"/>
            <w:vAlign w:val="center"/>
          </w:tcPr>
          <w:p w14:paraId="651B05CA">
            <w:pPr>
              <w:jc w:val="center"/>
              <w:textAlignment w:val="center"/>
              <w:rPr>
                <w:rFonts w:ascii="宋体" w:hAnsi="宋体" w:cs="宋体"/>
                <w:color w:val="000000"/>
                <w:kern w:val="0"/>
                <w:szCs w:val="21"/>
              </w:rPr>
            </w:pPr>
            <w:r>
              <w:rPr>
                <w:rFonts w:hint="eastAsia" w:ascii="宋体" w:hAnsi="宋体" w:cs="宋体"/>
                <w:color w:val="000000"/>
                <w:kern w:val="0"/>
                <w:szCs w:val="21"/>
                <w:lang w:bidi="ar"/>
              </w:rPr>
              <w:t>可管理性</w:t>
            </w:r>
          </w:p>
        </w:tc>
        <w:tc>
          <w:tcPr>
            <w:tcW w:w="7088" w:type="dxa"/>
            <w:tcBorders>
              <w:top w:val="nil"/>
              <w:left w:val="nil"/>
              <w:bottom w:val="nil"/>
              <w:right w:val="single" w:color="auto" w:sz="4" w:space="0"/>
            </w:tcBorders>
            <w:shd w:val="clear" w:color="auto" w:fill="auto"/>
            <w:vAlign w:val="center"/>
          </w:tcPr>
          <w:p w14:paraId="7C7F9D3E">
            <w:pPr>
              <w:textAlignment w:val="center"/>
              <w:rPr>
                <w:rFonts w:hint="eastAsia" w:ascii="宋体" w:hAnsi="宋体" w:cs="宋体"/>
                <w:color w:val="000000"/>
                <w:kern w:val="0"/>
                <w:szCs w:val="21"/>
              </w:rPr>
            </w:pPr>
            <w:r>
              <w:rPr>
                <w:rFonts w:hint="eastAsia" w:ascii="宋体" w:hAnsi="宋体" w:cs="宋体"/>
                <w:color w:val="000000"/>
                <w:kern w:val="0"/>
                <w:szCs w:val="21"/>
              </w:rPr>
              <w:t>系统应支持信创全栈部署，且投标人应承诺按招标方要求的信创环境进行开发、测试及生产部署等工作。不满足整项不得分，满足按如下评分项评分：</w:t>
            </w:r>
          </w:p>
          <w:p w14:paraId="34480D80">
            <w:pPr>
              <w:textAlignment w:val="center"/>
              <w:rPr>
                <w:rFonts w:hint="eastAsia" w:ascii="宋体" w:hAnsi="宋体" w:cs="宋体"/>
                <w:color w:val="000000"/>
                <w:kern w:val="0"/>
                <w:szCs w:val="21"/>
              </w:rPr>
            </w:pPr>
            <w:r>
              <w:rPr>
                <w:rFonts w:hint="eastAsia" w:ascii="宋体" w:hAnsi="宋体" w:cs="宋体"/>
                <w:color w:val="000000"/>
                <w:kern w:val="0"/>
                <w:szCs w:val="21"/>
              </w:rPr>
              <w:t>1、整体技术架构和功能具有持续支撑我行CRM系统建设能力，如能持续支撑招标人在本系统上建设对公CRM相关功能。满足得1分，不满足得0分。（1分）</w:t>
            </w:r>
          </w:p>
          <w:p w14:paraId="4403A89B">
            <w:pPr>
              <w:textAlignment w:val="center"/>
              <w:rPr>
                <w:rFonts w:hint="eastAsia" w:ascii="宋体" w:hAnsi="宋体" w:cs="宋体"/>
                <w:color w:val="000000"/>
                <w:kern w:val="0"/>
                <w:szCs w:val="21"/>
              </w:rPr>
            </w:pPr>
            <w:r>
              <w:rPr>
                <w:rFonts w:hint="eastAsia" w:ascii="宋体" w:hAnsi="宋体" w:cs="宋体"/>
                <w:color w:val="000000"/>
                <w:kern w:val="0"/>
                <w:szCs w:val="21"/>
              </w:rPr>
              <w:t>2、支持快速接入客户、产品、客户经理等数据，并可通过配置，少量简单代码或零代码实现客户标签、渠道对接的快速迭代开发。扩展性好得1分，较差得0分。（1分）</w:t>
            </w:r>
          </w:p>
          <w:p w14:paraId="22519C4A">
            <w:pPr>
              <w:textAlignment w:val="center"/>
              <w:rPr>
                <w:rFonts w:hint="eastAsia" w:ascii="宋体" w:hAnsi="宋体" w:cs="宋体"/>
                <w:color w:val="000000"/>
                <w:kern w:val="0"/>
                <w:szCs w:val="21"/>
              </w:rPr>
            </w:pPr>
            <w:r>
              <w:rPr>
                <w:rFonts w:hint="eastAsia" w:ascii="宋体" w:hAnsi="宋体" w:cs="宋体"/>
                <w:color w:val="000000"/>
                <w:kern w:val="0"/>
                <w:szCs w:val="21"/>
              </w:rPr>
              <w:t>3、系统设计吞吐量满足招标人目前业务实际需要的同时，满足招标人未来业务发展和数据增长需求，支持横向拓展节点。满足得1分；不满足得0分。（1分）</w:t>
            </w:r>
          </w:p>
          <w:p w14:paraId="143774E0">
            <w:pPr>
              <w:textAlignment w:val="center"/>
              <w:rPr>
                <w:rFonts w:hint="eastAsia" w:ascii="宋体" w:hAnsi="宋体" w:cs="宋体"/>
                <w:color w:val="000000"/>
                <w:kern w:val="0"/>
                <w:szCs w:val="21"/>
              </w:rPr>
            </w:pPr>
            <w:r>
              <w:rPr>
                <w:rFonts w:hint="eastAsia" w:ascii="宋体" w:hAnsi="宋体" w:cs="宋体"/>
                <w:color w:val="000000"/>
                <w:kern w:val="0"/>
                <w:szCs w:val="21"/>
              </w:rPr>
              <w:t>4、支持灵活的数据重跑批作业，可以按业务主题、分支机构等自由选择重跑批数据。满足得0.5分；不满足得0分。（0.5分）</w:t>
            </w:r>
          </w:p>
          <w:p w14:paraId="40A795CF">
            <w:pPr>
              <w:textAlignment w:val="center"/>
              <w:rPr>
                <w:rFonts w:hint="eastAsia" w:ascii="宋体" w:hAnsi="宋体" w:cs="宋体"/>
                <w:color w:val="000000"/>
                <w:kern w:val="0"/>
                <w:szCs w:val="21"/>
              </w:rPr>
            </w:pPr>
            <w:r>
              <w:rPr>
                <w:rFonts w:hint="eastAsia" w:ascii="宋体" w:hAnsi="宋体" w:cs="宋体"/>
                <w:color w:val="000000"/>
                <w:kern w:val="0"/>
                <w:szCs w:val="21"/>
              </w:rPr>
              <w:t>5、系统有清晰、准确的应用日志、系统日志、用户操作日志且均可查询。满足得1分；不满足得0分。（1分）</w:t>
            </w:r>
          </w:p>
          <w:p w14:paraId="5FDB1810">
            <w:pPr>
              <w:textAlignment w:val="center"/>
              <w:rPr>
                <w:rFonts w:hint="eastAsia" w:ascii="宋体" w:hAnsi="宋体" w:cs="宋体"/>
                <w:color w:val="000000"/>
                <w:kern w:val="0"/>
                <w:szCs w:val="21"/>
              </w:rPr>
            </w:pPr>
            <w:r>
              <w:rPr>
                <w:rFonts w:hint="eastAsia" w:ascii="宋体" w:hAnsi="宋体" w:cs="宋体"/>
                <w:color w:val="000000"/>
                <w:kern w:val="0"/>
                <w:szCs w:val="21"/>
              </w:rPr>
              <w:t>6、系统支持对敏感信息的加密，支持对客户信息诸如联系方式等敏感信息进行加密存储、脱敏展示。满足得0.5分，不满足得0分。（0.5分）</w:t>
            </w:r>
          </w:p>
          <w:p w14:paraId="55D0F32B">
            <w:pPr>
              <w:textAlignment w:val="center"/>
              <w:rPr>
                <w:rFonts w:ascii="宋体" w:hAnsi="宋体" w:cs="宋体"/>
                <w:color w:val="000000"/>
                <w:kern w:val="0"/>
                <w:szCs w:val="21"/>
              </w:rPr>
            </w:pPr>
          </w:p>
        </w:tc>
      </w:tr>
      <w:tr w14:paraId="56CD850A">
        <w:tblPrEx>
          <w:tblCellMar>
            <w:top w:w="0" w:type="dxa"/>
            <w:left w:w="108" w:type="dxa"/>
            <w:bottom w:w="0" w:type="dxa"/>
            <w:right w:w="108" w:type="dxa"/>
          </w:tblCellMar>
        </w:tblPrEx>
        <w:trPr>
          <w:trHeight w:val="554"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57E00799">
            <w:pPr>
              <w:jc w:val="center"/>
              <w:rPr>
                <w:rFonts w:hint="eastAsia" w:ascii="宋体" w:hAnsi="宋体" w:cs="宋体"/>
                <w:b/>
                <w:bCs/>
                <w:color w:val="000000" w:themeColor="text1"/>
                <w:kern w:val="0"/>
                <w:szCs w:val="21"/>
                <w:lang w:val="en-US" w:eastAsia="zh-CN"/>
                <w14:textFill>
                  <w14:solidFill>
                    <w14:schemeClr w14:val="tx1"/>
                  </w14:solidFill>
                </w14:textFill>
              </w:rPr>
            </w:pPr>
            <w:bookmarkStart w:id="42" w:name="_Toc10040"/>
            <w:bookmarkStart w:id="43" w:name="_Toc16789"/>
            <w:bookmarkStart w:id="44" w:name="_Toc489365176"/>
            <w:bookmarkStart w:id="45" w:name="_Toc16672689"/>
            <w:r>
              <w:rPr>
                <w:rFonts w:hint="eastAsia" w:ascii="宋体" w:hAnsi="宋体" w:cs="宋体"/>
                <w:b/>
                <w:bCs/>
                <w:color w:val="000000" w:themeColor="text1"/>
                <w:kern w:val="0"/>
                <w:szCs w:val="21"/>
                <w:lang w:val="en-US" w:eastAsia="zh-CN"/>
                <w14:textFill>
                  <w14:solidFill>
                    <w14:schemeClr w14:val="tx1"/>
                  </w14:solidFill>
                </w14:textFill>
              </w:rPr>
              <w:t>6</w:t>
            </w:r>
          </w:p>
        </w:tc>
        <w:tc>
          <w:tcPr>
            <w:tcW w:w="1525" w:type="dxa"/>
            <w:tcBorders>
              <w:top w:val="nil"/>
              <w:left w:val="nil"/>
              <w:bottom w:val="single" w:color="auto" w:sz="4" w:space="0"/>
              <w:right w:val="single" w:color="auto" w:sz="4" w:space="0"/>
            </w:tcBorders>
            <w:shd w:val="clear" w:color="auto" w:fill="auto"/>
            <w:vAlign w:val="center"/>
          </w:tcPr>
          <w:p w14:paraId="701D1359">
            <w:pPr>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开放性</w:t>
            </w:r>
          </w:p>
        </w:tc>
        <w:tc>
          <w:tcPr>
            <w:tcW w:w="7088" w:type="dxa"/>
            <w:tcBorders>
              <w:top w:val="nil"/>
              <w:left w:val="nil"/>
              <w:bottom w:val="single" w:color="auto" w:sz="4" w:space="0"/>
              <w:right w:val="single" w:color="auto" w:sz="4" w:space="0"/>
            </w:tcBorders>
            <w:shd w:val="clear" w:color="auto" w:fill="auto"/>
            <w:vAlign w:val="center"/>
          </w:tcPr>
          <w:p w14:paraId="7E5F2A86">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系统应支持信创全栈部署，且投标人应承诺按招标方要求的信创环境进行开发、测试及生产部署等工作。不满足整项不得分，满足按如下评分项评分：</w:t>
            </w:r>
          </w:p>
          <w:p w14:paraId="152061A2">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1、采用分布式微服务架构，以高内聚、低耦合的服务化设计为原则，进行分布式服务设计。满足得1分，不满足得0分。（1分）</w:t>
            </w:r>
          </w:p>
          <w:p w14:paraId="08A9C91C">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2、系统无用户数量、使用期限、部署终端或环境数量等限制。满足得</w:t>
            </w:r>
            <w:r>
              <w:rPr>
                <w:rFonts w:hint="default"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分，不满足得0分。（</w:t>
            </w:r>
            <w:r>
              <w:rPr>
                <w:rFonts w:hint="default"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w:t>
            </w:r>
            <w:bookmarkStart w:id="46" w:name="_GoBack"/>
            <w:bookmarkEnd w:id="46"/>
          </w:p>
          <w:p w14:paraId="583D4BCA">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3、承诺提供全部源代码，技术我行完全自主可控。满足得1分，不满足得0分。（1分）</w:t>
            </w:r>
          </w:p>
          <w:p w14:paraId="2288430D">
            <w:pP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系统应具有健全的备份及容灾恢复机制，要求整体架构采用高可用性、可扩展性网络架构。在网络接入层、应用处理层和数据层都支持集群或双机热备的机制(或可用性高于以上机制)。满足得1分；不满足得0分。（1分）</w:t>
            </w:r>
          </w:p>
          <w:p w14:paraId="3A527E9B">
            <w:pPr>
              <w:textAlignment w:val="center"/>
              <w:rPr>
                <w:rFonts w:hint="eastAsia" w:ascii="宋体" w:hAnsi="宋体" w:cs="宋体"/>
                <w:color w:val="FF0000"/>
                <w:kern w:val="0"/>
                <w:szCs w:val="21"/>
              </w:rPr>
            </w:pPr>
            <w:r>
              <w:rPr>
                <w:rFonts w:hint="default"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、系统可对应用系统健康状态、数据处理批次实现监控，支持通过邮件或短信发送系统跑批情况，能够及时、方便掌握系统运行情况。满足得1分；不满足得0分。（1分）</w:t>
            </w:r>
          </w:p>
        </w:tc>
      </w:tr>
      <w:bookmarkEnd w:id="33"/>
    </w:tbl>
    <w:p w14:paraId="33981EEA">
      <w:pPr>
        <w:pStyle w:val="4"/>
      </w:pPr>
      <w:r>
        <w:rPr>
          <w:rFonts w:hint="eastAsia"/>
        </w:rPr>
        <w:t>测评方式</w:t>
      </w:r>
      <w:bookmarkEnd w:id="42"/>
      <w:bookmarkEnd w:id="43"/>
    </w:p>
    <w:p w14:paraId="524FA4AB">
      <w:pPr>
        <w:pStyle w:val="18"/>
        <w:ind w:firstLine="560"/>
        <w:rPr>
          <w:rFonts w:ascii="仿宋" w:hAnsi="仿宋" w:cs="仿宋"/>
          <w:szCs w:val="28"/>
        </w:rPr>
      </w:pPr>
      <w:r>
        <w:rPr>
          <w:rFonts w:hint="eastAsia" w:ascii="仿宋" w:hAnsi="仿宋" w:cs="仿宋"/>
          <w:szCs w:val="28"/>
        </w:rPr>
        <w:t>本次</w:t>
      </w:r>
      <w:r>
        <w:rPr>
          <w:rFonts w:hint="eastAsia" w:ascii="仿宋" w:hAnsi="仿宋" w:cs="仿宋"/>
          <w:szCs w:val="28"/>
          <w:lang w:val="en-US" w:eastAsia="zh-CN"/>
        </w:rPr>
        <w:t>对公</w:t>
      </w:r>
      <w:r>
        <w:rPr>
          <w:rFonts w:hint="eastAsia" w:ascii="仿宋" w:hAnsi="仿宋" w:cs="仿宋"/>
          <w:szCs w:val="28"/>
        </w:rPr>
        <w:t>CRM系统建设项目POC测评采用现场（演示）方式进行。参测厂商就整体方案、产品功能、业务案例执行结果情况等方面向招标人演示系统功能，招标人抽查、评估产品功能的全面性、易用性、扩展性和特色性等。</w:t>
      </w:r>
    </w:p>
    <w:p w14:paraId="7B07D109">
      <w:pPr>
        <w:pStyle w:val="18"/>
        <w:ind w:firstLine="560"/>
        <w:rPr>
          <w:rFonts w:hint="eastAsia" w:ascii="仿宋" w:hAnsi="仿宋" w:cs="仿宋"/>
          <w:szCs w:val="28"/>
        </w:rPr>
      </w:pPr>
      <w:r>
        <w:rPr>
          <w:rFonts w:hint="eastAsia" w:ascii="仿宋" w:hAnsi="仿宋" w:cs="仿宋"/>
          <w:szCs w:val="28"/>
        </w:rPr>
        <w:t>本次测评由招标人根据POC评测项进行打分，</w:t>
      </w:r>
      <w:bookmarkEnd w:id="44"/>
      <w:bookmarkEnd w:id="45"/>
      <w:r>
        <w:rPr>
          <w:rFonts w:hint="eastAsia" w:ascii="仿宋" w:hAnsi="仿宋" w:cs="仿宋"/>
          <w:szCs w:val="28"/>
        </w:rPr>
        <w:t>厂商提交的POC测评报告除对招标人要求的测评案例进行逐点应答及佐证外，还需介绍参与POC工作的团队情况，说明POC使用的数据、硬件环境、软件环境等。由</w:t>
      </w:r>
      <w:r>
        <w:rPr>
          <w:rFonts w:hint="eastAsia" w:ascii="仿宋" w:hAnsi="仿宋" w:cs="仿宋"/>
          <w:szCs w:val="28"/>
          <w:lang w:val="en-US" w:eastAsia="zh-CN"/>
        </w:rPr>
        <w:t>招标人根据POC评测评分</w:t>
      </w:r>
      <w:r>
        <w:rPr>
          <w:rFonts w:hint="eastAsia" w:ascii="仿宋" w:hAnsi="仿宋" w:cs="仿宋"/>
          <w:szCs w:val="28"/>
        </w:rPr>
        <w:t>项</w:t>
      </w:r>
      <w:r>
        <w:rPr>
          <w:rFonts w:hint="eastAsia" w:ascii="仿宋" w:hAnsi="仿宋" w:cs="仿宋"/>
          <w:szCs w:val="28"/>
          <w:lang w:val="en-US" w:eastAsia="zh-CN"/>
        </w:rPr>
        <w:t>进行</w:t>
      </w:r>
      <w:r>
        <w:rPr>
          <w:rFonts w:hint="eastAsia" w:ascii="仿宋" w:hAnsi="仿宋" w:cs="仿宋"/>
          <w:szCs w:val="28"/>
        </w:rPr>
        <w:t>打分，</w:t>
      </w:r>
      <w:r>
        <w:rPr>
          <w:rFonts w:hint="eastAsia" w:ascii="仿宋" w:hAnsi="仿宋" w:cs="仿宋"/>
          <w:szCs w:val="28"/>
          <w:lang w:val="en-US" w:eastAsia="zh-CN"/>
        </w:rPr>
        <w:t>POC</w:t>
      </w:r>
      <w:r>
        <w:rPr>
          <w:rFonts w:hint="eastAsia" w:ascii="仿宋" w:hAnsi="仿宋" w:cs="仿宋"/>
          <w:szCs w:val="28"/>
        </w:rPr>
        <w:t>得分结果</w:t>
      </w:r>
      <w:r>
        <w:rPr>
          <w:rFonts w:hint="eastAsia" w:ascii="仿宋" w:hAnsi="仿宋" w:cs="仿宋"/>
          <w:szCs w:val="28"/>
          <w:lang w:val="en-US" w:eastAsia="zh-CN"/>
        </w:rPr>
        <w:t>将作为技术商务评审对应项的参考依据之一，投标人可自行决定是否参与本测试</w:t>
      </w:r>
      <w:r>
        <w:rPr>
          <w:rFonts w:hint="eastAsia" w:ascii="仿宋" w:hAnsi="仿宋" w:cs="仿宋"/>
          <w:szCs w:val="28"/>
        </w:rPr>
        <w:t>。</w:t>
      </w:r>
    </w:p>
    <w:p w14:paraId="63B6C81B">
      <w:pPr>
        <w:pStyle w:val="18"/>
        <w:ind w:firstLine="560"/>
        <w:rPr>
          <w:rFonts w:hint="eastAsia" w:ascii="仿宋" w:hAnsi="仿宋" w:eastAsia="仿宋" w:cs="仿宋"/>
          <w:szCs w:val="28"/>
          <w:lang w:eastAsia="zh-CN"/>
        </w:rPr>
      </w:pPr>
      <w:r>
        <w:rPr>
          <w:rFonts w:hint="eastAsia" w:ascii="仿宋" w:hAnsi="仿宋" w:cs="仿宋"/>
          <w:szCs w:val="28"/>
          <w:lang w:val="en-US" w:eastAsia="zh-CN"/>
        </w:rPr>
        <w:t>投标人</w:t>
      </w:r>
      <w:r>
        <w:rPr>
          <w:rFonts w:hint="eastAsia" w:ascii="仿宋" w:hAnsi="仿宋" w:cs="仿宋"/>
          <w:szCs w:val="28"/>
        </w:rPr>
        <w:t>应在招标人指定时间内按要求完成测试内容，</w:t>
      </w:r>
      <w:r>
        <w:rPr>
          <w:rFonts w:hint="eastAsia" w:ascii="仿宋" w:hAnsi="仿宋" w:cs="仿宋"/>
          <w:szCs w:val="28"/>
          <w:lang w:val="en-US" w:eastAsia="zh-CN"/>
        </w:rPr>
        <w:t>自行负责</w:t>
      </w:r>
      <w:r>
        <w:rPr>
          <w:rFonts w:hint="eastAsia" w:ascii="仿宋" w:hAnsi="仿宋" w:cs="仿宋"/>
          <w:szCs w:val="28"/>
        </w:rPr>
        <w:t>对信息安全、测试费用</w:t>
      </w:r>
      <w:r>
        <w:rPr>
          <w:rFonts w:hint="eastAsia" w:ascii="仿宋" w:hAnsi="仿宋" w:cs="仿宋"/>
          <w:szCs w:val="28"/>
          <w:lang w:val="en-US" w:eastAsia="zh-CN"/>
        </w:rPr>
        <w:t>等情况</w:t>
      </w:r>
      <w:r>
        <w:rPr>
          <w:rFonts w:hint="eastAsia" w:ascii="仿宋" w:hAnsi="仿宋" w:cs="仿宋"/>
          <w:szCs w:val="28"/>
          <w:lang w:eastAsia="zh-CN"/>
        </w:rPr>
        <w:t>。投标人</w:t>
      </w:r>
      <w:r>
        <w:rPr>
          <w:rFonts w:hint="eastAsia" w:ascii="仿宋" w:hAnsi="仿宋" w:cs="仿宋"/>
          <w:szCs w:val="28"/>
          <w:lang w:val="en-US" w:eastAsia="zh-CN"/>
        </w:rPr>
        <w:t>应</w:t>
      </w:r>
      <w:r>
        <w:rPr>
          <w:rFonts w:hint="eastAsia" w:ascii="仿宋" w:hAnsi="仿宋" w:cs="仿宋"/>
          <w:szCs w:val="28"/>
          <w:lang w:eastAsia="zh-CN"/>
        </w:rPr>
        <w:t>现场对测试结果进行确认，如有对未通过测试项有疑问，需在现场及时提出。如未对未通过测试项提供可信的解释，以招标人测试结论为准。测试结束后不接受再次测试。</w:t>
      </w:r>
    </w:p>
    <w:p w14:paraId="395BE4C6">
      <w:pPr>
        <w:pStyle w:val="18"/>
        <w:ind w:firstLine="560"/>
        <w:rPr>
          <w:rFonts w:ascii="仿宋" w:hAnsi="仿宋" w:cs="仿宋"/>
          <w:szCs w:val="28"/>
        </w:rPr>
      </w:pPr>
    </w:p>
    <w:p w14:paraId="4D25ADED">
      <w:pPr>
        <w:pStyle w:val="18"/>
        <w:ind w:firstLine="560"/>
        <w:rPr>
          <w:rFonts w:ascii="仿宋" w:hAnsi="仿宋" w:cs="仿宋"/>
          <w:szCs w:val="28"/>
        </w:rPr>
      </w:pPr>
    </w:p>
    <w:p w14:paraId="6C31E420">
      <w:pPr>
        <w:pStyle w:val="18"/>
        <w:ind w:firstLine="560"/>
        <w:rPr>
          <w:rFonts w:ascii="仿宋" w:hAnsi="仿宋" w:cs="仿宋"/>
          <w:szCs w:val="28"/>
        </w:rPr>
        <w:sectPr>
          <w:headerReference r:id="rId4" w:type="default"/>
          <w:footerReference r:id="rId5" w:type="default"/>
          <w:pgSz w:w="11906" w:h="16838"/>
          <w:pgMar w:top="1418" w:right="1418" w:bottom="1418" w:left="1418" w:header="851" w:footer="819" w:gutter="0"/>
          <w:pgNumType w:start="1"/>
          <w:cols w:space="425" w:num="1"/>
          <w:docGrid w:type="lines" w:linePitch="312" w:charSpace="0"/>
        </w:sectPr>
      </w:pPr>
    </w:p>
    <w:p w14:paraId="36ED5528">
      <w:r>
        <w:rPr>
          <w:rFonts w:hint="eastAsia" w:eastAsia="仿宋"/>
          <w:sz w:val="28"/>
          <w:szCs w:val="36"/>
        </w:rPr>
        <w:t>附录：</w:t>
      </w:r>
    </w:p>
    <w:p w14:paraId="68DCA229">
      <w:pPr>
        <w:widowControl w:val="0"/>
        <w:spacing w:after="240" w:line="480" w:lineRule="auto"/>
        <w:jc w:val="center"/>
        <w:outlineLvl w:val="0"/>
        <w:rPr>
          <w:rFonts w:ascii="仿宋" w:hAnsi="仿宋" w:eastAsia="仿宋" w:cs="仿宋"/>
          <w:b/>
          <w:bCs/>
          <w:sz w:val="28"/>
          <w:szCs w:val="28"/>
        </w:rPr>
      </w:pPr>
      <w:r>
        <w:rPr>
          <w:rFonts w:hint="eastAsia" w:ascii="仿宋" w:hAnsi="仿宋" w:eastAsia="仿宋" w:cs="仿宋"/>
          <w:b/>
          <w:bCs/>
          <w:sz w:val="36"/>
          <w:szCs w:val="36"/>
        </w:rPr>
        <w:t>法定代表人授权委托书</w:t>
      </w:r>
    </w:p>
    <w:p w14:paraId="3E136B63">
      <w:pPr>
        <w:widowControl w:val="0"/>
        <w:spacing w:line="360" w:lineRule="auto"/>
        <w:rPr>
          <w:rFonts w:ascii="仿宋" w:hAnsi="仿宋" w:eastAsia="仿宋" w:cs="仿宋"/>
          <w:sz w:val="28"/>
          <w:szCs w:val="28"/>
        </w:rPr>
      </w:pPr>
      <w:r>
        <w:rPr>
          <w:rFonts w:hint="eastAsia" w:ascii="仿宋" w:hAnsi="仿宋" w:eastAsia="仿宋" w:cs="仿宋"/>
          <w:sz w:val="28"/>
          <w:szCs w:val="28"/>
        </w:rPr>
        <w:t>致广东南粤银行股份有限公司：</w:t>
      </w:r>
    </w:p>
    <w:p w14:paraId="210F37EB">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本授权委托书声明：</w:t>
      </w:r>
      <w:r>
        <w:rPr>
          <w:rFonts w:hint="eastAsia" w:ascii="仿宋" w:hAnsi="仿宋" w:eastAsia="仿宋" w:cs="仿宋"/>
          <w:sz w:val="28"/>
          <w:szCs w:val="28"/>
          <w:u w:val="single"/>
        </w:rPr>
        <w:t xml:space="preserve">                           </w:t>
      </w:r>
      <w:r>
        <w:rPr>
          <w:rFonts w:hint="eastAsia" w:ascii="仿宋" w:hAnsi="仿宋" w:eastAsia="仿宋" w:cs="仿宋"/>
          <w:sz w:val="28"/>
          <w:szCs w:val="28"/>
        </w:rPr>
        <w:t>公司是中华人民共和国合法企业，</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（法定代表人姓名）代表本公司授权委托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（被授权人姓名及身份证件号）代表我公司参加贵司的“</w:t>
      </w:r>
      <w:r>
        <w:rPr>
          <w:rFonts w:hint="eastAsia" w:ascii="仿宋" w:hAnsi="仿宋" w:eastAsia="仿宋" w:cs="仿宋"/>
          <w:sz w:val="28"/>
          <w:szCs w:val="28"/>
          <w:lang w:val="en-US" w:eastAsia="zh-CN"/>
        </w:rPr>
        <w:t>对公</w:t>
      </w:r>
      <w:r>
        <w:rPr>
          <w:rFonts w:hint="eastAsia" w:ascii="仿宋" w:hAnsi="仿宋" w:eastAsia="仿宋" w:cs="仿宋"/>
          <w:sz w:val="28"/>
          <w:szCs w:val="28"/>
        </w:rPr>
        <w:t>CRM系统建设项目”的POC测试，并签署相关文件。我公司对被授权人在POC测试中所签署的一切文件及处理与之有关的一切事务均以承认并承担由此产生的全部后果。</w:t>
      </w:r>
    </w:p>
    <w:p w14:paraId="4EAF32F0">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本授权书于签字盖章后生效，被授权人无权转授权，特此声明。</w:t>
      </w:r>
    </w:p>
    <w:p w14:paraId="4036C78D">
      <w:pPr>
        <w:widowControl w:val="0"/>
        <w:spacing w:line="360" w:lineRule="auto"/>
        <w:rPr>
          <w:rFonts w:ascii="仿宋" w:hAnsi="仿宋" w:eastAsia="仿宋" w:cs="仿宋"/>
          <w:sz w:val="28"/>
          <w:szCs w:val="28"/>
        </w:rPr>
      </w:pPr>
    </w:p>
    <w:p w14:paraId="524FCB67">
      <w:pPr>
        <w:widowControl w:val="0"/>
        <w:spacing w:line="360" w:lineRule="auto"/>
        <w:rPr>
          <w:rFonts w:ascii="仿宋" w:hAnsi="仿宋" w:eastAsia="仿宋" w:cs="仿宋"/>
          <w:sz w:val="28"/>
          <w:szCs w:val="28"/>
        </w:rPr>
      </w:pPr>
      <w:r>
        <w:rPr>
          <w:rFonts w:hint="eastAsia" w:ascii="仿宋" w:hAnsi="仿宋" w:eastAsia="仿宋" w:cs="仿宋"/>
          <w:sz w:val="28"/>
          <w:szCs w:val="28"/>
        </w:rPr>
        <w:t>附：被授权人有效身份证正反面复印件</w:t>
      </w:r>
    </w:p>
    <w:p w14:paraId="3E4BB01D">
      <w:pPr>
        <w:widowControl w:val="0"/>
        <w:spacing w:line="360" w:lineRule="auto"/>
        <w:rPr>
          <w:rFonts w:ascii="仿宋" w:hAnsi="仿宋" w:eastAsia="仿宋" w:cs="仿宋"/>
          <w:sz w:val="28"/>
          <w:szCs w:val="28"/>
        </w:rPr>
      </w:pPr>
    </w:p>
    <w:p w14:paraId="6ECD9448">
      <w:pPr>
        <w:widowControl w:val="0"/>
        <w:spacing w:line="360" w:lineRule="auto"/>
        <w:rPr>
          <w:rFonts w:ascii="仿宋" w:hAnsi="仿宋" w:eastAsia="仿宋" w:cs="仿宋"/>
          <w:sz w:val="28"/>
          <w:szCs w:val="28"/>
        </w:rPr>
      </w:pPr>
    </w:p>
    <w:p w14:paraId="24FE0226">
      <w:pPr>
        <w:widowControl w:val="0"/>
        <w:spacing w:line="360" w:lineRule="auto"/>
        <w:rPr>
          <w:rFonts w:ascii="仿宋" w:hAnsi="仿宋" w:eastAsia="仿宋" w:cs="仿宋"/>
          <w:sz w:val="28"/>
          <w:szCs w:val="28"/>
        </w:rPr>
      </w:pPr>
    </w:p>
    <w:p w14:paraId="659F8D2C">
      <w:pPr>
        <w:widowControl w:val="0"/>
        <w:spacing w:line="360" w:lineRule="auto"/>
        <w:rPr>
          <w:rFonts w:ascii="仿宋" w:hAnsi="仿宋" w:eastAsia="仿宋" w:cs="仿宋"/>
          <w:sz w:val="28"/>
          <w:szCs w:val="28"/>
        </w:rPr>
      </w:pPr>
      <w:r>
        <w:rPr>
          <w:rFonts w:hint="eastAsia" w:ascii="仿宋" w:hAnsi="仿宋" w:eastAsia="仿宋" w:cs="仿宋"/>
          <w:sz w:val="28"/>
          <w:szCs w:val="28"/>
        </w:rPr>
        <w:t>公司名称（盖章）：</w:t>
      </w:r>
    </w:p>
    <w:p w14:paraId="4CBD70B3">
      <w:pPr>
        <w:widowControl w:val="0"/>
        <w:spacing w:line="360" w:lineRule="auto"/>
        <w:rPr>
          <w:rFonts w:ascii="仿宋" w:hAnsi="仿宋" w:eastAsia="仿宋" w:cs="仿宋"/>
          <w:sz w:val="28"/>
          <w:szCs w:val="28"/>
        </w:rPr>
      </w:pPr>
      <w:r>
        <w:rPr>
          <w:rFonts w:hint="eastAsia" w:ascii="仿宋" w:hAnsi="仿宋" w:eastAsia="仿宋" w:cs="仿宋"/>
          <w:sz w:val="28"/>
          <w:szCs w:val="28"/>
        </w:rPr>
        <w:t>地         址：</w:t>
      </w:r>
    </w:p>
    <w:p w14:paraId="40E49A3F">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法定代表人（签字或盖章）：                  </w:t>
      </w:r>
    </w:p>
    <w:p w14:paraId="0CDA8441">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被授权人（签字或盖章）：                职务：          </w:t>
      </w:r>
    </w:p>
    <w:p w14:paraId="724DFD4E">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被授权人联系电话：                      邮箱：                 </w:t>
      </w:r>
    </w:p>
    <w:p w14:paraId="4B4255B8">
      <w:pPr>
        <w:widowControl w:val="0"/>
        <w:spacing w:line="360" w:lineRule="auto"/>
        <w:rPr>
          <w:rFonts w:ascii="仿宋" w:hAnsi="仿宋" w:eastAsia="仿宋" w:cs="仿宋"/>
          <w:sz w:val="28"/>
          <w:szCs w:val="28"/>
        </w:rPr>
      </w:pPr>
      <w:r>
        <w:rPr>
          <w:rFonts w:hint="eastAsia" w:ascii="仿宋" w:hAnsi="仿宋" w:eastAsia="仿宋" w:cs="仿宋"/>
          <w:sz w:val="28"/>
          <w:szCs w:val="28"/>
        </w:rPr>
        <w:t>日期：</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Futura Bk">
    <w:altName w:val="Segoe Print"/>
    <w:panose1 w:val="00000000000000000000"/>
    <w:charset w:val="00"/>
    <w:family w:val="auto"/>
    <w:pitch w:val="default"/>
    <w:sig w:usb0="00000000" w:usb1="00000000" w:usb2="00000000" w:usb3="00000000" w:csb0="0000009F" w:csb1="00000000"/>
  </w:font>
  <w:font w:name="C059">
    <w:altName w:val="Segoe Print"/>
    <w:panose1 w:val="00000500000000000000"/>
    <w:charset w:val="00"/>
    <w:family w:val="auto"/>
    <w:pitch w:val="default"/>
    <w:sig w:usb0="00000000" w:usb1="00000000" w:usb2="00000000" w:usb3="00000000" w:csb0="6000009F" w:csb1="00000000"/>
  </w:font>
  <w:font w:name="楷体_GB2312">
    <w:altName w:val="楷体"/>
    <w:panose1 w:val="00000000000000000000"/>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Songti SC">
    <w:altName w:val="宋体"/>
    <w:panose1 w:val="00000000000000000000"/>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8AC6">
    <w:pPr>
      <w:pStyle w:val="25"/>
      <w:jc w:val="center"/>
    </w:pPr>
    <w:r>
      <w:fldChar w:fldCharType="begin"/>
    </w:r>
    <w:r>
      <w:instrText xml:space="preserve"> PAGE   \* MERGEFORMAT </w:instrText>
    </w:r>
    <w:r>
      <w:fldChar w:fldCharType="separate"/>
    </w:r>
    <w:r>
      <w:rPr>
        <w:lang w:val="zh-CN"/>
      </w:rPr>
      <w:t>8</w:t>
    </w:r>
    <w:r>
      <w:rPr>
        <w:lang w:val="zh-CN"/>
      </w:rPr>
      <w:fldChar w:fldCharType="end"/>
    </w:r>
  </w:p>
  <w:p w14:paraId="1732F7C1">
    <w:pPr>
      <w:pStyle w:val="25"/>
      <w:pBdr>
        <w:top w:val="single" w:color="D9D9D9" w:sz="4" w:space="0"/>
      </w:pBdr>
      <w:tabs>
        <w:tab w:val="left" w:pos="420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1F4C">
    <w:pPr>
      <w:pBdr>
        <w:bottom w:val="single" w:color="auto" w:sz="4" w:space="1"/>
      </w:pBdr>
      <w:jc w:val="both"/>
    </w:pPr>
    <w:r>
      <w:drawing>
        <wp:inline distT="0" distB="0" distL="0" distR="0">
          <wp:extent cx="1333500" cy="2952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333500" cy="29527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rPr>
        <w:rFonts w:hint="eastAsia"/>
        <w:lang w:val="en-US" w:eastAsia="zh-CN"/>
      </w:rPr>
      <w:t>对公</w:t>
    </w:r>
    <w:r>
      <w:rPr>
        <w:rFonts w:hint="eastAsia" w:asciiTheme="minorEastAsia" w:hAnsiTheme="minorEastAsia" w:eastAsiaTheme="minorEastAsia"/>
        <w:sz w:val="18"/>
        <w:szCs w:val="18"/>
      </w:rPr>
      <w:t>CRM系统建设项目P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p w14:paraId="44F51857">
    <w:pPr>
      <w:pStyle w:val="26"/>
      <w:pBdr>
        <w:bottom w:val="none" w:color="auto" w:sz="0" w:space="0"/>
      </w:pBdr>
      <w:jc w:val="both"/>
    </w:pP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229E">
    <w:pPr>
      <w:pBdr>
        <w:bottom w:val="single" w:color="auto" w:sz="4" w:space="1"/>
      </w:pBdr>
    </w:pPr>
    <w:r>
      <w:drawing>
        <wp:inline distT="0" distB="0" distL="0" distR="0">
          <wp:extent cx="1333500" cy="29527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srcRect/>
                  <a:stretch>
                    <a:fillRect/>
                  </a:stretch>
                </pic:blipFill>
                <pic:spPr>
                  <a:xfrm>
                    <a:off x="0" y="0"/>
                    <a:ext cx="1333500" cy="29527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t xml:space="preserve"> </w:t>
    </w:r>
    <w:r>
      <w:rPr>
        <w:rFonts w:hint="eastAsia"/>
        <w:lang w:val="en-US" w:eastAsia="zh-CN"/>
      </w:rPr>
      <w:t>对公</w:t>
    </w:r>
    <w:r>
      <w:rPr>
        <w:rFonts w:hint="eastAsia" w:asciiTheme="minorEastAsia" w:hAnsiTheme="minorEastAsia" w:eastAsiaTheme="minorEastAsia"/>
        <w:sz w:val="18"/>
        <w:szCs w:val="18"/>
      </w:rPr>
      <w:t>CRM系统建设项目P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6A17">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0F09"/>
    <w:multiLevelType w:val="singleLevel"/>
    <w:tmpl w:val="80F70F09"/>
    <w:lvl w:ilvl="0" w:tentative="0">
      <w:start w:val="1"/>
      <w:numFmt w:val="decimal"/>
      <w:suff w:val="nothing"/>
      <w:lvlText w:val="（%1）"/>
      <w:lvlJc w:val="left"/>
    </w:lvl>
  </w:abstractNum>
  <w:abstractNum w:abstractNumId="1">
    <w:nsid w:val="9157C5C4"/>
    <w:multiLevelType w:val="singleLevel"/>
    <w:tmpl w:val="9157C5C4"/>
    <w:lvl w:ilvl="0" w:tentative="0">
      <w:start w:val="1"/>
      <w:numFmt w:val="decimal"/>
      <w:suff w:val="nothing"/>
      <w:lvlText w:val="（%1）"/>
      <w:lvlJc w:val="left"/>
    </w:lvl>
  </w:abstractNum>
  <w:abstractNum w:abstractNumId="2">
    <w:nsid w:val="B16CBB95"/>
    <w:multiLevelType w:val="singleLevel"/>
    <w:tmpl w:val="B16CBB95"/>
    <w:lvl w:ilvl="0" w:tentative="0">
      <w:start w:val="1"/>
      <w:numFmt w:val="decimal"/>
      <w:suff w:val="nothing"/>
      <w:lvlText w:val="（%1）"/>
      <w:lvlJc w:val="left"/>
    </w:lvl>
  </w:abstractNum>
  <w:abstractNum w:abstractNumId="3">
    <w:nsid w:val="B26A824F"/>
    <w:multiLevelType w:val="singleLevel"/>
    <w:tmpl w:val="B26A824F"/>
    <w:lvl w:ilvl="0" w:tentative="0">
      <w:start w:val="1"/>
      <w:numFmt w:val="decimal"/>
      <w:suff w:val="nothing"/>
      <w:lvlText w:val="（%1）"/>
      <w:lvlJc w:val="left"/>
    </w:lvl>
  </w:abstractNum>
  <w:abstractNum w:abstractNumId="4">
    <w:nsid w:val="BA157FFA"/>
    <w:multiLevelType w:val="singleLevel"/>
    <w:tmpl w:val="BA157FFA"/>
    <w:lvl w:ilvl="0" w:tentative="0">
      <w:start w:val="1"/>
      <w:numFmt w:val="decimal"/>
      <w:suff w:val="nothing"/>
      <w:lvlText w:val="%1、"/>
      <w:lvlJc w:val="left"/>
    </w:lvl>
  </w:abstractNum>
  <w:abstractNum w:abstractNumId="5">
    <w:nsid w:val="C17A018D"/>
    <w:multiLevelType w:val="singleLevel"/>
    <w:tmpl w:val="C17A018D"/>
    <w:lvl w:ilvl="0" w:tentative="0">
      <w:start w:val="1"/>
      <w:numFmt w:val="decimal"/>
      <w:suff w:val="nothing"/>
      <w:lvlText w:val="（%1）"/>
      <w:lvlJc w:val="left"/>
    </w:lvl>
  </w:abstractNum>
  <w:abstractNum w:abstractNumId="6">
    <w:nsid w:val="EB1D027A"/>
    <w:multiLevelType w:val="singleLevel"/>
    <w:tmpl w:val="EB1D027A"/>
    <w:lvl w:ilvl="0" w:tentative="0">
      <w:start w:val="1"/>
      <w:numFmt w:val="decimal"/>
      <w:suff w:val="nothing"/>
      <w:lvlText w:val="（%1）"/>
      <w:lvlJc w:val="left"/>
    </w:lvl>
  </w:abstractNum>
  <w:abstractNum w:abstractNumId="7">
    <w:nsid w:val="035E5B1C"/>
    <w:multiLevelType w:val="multilevel"/>
    <w:tmpl w:val="035E5B1C"/>
    <w:lvl w:ilvl="0" w:tentative="0">
      <w:start w:val="1"/>
      <w:numFmt w:val="bullet"/>
      <w:pStyle w:val="84"/>
      <w:lvlText w:val=""/>
      <w:lvlJc w:val="left"/>
      <w:pPr>
        <w:ind w:left="900" w:hanging="420"/>
      </w:pPr>
      <w:rPr>
        <w:rFonts w:hint="default" w:ascii="Wingdings" w:hAnsi="Wingdings"/>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55219F1"/>
    <w:multiLevelType w:val="multilevel"/>
    <w:tmpl w:val="155219F1"/>
    <w:lvl w:ilvl="0" w:tentative="0">
      <w:start w:val="1"/>
      <w:numFmt w:val="decimal"/>
      <w:pStyle w:val="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139179A"/>
    <w:multiLevelType w:val="singleLevel"/>
    <w:tmpl w:val="2139179A"/>
    <w:lvl w:ilvl="0" w:tentative="0">
      <w:start w:val="1"/>
      <w:numFmt w:val="decimal"/>
      <w:suff w:val="nothing"/>
      <w:lvlText w:val="（%1）"/>
      <w:lvlJc w:val="left"/>
    </w:lvl>
  </w:abstractNum>
  <w:abstractNum w:abstractNumId="10">
    <w:nsid w:val="253807C3"/>
    <w:multiLevelType w:val="multilevel"/>
    <w:tmpl w:val="253807C3"/>
    <w:lvl w:ilvl="0" w:tentative="0">
      <w:start w:val="1"/>
      <w:numFmt w:val="chineseCountingThousand"/>
      <w:pStyle w:val="68"/>
      <w:lvlText w:val="第%1条"/>
      <w:lvlJc w:val="left"/>
      <w:pPr>
        <w:ind w:left="420" w:hanging="420"/>
      </w:pPr>
      <w:rPr>
        <w:rFonts w:hint="eastAsia" w:ascii="仿宋_GB2312" w:eastAsia="仿宋_GB2312"/>
        <w:b/>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CD3A05"/>
    <w:multiLevelType w:val="multilevel"/>
    <w:tmpl w:val="2ACD3A05"/>
    <w:lvl w:ilvl="0" w:tentative="0">
      <w:start w:val="1"/>
      <w:numFmt w:val="bullet"/>
      <w:pStyle w:val="79"/>
      <w:lvlText w:val=""/>
      <w:lvlJc w:val="left"/>
      <w:pPr>
        <w:tabs>
          <w:tab w:val="left" w:pos="480"/>
        </w:tabs>
        <w:ind w:left="480" w:hanging="480"/>
      </w:pPr>
      <w:rPr>
        <w:rFonts w:hint="default" w:ascii="Wingdings 3" w:hAnsi="Wingdings 3"/>
        <w:sz w:val="22"/>
        <w:szCs w:val="22"/>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abstractNum w:abstractNumId="12">
    <w:nsid w:val="379864D6"/>
    <w:multiLevelType w:val="singleLevel"/>
    <w:tmpl w:val="379864D6"/>
    <w:lvl w:ilvl="0" w:tentative="0">
      <w:start w:val="1"/>
      <w:numFmt w:val="decimal"/>
      <w:suff w:val="nothing"/>
      <w:lvlText w:val="（%1）"/>
      <w:lvlJc w:val="left"/>
    </w:lvl>
  </w:abstractNum>
  <w:abstractNum w:abstractNumId="13">
    <w:nsid w:val="49CD0738"/>
    <w:multiLevelType w:val="multilevel"/>
    <w:tmpl w:val="49CD0738"/>
    <w:lvl w:ilvl="0" w:tentative="0">
      <w:start w:val="1"/>
      <w:numFmt w:val="decimal"/>
      <w:lvlText w:val="%1"/>
      <w:lvlJc w:val="left"/>
      <w:pPr>
        <w:ind w:left="432" w:hanging="432"/>
      </w:pPr>
      <w:rPr>
        <w:rFonts w:hint="default" w:ascii="Arial Black" w:hAnsi="Arial Black"/>
      </w:rPr>
    </w:lvl>
    <w:lvl w:ilvl="1" w:tentative="0">
      <w:start w:val="1"/>
      <w:numFmt w:val="decimal"/>
      <w:lvlText w:val="%1.%2"/>
      <w:lvlJc w:val="left"/>
      <w:pPr>
        <w:ind w:left="576" w:hanging="576"/>
      </w:pPr>
      <w:rPr>
        <w:rFonts w:hint="default" w:ascii="Arial Black" w:hAnsi="Arial Black" w:eastAsia="仿宋"/>
      </w:rPr>
    </w:lvl>
    <w:lvl w:ilvl="2" w:tentative="0">
      <w:start w:val="1"/>
      <w:numFmt w:val="decimal"/>
      <w:lvlText w:val="3.3.%3"/>
      <w:lvlJc w:val="left"/>
      <w:pPr>
        <w:ind w:left="567" w:hanging="567"/>
      </w:pPr>
      <w:rPr>
        <w:rFonts w:hint="default" w:ascii="宋体" w:hAnsi="宋体" w:eastAsia="宋体"/>
        <w:b/>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2" w:hanging="1152"/>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4" w:hanging="1584"/>
      </w:pPr>
      <w:rPr>
        <w:rFonts w:hint="default"/>
      </w:rPr>
    </w:lvl>
  </w:abstractNum>
  <w:abstractNum w:abstractNumId="14">
    <w:nsid w:val="57CE66AF"/>
    <w:multiLevelType w:val="multilevel"/>
    <w:tmpl w:val="57CE66AF"/>
    <w:lvl w:ilvl="0" w:tentative="0">
      <w:start w:val="1"/>
      <w:numFmt w:val="chineseCounting"/>
      <w:pStyle w:val="92"/>
      <w:suff w:val="space"/>
      <w:lvlText w:val="%1. "/>
      <w:lvlJc w:val="left"/>
      <w:pPr>
        <w:tabs>
          <w:tab w:val="left" w:pos="0"/>
        </w:tabs>
        <w:ind w:left="0" w:firstLine="0"/>
      </w:pPr>
      <w:rPr>
        <w:rFonts w:hint="eastAsia" w:ascii="宋体" w:hAnsi="宋体" w:eastAsia="宋体" w:cs="宋体"/>
        <w:b/>
        <w:sz w:val="44"/>
      </w:rPr>
    </w:lvl>
    <w:lvl w:ilvl="1" w:tentative="0">
      <w:start w:val="1"/>
      <w:numFmt w:val="decimal"/>
      <w:isLgl/>
      <w:suff w:val="space"/>
      <w:lvlText w:val="%1.%2 "/>
      <w:lvlJc w:val="left"/>
      <w:pPr>
        <w:ind w:left="0" w:firstLine="0"/>
      </w:pPr>
      <w:rPr>
        <w:rFonts w:hint="eastAsia" w:ascii="宋体" w:hAnsi="宋体" w:eastAsia="宋体" w:cs="宋体"/>
        <w:b/>
        <w:sz w:val="32"/>
      </w:rPr>
    </w:lvl>
    <w:lvl w:ilvl="2" w:tentative="0">
      <w:start w:val="1"/>
      <w:numFmt w:val="decimal"/>
      <w:pStyle w:val="91"/>
      <w:isLgl/>
      <w:suff w:val="space"/>
      <w:lvlText w:val="%1.%2.%3 "/>
      <w:lvlJc w:val="left"/>
      <w:pPr>
        <w:tabs>
          <w:tab w:val="left" w:pos="0"/>
        </w:tabs>
        <w:ind w:left="0" w:firstLine="0"/>
      </w:pPr>
      <w:rPr>
        <w:rFonts w:hint="eastAsia" w:ascii="宋体" w:hAnsi="宋体" w:eastAsia="宋体" w:cs="宋体"/>
        <w:b/>
        <w:sz w:val="30"/>
      </w:rPr>
    </w:lvl>
    <w:lvl w:ilvl="3" w:tentative="0">
      <w:start w:val="1"/>
      <w:numFmt w:val="decimal"/>
      <w:isLgl/>
      <w:suff w:val="space"/>
      <w:lvlText w:val="%1.%2.%3.%4 "/>
      <w:lvlJc w:val="left"/>
      <w:pPr>
        <w:tabs>
          <w:tab w:val="left" w:pos="0"/>
        </w:tabs>
        <w:ind w:left="0" w:firstLine="0"/>
      </w:pPr>
      <w:rPr>
        <w:rFonts w:hint="eastAsia" w:ascii="宋体" w:hAnsi="宋体" w:eastAsia="宋体" w:cs="宋体"/>
        <w:b/>
        <w:sz w:val="28"/>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5A69C248"/>
    <w:multiLevelType w:val="multilevel"/>
    <w:tmpl w:val="5A69C248"/>
    <w:lvl w:ilvl="0" w:tentative="0">
      <w:start w:val="1"/>
      <w:numFmt w:val="decimal"/>
      <w:pStyle w:val="4"/>
      <w:lvlText w:val="%1."/>
      <w:lvlJc w:val="left"/>
      <w:pPr>
        <w:tabs>
          <w:tab w:val="left" w:pos="425"/>
        </w:tabs>
        <w:ind w:left="425" w:hanging="425"/>
      </w:pPr>
      <w:rPr>
        <w:rFonts w:hint="default"/>
      </w:rPr>
    </w:lvl>
    <w:lvl w:ilvl="1" w:tentative="0">
      <w:start w:val="1"/>
      <w:numFmt w:val="decimal"/>
      <w:pStyle w:val="5"/>
      <w:lvlText w:val="%1.%2."/>
      <w:lvlJc w:val="left"/>
      <w:pPr>
        <w:tabs>
          <w:tab w:val="left" w:pos="567"/>
        </w:tabs>
        <w:ind w:left="567" w:hanging="567"/>
      </w:pPr>
      <w:rPr>
        <w:rFonts w:hint="default"/>
      </w:rPr>
    </w:lvl>
    <w:lvl w:ilvl="2" w:tentative="0">
      <w:start w:val="1"/>
      <w:numFmt w:val="decimal"/>
      <w:pStyle w:val="6"/>
      <w:lvlText w:val="%1.%2.%3."/>
      <w:lvlJc w:val="left"/>
      <w:pPr>
        <w:tabs>
          <w:tab w:val="left" w:pos="709"/>
        </w:tabs>
        <w:ind w:left="567" w:hanging="567"/>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num w:numId="1">
    <w:abstractNumId w:val="15"/>
  </w:num>
  <w:num w:numId="2">
    <w:abstractNumId w:val="13"/>
  </w:num>
  <w:num w:numId="3">
    <w:abstractNumId w:val="10"/>
  </w:num>
  <w:num w:numId="4">
    <w:abstractNumId w:val="8"/>
  </w:num>
  <w:num w:numId="5">
    <w:abstractNumId w:val="11"/>
  </w:num>
  <w:num w:numId="6">
    <w:abstractNumId w:val="7"/>
  </w:num>
  <w:num w:numId="7">
    <w:abstractNumId w:val="14"/>
  </w:num>
  <w:num w:numId="8">
    <w:abstractNumId w:val="9"/>
  </w:num>
  <w:num w:numId="9">
    <w:abstractNumId w:val="4"/>
  </w:num>
  <w:num w:numId="10">
    <w:abstractNumId w:val="1"/>
  </w:num>
  <w:num w:numId="11">
    <w:abstractNumId w:val="5"/>
  </w:num>
  <w:num w:numId="12">
    <w:abstractNumId w:val="3"/>
  </w:num>
  <w:num w:numId="13">
    <w:abstractNumId w:val="2"/>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4C"/>
    <w:rsid w:val="00000065"/>
    <w:rsid w:val="0000173B"/>
    <w:rsid w:val="00001DC0"/>
    <w:rsid w:val="000022D0"/>
    <w:rsid w:val="00002E48"/>
    <w:rsid w:val="00004198"/>
    <w:rsid w:val="00011E9E"/>
    <w:rsid w:val="000128A8"/>
    <w:rsid w:val="00013D41"/>
    <w:rsid w:val="00013DFA"/>
    <w:rsid w:val="00015213"/>
    <w:rsid w:val="0001754E"/>
    <w:rsid w:val="0002164A"/>
    <w:rsid w:val="000223E8"/>
    <w:rsid w:val="000224F2"/>
    <w:rsid w:val="000235DA"/>
    <w:rsid w:val="0002415B"/>
    <w:rsid w:val="000262AF"/>
    <w:rsid w:val="00026A7E"/>
    <w:rsid w:val="0003006B"/>
    <w:rsid w:val="000304A1"/>
    <w:rsid w:val="0003125F"/>
    <w:rsid w:val="0003216B"/>
    <w:rsid w:val="00033B17"/>
    <w:rsid w:val="0003418E"/>
    <w:rsid w:val="00034E70"/>
    <w:rsid w:val="00035381"/>
    <w:rsid w:val="000353B6"/>
    <w:rsid w:val="000371B8"/>
    <w:rsid w:val="000412C6"/>
    <w:rsid w:val="00041CA5"/>
    <w:rsid w:val="000428F6"/>
    <w:rsid w:val="000433A8"/>
    <w:rsid w:val="000469B4"/>
    <w:rsid w:val="000477EC"/>
    <w:rsid w:val="0005116D"/>
    <w:rsid w:val="00053548"/>
    <w:rsid w:val="00053DB5"/>
    <w:rsid w:val="0005464C"/>
    <w:rsid w:val="00054714"/>
    <w:rsid w:val="00054BA9"/>
    <w:rsid w:val="0005525B"/>
    <w:rsid w:val="0005547D"/>
    <w:rsid w:val="00056984"/>
    <w:rsid w:val="000606C7"/>
    <w:rsid w:val="000609B4"/>
    <w:rsid w:val="00062F8E"/>
    <w:rsid w:val="00063A5A"/>
    <w:rsid w:val="00066305"/>
    <w:rsid w:val="00067546"/>
    <w:rsid w:val="00067B3E"/>
    <w:rsid w:val="00067EFF"/>
    <w:rsid w:val="00067F9B"/>
    <w:rsid w:val="0007021F"/>
    <w:rsid w:val="00071314"/>
    <w:rsid w:val="00072022"/>
    <w:rsid w:val="00073229"/>
    <w:rsid w:val="00073891"/>
    <w:rsid w:val="000739DA"/>
    <w:rsid w:val="00073E43"/>
    <w:rsid w:val="00074C3C"/>
    <w:rsid w:val="00075399"/>
    <w:rsid w:val="00082034"/>
    <w:rsid w:val="000823F9"/>
    <w:rsid w:val="000831A7"/>
    <w:rsid w:val="00083BC5"/>
    <w:rsid w:val="00087488"/>
    <w:rsid w:val="00087E1C"/>
    <w:rsid w:val="00090A35"/>
    <w:rsid w:val="00090B0C"/>
    <w:rsid w:val="00091BE2"/>
    <w:rsid w:val="00092784"/>
    <w:rsid w:val="0009473E"/>
    <w:rsid w:val="00094CED"/>
    <w:rsid w:val="00094D41"/>
    <w:rsid w:val="00094F73"/>
    <w:rsid w:val="000954B0"/>
    <w:rsid w:val="00095D8B"/>
    <w:rsid w:val="00096DDB"/>
    <w:rsid w:val="000972CD"/>
    <w:rsid w:val="00097EB1"/>
    <w:rsid w:val="000A1F5C"/>
    <w:rsid w:val="000B0A43"/>
    <w:rsid w:val="000B1B00"/>
    <w:rsid w:val="000B1D54"/>
    <w:rsid w:val="000B1F9B"/>
    <w:rsid w:val="000B2235"/>
    <w:rsid w:val="000B26FE"/>
    <w:rsid w:val="000B2B1E"/>
    <w:rsid w:val="000B3069"/>
    <w:rsid w:val="000B379F"/>
    <w:rsid w:val="000B4995"/>
    <w:rsid w:val="000B4F30"/>
    <w:rsid w:val="000B5A82"/>
    <w:rsid w:val="000B6798"/>
    <w:rsid w:val="000B6ADA"/>
    <w:rsid w:val="000B7E7F"/>
    <w:rsid w:val="000C08CB"/>
    <w:rsid w:val="000C14A5"/>
    <w:rsid w:val="000C230B"/>
    <w:rsid w:val="000C349F"/>
    <w:rsid w:val="000C39FB"/>
    <w:rsid w:val="000C5958"/>
    <w:rsid w:val="000C63A7"/>
    <w:rsid w:val="000C7239"/>
    <w:rsid w:val="000D0031"/>
    <w:rsid w:val="000D2376"/>
    <w:rsid w:val="000D4105"/>
    <w:rsid w:val="000D47FA"/>
    <w:rsid w:val="000D4B29"/>
    <w:rsid w:val="000D62C1"/>
    <w:rsid w:val="000E0101"/>
    <w:rsid w:val="000E12F1"/>
    <w:rsid w:val="000E139E"/>
    <w:rsid w:val="000E341F"/>
    <w:rsid w:val="000E3ED8"/>
    <w:rsid w:val="000E62BA"/>
    <w:rsid w:val="000E7DA7"/>
    <w:rsid w:val="000E7FAE"/>
    <w:rsid w:val="000F153E"/>
    <w:rsid w:val="000F3C8C"/>
    <w:rsid w:val="000F4111"/>
    <w:rsid w:val="000F436E"/>
    <w:rsid w:val="000F4937"/>
    <w:rsid w:val="000F59A7"/>
    <w:rsid w:val="00100EBF"/>
    <w:rsid w:val="00102C48"/>
    <w:rsid w:val="00103A72"/>
    <w:rsid w:val="00103BAD"/>
    <w:rsid w:val="00106B7D"/>
    <w:rsid w:val="0011056B"/>
    <w:rsid w:val="00113F2E"/>
    <w:rsid w:val="001145ED"/>
    <w:rsid w:val="0011532C"/>
    <w:rsid w:val="00120228"/>
    <w:rsid w:val="00122DAB"/>
    <w:rsid w:val="00123D90"/>
    <w:rsid w:val="00123E5A"/>
    <w:rsid w:val="0012495E"/>
    <w:rsid w:val="001268E3"/>
    <w:rsid w:val="001306D3"/>
    <w:rsid w:val="0013070C"/>
    <w:rsid w:val="00130CCC"/>
    <w:rsid w:val="001325C0"/>
    <w:rsid w:val="0013481A"/>
    <w:rsid w:val="00134A4C"/>
    <w:rsid w:val="00137B0C"/>
    <w:rsid w:val="00141E52"/>
    <w:rsid w:val="00143B31"/>
    <w:rsid w:val="00144260"/>
    <w:rsid w:val="00144F99"/>
    <w:rsid w:val="0015076F"/>
    <w:rsid w:val="0015092B"/>
    <w:rsid w:val="00150CCF"/>
    <w:rsid w:val="00151F59"/>
    <w:rsid w:val="00152D63"/>
    <w:rsid w:val="00155089"/>
    <w:rsid w:val="00156184"/>
    <w:rsid w:val="00156719"/>
    <w:rsid w:val="001604D3"/>
    <w:rsid w:val="00160712"/>
    <w:rsid w:val="0016078C"/>
    <w:rsid w:val="00160BE4"/>
    <w:rsid w:val="00160F25"/>
    <w:rsid w:val="00161301"/>
    <w:rsid w:val="001621BA"/>
    <w:rsid w:val="00164415"/>
    <w:rsid w:val="00165944"/>
    <w:rsid w:val="00171E6F"/>
    <w:rsid w:val="00172DFB"/>
    <w:rsid w:val="00175402"/>
    <w:rsid w:val="00180C29"/>
    <w:rsid w:val="00181AE4"/>
    <w:rsid w:val="00181B94"/>
    <w:rsid w:val="0018204D"/>
    <w:rsid w:val="00182F4D"/>
    <w:rsid w:val="00183186"/>
    <w:rsid w:val="001831B8"/>
    <w:rsid w:val="00183A2B"/>
    <w:rsid w:val="00184004"/>
    <w:rsid w:val="001843F9"/>
    <w:rsid w:val="0018453E"/>
    <w:rsid w:val="001862F2"/>
    <w:rsid w:val="00186407"/>
    <w:rsid w:val="0018710E"/>
    <w:rsid w:val="001877B0"/>
    <w:rsid w:val="001902C3"/>
    <w:rsid w:val="00190B78"/>
    <w:rsid w:val="001911AD"/>
    <w:rsid w:val="00192740"/>
    <w:rsid w:val="00193F97"/>
    <w:rsid w:val="00194197"/>
    <w:rsid w:val="00194985"/>
    <w:rsid w:val="00194A8E"/>
    <w:rsid w:val="00195E91"/>
    <w:rsid w:val="001966F0"/>
    <w:rsid w:val="00196A62"/>
    <w:rsid w:val="001A0487"/>
    <w:rsid w:val="001A10E3"/>
    <w:rsid w:val="001A1222"/>
    <w:rsid w:val="001A17EE"/>
    <w:rsid w:val="001A2CF1"/>
    <w:rsid w:val="001A4B3D"/>
    <w:rsid w:val="001A5358"/>
    <w:rsid w:val="001A6C62"/>
    <w:rsid w:val="001A7FDC"/>
    <w:rsid w:val="001B0EEE"/>
    <w:rsid w:val="001B1325"/>
    <w:rsid w:val="001B14C6"/>
    <w:rsid w:val="001B2061"/>
    <w:rsid w:val="001B4337"/>
    <w:rsid w:val="001B58E7"/>
    <w:rsid w:val="001B72F0"/>
    <w:rsid w:val="001B77BB"/>
    <w:rsid w:val="001C0A24"/>
    <w:rsid w:val="001C2E25"/>
    <w:rsid w:val="001C4A59"/>
    <w:rsid w:val="001C4BAA"/>
    <w:rsid w:val="001C5FDF"/>
    <w:rsid w:val="001C712C"/>
    <w:rsid w:val="001D2769"/>
    <w:rsid w:val="001D2DB6"/>
    <w:rsid w:val="001D3281"/>
    <w:rsid w:val="001D3324"/>
    <w:rsid w:val="001D54E0"/>
    <w:rsid w:val="001D5605"/>
    <w:rsid w:val="001D7A7E"/>
    <w:rsid w:val="001E07D3"/>
    <w:rsid w:val="001E0ECB"/>
    <w:rsid w:val="001E1DA7"/>
    <w:rsid w:val="001E21F0"/>
    <w:rsid w:val="001E548C"/>
    <w:rsid w:val="001F109D"/>
    <w:rsid w:val="001F1758"/>
    <w:rsid w:val="001F4241"/>
    <w:rsid w:val="001F4555"/>
    <w:rsid w:val="001F4F0A"/>
    <w:rsid w:val="001F5319"/>
    <w:rsid w:val="00201F18"/>
    <w:rsid w:val="002024EE"/>
    <w:rsid w:val="002026F8"/>
    <w:rsid w:val="00202B44"/>
    <w:rsid w:val="00202DAF"/>
    <w:rsid w:val="0020376E"/>
    <w:rsid w:val="0020394F"/>
    <w:rsid w:val="002055E4"/>
    <w:rsid w:val="00205E58"/>
    <w:rsid w:val="00205E80"/>
    <w:rsid w:val="00206688"/>
    <w:rsid w:val="002105FA"/>
    <w:rsid w:val="002109E6"/>
    <w:rsid w:val="0021132D"/>
    <w:rsid w:val="00213023"/>
    <w:rsid w:val="0021380D"/>
    <w:rsid w:val="00215AB4"/>
    <w:rsid w:val="0021690D"/>
    <w:rsid w:val="00216952"/>
    <w:rsid w:val="002179FA"/>
    <w:rsid w:val="0022054F"/>
    <w:rsid w:val="00220C0D"/>
    <w:rsid w:val="00221028"/>
    <w:rsid w:val="00222B37"/>
    <w:rsid w:val="00224210"/>
    <w:rsid w:val="00227E37"/>
    <w:rsid w:val="00230715"/>
    <w:rsid w:val="0023157E"/>
    <w:rsid w:val="00232B7B"/>
    <w:rsid w:val="00236325"/>
    <w:rsid w:val="00241D34"/>
    <w:rsid w:val="00242515"/>
    <w:rsid w:val="002426C7"/>
    <w:rsid w:val="00243B3A"/>
    <w:rsid w:val="002445C3"/>
    <w:rsid w:val="002446C7"/>
    <w:rsid w:val="0024470F"/>
    <w:rsid w:val="00244D89"/>
    <w:rsid w:val="0024665D"/>
    <w:rsid w:val="002467BC"/>
    <w:rsid w:val="00246ABD"/>
    <w:rsid w:val="00247F91"/>
    <w:rsid w:val="002509F1"/>
    <w:rsid w:val="00251375"/>
    <w:rsid w:val="00254C1F"/>
    <w:rsid w:val="00254FF0"/>
    <w:rsid w:val="00255E48"/>
    <w:rsid w:val="00257538"/>
    <w:rsid w:val="00257FAD"/>
    <w:rsid w:val="002606E5"/>
    <w:rsid w:val="00261CCB"/>
    <w:rsid w:val="002649D2"/>
    <w:rsid w:val="00265B2E"/>
    <w:rsid w:val="00274A65"/>
    <w:rsid w:val="00275283"/>
    <w:rsid w:val="00275AFF"/>
    <w:rsid w:val="00275F9D"/>
    <w:rsid w:val="00276565"/>
    <w:rsid w:val="00281762"/>
    <w:rsid w:val="00281C60"/>
    <w:rsid w:val="002829BC"/>
    <w:rsid w:val="002832FB"/>
    <w:rsid w:val="00283666"/>
    <w:rsid w:val="00285426"/>
    <w:rsid w:val="002869E5"/>
    <w:rsid w:val="0029094C"/>
    <w:rsid w:val="00293DC1"/>
    <w:rsid w:val="002A0984"/>
    <w:rsid w:val="002A0C4A"/>
    <w:rsid w:val="002A2EBF"/>
    <w:rsid w:val="002A3F3B"/>
    <w:rsid w:val="002A5D92"/>
    <w:rsid w:val="002A69F5"/>
    <w:rsid w:val="002A6E00"/>
    <w:rsid w:val="002A701A"/>
    <w:rsid w:val="002A70E2"/>
    <w:rsid w:val="002B0315"/>
    <w:rsid w:val="002B0408"/>
    <w:rsid w:val="002B0C17"/>
    <w:rsid w:val="002B2BE8"/>
    <w:rsid w:val="002B4CF3"/>
    <w:rsid w:val="002B6C76"/>
    <w:rsid w:val="002B7D97"/>
    <w:rsid w:val="002C0334"/>
    <w:rsid w:val="002C0873"/>
    <w:rsid w:val="002C0B2A"/>
    <w:rsid w:val="002C1686"/>
    <w:rsid w:val="002C3971"/>
    <w:rsid w:val="002C4BBB"/>
    <w:rsid w:val="002C6550"/>
    <w:rsid w:val="002D017F"/>
    <w:rsid w:val="002D0B90"/>
    <w:rsid w:val="002E008A"/>
    <w:rsid w:val="002E04A0"/>
    <w:rsid w:val="002E0CC9"/>
    <w:rsid w:val="002E147D"/>
    <w:rsid w:val="002E1F6F"/>
    <w:rsid w:val="002E4686"/>
    <w:rsid w:val="002E5B3A"/>
    <w:rsid w:val="002E78BB"/>
    <w:rsid w:val="002F04B6"/>
    <w:rsid w:val="002F11AD"/>
    <w:rsid w:val="002F1291"/>
    <w:rsid w:val="002F1834"/>
    <w:rsid w:val="002F3490"/>
    <w:rsid w:val="002F56B1"/>
    <w:rsid w:val="00300C38"/>
    <w:rsid w:val="00300C9C"/>
    <w:rsid w:val="00300E33"/>
    <w:rsid w:val="00302200"/>
    <w:rsid w:val="00302CBA"/>
    <w:rsid w:val="00305EDE"/>
    <w:rsid w:val="0030722F"/>
    <w:rsid w:val="003073E5"/>
    <w:rsid w:val="0031155A"/>
    <w:rsid w:val="003121B3"/>
    <w:rsid w:val="0031224E"/>
    <w:rsid w:val="00313782"/>
    <w:rsid w:val="003140AC"/>
    <w:rsid w:val="003152C5"/>
    <w:rsid w:val="0031546F"/>
    <w:rsid w:val="003167FA"/>
    <w:rsid w:val="0032079E"/>
    <w:rsid w:val="0032081D"/>
    <w:rsid w:val="00321165"/>
    <w:rsid w:val="00321445"/>
    <w:rsid w:val="003218FA"/>
    <w:rsid w:val="0032274A"/>
    <w:rsid w:val="0032400F"/>
    <w:rsid w:val="00324863"/>
    <w:rsid w:val="003252FC"/>
    <w:rsid w:val="003300E1"/>
    <w:rsid w:val="00331981"/>
    <w:rsid w:val="00332703"/>
    <w:rsid w:val="00332C53"/>
    <w:rsid w:val="00336070"/>
    <w:rsid w:val="00336679"/>
    <w:rsid w:val="00337BCC"/>
    <w:rsid w:val="00341C64"/>
    <w:rsid w:val="00341E37"/>
    <w:rsid w:val="0034213B"/>
    <w:rsid w:val="00342909"/>
    <w:rsid w:val="003445D2"/>
    <w:rsid w:val="003452EF"/>
    <w:rsid w:val="003453E6"/>
    <w:rsid w:val="00347626"/>
    <w:rsid w:val="00347B89"/>
    <w:rsid w:val="00353D73"/>
    <w:rsid w:val="00354B7B"/>
    <w:rsid w:val="00356427"/>
    <w:rsid w:val="00356A7C"/>
    <w:rsid w:val="00356CC9"/>
    <w:rsid w:val="003576E0"/>
    <w:rsid w:val="003578A0"/>
    <w:rsid w:val="00357F04"/>
    <w:rsid w:val="00360146"/>
    <w:rsid w:val="00360E77"/>
    <w:rsid w:val="00362058"/>
    <w:rsid w:val="003624F3"/>
    <w:rsid w:val="003658A4"/>
    <w:rsid w:val="00365B97"/>
    <w:rsid w:val="00366D7E"/>
    <w:rsid w:val="00370165"/>
    <w:rsid w:val="0037070F"/>
    <w:rsid w:val="0037115B"/>
    <w:rsid w:val="0037337B"/>
    <w:rsid w:val="00374A25"/>
    <w:rsid w:val="00376A01"/>
    <w:rsid w:val="00377C03"/>
    <w:rsid w:val="003814EC"/>
    <w:rsid w:val="00381FA4"/>
    <w:rsid w:val="00384DB7"/>
    <w:rsid w:val="003852F8"/>
    <w:rsid w:val="00386B14"/>
    <w:rsid w:val="00393F45"/>
    <w:rsid w:val="0039650C"/>
    <w:rsid w:val="00397097"/>
    <w:rsid w:val="003A17CB"/>
    <w:rsid w:val="003A1AD6"/>
    <w:rsid w:val="003A34A6"/>
    <w:rsid w:val="003A3AAE"/>
    <w:rsid w:val="003A464E"/>
    <w:rsid w:val="003A7863"/>
    <w:rsid w:val="003B04A4"/>
    <w:rsid w:val="003B0C03"/>
    <w:rsid w:val="003B23C0"/>
    <w:rsid w:val="003B4CCA"/>
    <w:rsid w:val="003B5C7A"/>
    <w:rsid w:val="003B6053"/>
    <w:rsid w:val="003B608C"/>
    <w:rsid w:val="003B6B88"/>
    <w:rsid w:val="003B7307"/>
    <w:rsid w:val="003B74F2"/>
    <w:rsid w:val="003C2AFF"/>
    <w:rsid w:val="003C31E0"/>
    <w:rsid w:val="003C36E3"/>
    <w:rsid w:val="003C3900"/>
    <w:rsid w:val="003C3D5F"/>
    <w:rsid w:val="003C4CC3"/>
    <w:rsid w:val="003C527F"/>
    <w:rsid w:val="003C74B9"/>
    <w:rsid w:val="003C7D04"/>
    <w:rsid w:val="003D0513"/>
    <w:rsid w:val="003D212E"/>
    <w:rsid w:val="003D2D5B"/>
    <w:rsid w:val="003D37FE"/>
    <w:rsid w:val="003D3D16"/>
    <w:rsid w:val="003D4796"/>
    <w:rsid w:val="003D4DB0"/>
    <w:rsid w:val="003D72CE"/>
    <w:rsid w:val="003D79DE"/>
    <w:rsid w:val="003D7A70"/>
    <w:rsid w:val="003E0968"/>
    <w:rsid w:val="003E1037"/>
    <w:rsid w:val="003E1082"/>
    <w:rsid w:val="003E24E2"/>
    <w:rsid w:val="003E371A"/>
    <w:rsid w:val="003E37EA"/>
    <w:rsid w:val="003E4240"/>
    <w:rsid w:val="003E4422"/>
    <w:rsid w:val="003E59F7"/>
    <w:rsid w:val="003F0F24"/>
    <w:rsid w:val="003F3083"/>
    <w:rsid w:val="003F7AB2"/>
    <w:rsid w:val="00402596"/>
    <w:rsid w:val="004027F9"/>
    <w:rsid w:val="0040498D"/>
    <w:rsid w:val="00405A9D"/>
    <w:rsid w:val="0040758D"/>
    <w:rsid w:val="004106F1"/>
    <w:rsid w:val="00411428"/>
    <w:rsid w:val="00414524"/>
    <w:rsid w:val="0042002B"/>
    <w:rsid w:val="00420F47"/>
    <w:rsid w:val="00423860"/>
    <w:rsid w:val="00423A3E"/>
    <w:rsid w:val="004276A5"/>
    <w:rsid w:val="004303A9"/>
    <w:rsid w:val="00430524"/>
    <w:rsid w:val="00432732"/>
    <w:rsid w:val="00433137"/>
    <w:rsid w:val="004347AF"/>
    <w:rsid w:val="00434EEF"/>
    <w:rsid w:val="00435070"/>
    <w:rsid w:val="00435871"/>
    <w:rsid w:val="00437593"/>
    <w:rsid w:val="00437F24"/>
    <w:rsid w:val="00441725"/>
    <w:rsid w:val="0044370B"/>
    <w:rsid w:val="004462B2"/>
    <w:rsid w:val="0044642B"/>
    <w:rsid w:val="0044775B"/>
    <w:rsid w:val="00450870"/>
    <w:rsid w:val="00452787"/>
    <w:rsid w:val="0045363A"/>
    <w:rsid w:val="004545D0"/>
    <w:rsid w:val="00454B96"/>
    <w:rsid w:val="0045646A"/>
    <w:rsid w:val="004601F6"/>
    <w:rsid w:val="00460CD1"/>
    <w:rsid w:val="004614E3"/>
    <w:rsid w:val="00461AEA"/>
    <w:rsid w:val="0046298C"/>
    <w:rsid w:val="00465DDE"/>
    <w:rsid w:val="00466673"/>
    <w:rsid w:val="00466F81"/>
    <w:rsid w:val="004674BA"/>
    <w:rsid w:val="0047007B"/>
    <w:rsid w:val="00470354"/>
    <w:rsid w:val="00470C6C"/>
    <w:rsid w:val="00471058"/>
    <w:rsid w:val="004719AD"/>
    <w:rsid w:val="00471BCB"/>
    <w:rsid w:val="00472196"/>
    <w:rsid w:val="00474198"/>
    <w:rsid w:val="0047618A"/>
    <w:rsid w:val="00477998"/>
    <w:rsid w:val="00477B80"/>
    <w:rsid w:val="004800A2"/>
    <w:rsid w:val="0048029C"/>
    <w:rsid w:val="004810CB"/>
    <w:rsid w:val="004828EA"/>
    <w:rsid w:val="00482E73"/>
    <w:rsid w:val="00483A3E"/>
    <w:rsid w:val="0048458D"/>
    <w:rsid w:val="004849F2"/>
    <w:rsid w:val="00484B15"/>
    <w:rsid w:val="004853FC"/>
    <w:rsid w:val="00486546"/>
    <w:rsid w:val="004869BD"/>
    <w:rsid w:val="00487F23"/>
    <w:rsid w:val="004906C9"/>
    <w:rsid w:val="00490ABE"/>
    <w:rsid w:val="00490DED"/>
    <w:rsid w:val="00493B61"/>
    <w:rsid w:val="00494296"/>
    <w:rsid w:val="004948A0"/>
    <w:rsid w:val="0049534A"/>
    <w:rsid w:val="00495408"/>
    <w:rsid w:val="004956CD"/>
    <w:rsid w:val="00495F87"/>
    <w:rsid w:val="0049613D"/>
    <w:rsid w:val="004A0F81"/>
    <w:rsid w:val="004A281D"/>
    <w:rsid w:val="004A315C"/>
    <w:rsid w:val="004A3F4B"/>
    <w:rsid w:val="004A55E8"/>
    <w:rsid w:val="004A5610"/>
    <w:rsid w:val="004A5976"/>
    <w:rsid w:val="004A71A0"/>
    <w:rsid w:val="004B0E15"/>
    <w:rsid w:val="004B0F41"/>
    <w:rsid w:val="004B3CA8"/>
    <w:rsid w:val="004B5DF7"/>
    <w:rsid w:val="004C022E"/>
    <w:rsid w:val="004C3D34"/>
    <w:rsid w:val="004C53D1"/>
    <w:rsid w:val="004C7135"/>
    <w:rsid w:val="004D03ED"/>
    <w:rsid w:val="004D0E47"/>
    <w:rsid w:val="004D178F"/>
    <w:rsid w:val="004D425E"/>
    <w:rsid w:val="004D4F32"/>
    <w:rsid w:val="004D79BF"/>
    <w:rsid w:val="004D7C97"/>
    <w:rsid w:val="004D7F7E"/>
    <w:rsid w:val="004E0BC8"/>
    <w:rsid w:val="004E155C"/>
    <w:rsid w:val="004E32F5"/>
    <w:rsid w:val="004E3566"/>
    <w:rsid w:val="004E4099"/>
    <w:rsid w:val="004E4BA4"/>
    <w:rsid w:val="004E5A49"/>
    <w:rsid w:val="004F1071"/>
    <w:rsid w:val="004F1810"/>
    <w:rsid w:val="004F19AE"/>
    <w:rsid w:val="004F3B86"/>
    <w:rsid w:val="004F648D"/>
    <w:rsid w:val="004F6909"/>
    <w:rsid w:val="004F7CB4"/>
    <w:rsid w:val="0050128D"/>
    <w:rsid w:val="0050190F"/>
    <w:rsid w:val="005049C0"/>
    <w:rsid w:val="00507894"/>
    <w:rsid w:val="005125FF"/>
    <w:rsid w:val="005130ED"/>
    <w:rsid w:val="00513399"/>
    <w:rsid w:val="00514E27"/>
    <w:rsid w:val="00515433"/>
    <w:rsid w:val="0052034A"/>
    <w:rsid w:val="00520CC9"/>
    <w:rsid w:val="00521098"/>
    <w:rsid w:val="00522821"/>
    <w:rsid w:val="00522A3E"/>
    <w:rsid w:val="0052335E"/>
    <w:rsid w:val="00524C04"/>
    <w:rsid w:val="005266EC"/>
    <w:rsid w:val="00532F95"/>
    <w:rsid w:val="005332EB"/>
    <w:rsid w:val="005363E4"/>
    <w:rsid w:val="005375F4"/>
    <w:rsid w:val="005403BA"/>
    <w:rsid w:val="00545429"/>
    <w:rsid w:val="005465AB"/>
    <w:rsid w:val="00547276"/>
    <w:rsid w:val="0054762A"/>
    <w:rsid w:val="0054788B"/>
    <w:rsid w:val="0055138D"/>
    <w:rsid w:val="0055360C"/>
    <w:rsid w:val="00556930"/>
    <w:rsid w:val="0056055A"/>
    <w:rsid w:val="00562BEF"/>
    <w:rsid w:val="0056375D"/>
    <w:rsid w:val="00564976"/>
    <w:rsid w:val="00564B9F"/>
    <w:rsid w:val="00565CC7"/>
    <w:rsid w:val="00570545"/>
    <w:rsid w:val="005756A6"/>
    <w:rsid w:val="005759AA"/>
    <w:rsid w:val="00577354"/>
    <w:rsid w:val="00577E7F"/>
    <w:rsid w:val="005806AE"/>
    <w:rsid w:val="00580BAF"/>
    <w:rsid w:val="00582032"/>
    <w:rsid w:val="005839D2"/>
    <w:rsid w:val="00584319"/>
    <w:rsid w:val="00584B9C"/>
    <w:rsid w:val="0058570E"/>
    <w:rsid w:val="005861AC"/>
    <w:rsid w:val="00591F54"/>
    <w:rsid w:val="0059202F"/>
    <w:rsid w:val="00592284"/>
    <w:rsid w:val="00592753"/>
    <w:rsid w:val="00593E13"/>
    <w:rsid w:val="0059693D"/>
    <w:rsid w:val="005973AF"/>
    <w:rsid w:val="00597A68"/>
    <w:rsid w:val="005A04C3"/>
    <w:rsid w:val="005A3360"/>
    <w:rsid w:val="005A4C3B"/>
    <w:rsid w:val="005A50C9"/>
    <w:rsid w:val="005A5160"/>
    <w:rsid w:val="005A5312"/>
    <w:rsid w:val="005B0495"/>
    <w:rsid w:val="005B1F23"/>
    <w:rsid w:val="005B2BB0"/>
    <w:rsid w:val="005B517B"/>
    <w:rsid w:val="005B5C69"/>
    <w:rsid w:val="005B6113"/>
    <w:rsid w:val="005B660E"/>
    <w:rsid w:val="005C5A48"/>
    <w:rsid w:val="005D00CD"/>
    <w:rsid w:val="005D0639"/>
    <w:rsid w:val="005D1433"/>
    <w:rsid w:val="005D245F"/>
    <w:rsid w:val="005D252B"/>
    <w:rsid w:val="005D2CE5"/>
    <w:rsid w:val="005D66DA"/>
    <w:rsid w:val="005E07DF"/>
    <w:rsid w:val="005E2240"/>
    <w:rsid w:val="005E3604"/>
    <w:rsid w:val="005E4239"/>
    <w:rsid w:val="005E4C61"/>
    <w:rsid w:val="005E5B1B"/>
    <w:rsid w:val="005E5C9F"/>
    <w:rsid w:val="005F366E"/>
    <w:rsid w:val="005F3B8C"/>
    <w:rsid w:val="005F3D21"/>
    <w:rsid w:val="005F4801"/>
    <w:rsid w:val="005F4A19"/>
    <w:rsid w:val="005F63A0"/>
    <w:rsid w:val="005F66A9"/>
    <w:rsid w:val="005F757B"/>
    <w:rsid w:val="0060019E"/>
    <w:rsid w:val="00601425"/>
    <w:rsid w:val="00602989"/>
    <w:rsid w:val="00603DDA"/>
    <w:rsid w:val="006044F3"/>
    <w:rsid w:val="00604F17"/>
    <w:rsid w:val="00605C7D"/>
    <w:rsid w:val="006069AE"/>
    <w:rsid w:val="00606A76"/>
    <w:rsid w:val="006071F0"/>
    <w:rsid w:val="0061198F"/>
    <w:rsid w:val="00612945"/>
    <w:rsid w:val="0061350B"/>
    <w:rsid w:val="00615184"/>
    <w:rsid w:val="006152CA"/>
    <w:rsid w:val="0061568C"/>
    <w:rsid w:val="00624906"/>
    <w:rsid w:val="00630063"/>
    <w:rsid w:val="00630BEC"/>
    <w:rsid w:val="00632B76"/>
    <w:rsid w:val="00633D64"/>
    <w:rsid w:val="00635597"/>
    <w:rsid w:val="00640086"/>
    <w:rsid w:val="006413AD"/>
    <w:rsid w:val="00641E15"/>
    <w:rsid w:val="006423E5"/>
    <w:rsid w:val="00643C52"/>
    <w:rsid w:val="006444CF"/>
    <w:rsid w:val="006457ED"/>
    <w:rsid w:val="00647494"/>
    <w:rsid w:val="006500D6"/>
    <w:rsid w:val="006505AE"/>
    <w:rsid w:val="00650D42"/>
    <w:rsid w:val="00650F25"/>
    <w:rsid w:val="0065182A"/>
    <w:rsid w:val="00652CFB"/>
    <w:rsid w:val="006535F0"/>
    <w:rsid w:val="0065527D"/>
    <w:rsid w:val="006553EB"/>
    <w:rsid w:val="006557D5"/>
    <w:rsid w:val="0065769B"/>
    <w:rsid w:val="00657934"/>
    <w:rsid w:val="00657D07"/>
    <w:rsid w:val="00662592"/>
    <w:rsid w:val="006667D6"/>
    <w:rsid w:val="00666CB9"/>
    <w:rsid w:val="00666E3A"/>
    <w:rsid w:val="006676C4"/>
    <w:rsid w:val="0067061E"/>
    <w:rsid w:val="00670BA4"/>
    <w:rsid w:val="00670ED9"/>
    <w:rsid w:val="0067285C"/>
    <w:rsid w:val="00672D14"/>
    <w:rsid w:val="00672D4F"/>
    <w:rsid w:val="0067314A"/>
    <w:rsid w:val="0067484D"/>
    <w:rsid w:val="00674D08"/>
    <w:rsid w:val="00675885"/>
    <w:rsid w:val="00680281"/>
    <w:rsid w:val="00681072"/>
    <w:rsid w:val="0068189D"/>
    <w:rsid w:val="00681DB4"/>
    <w:rsid w:val="00684B8F"/>
    <w:rsid w:val="006866C0"/>
    <w:rsid w:val="00687C04"/>
    <w:rsid w:val="006914E8"/>
    <w:rsid w:val="0069655E"/>
    <w:rsid w:val="00697FC9"/>
    <w:rsid w:val="006A046B"/>
    <w:rsid w:val="006A2DDB"/>
    <w:rsid w:val="006A376A"/>
    <w:rsid w:val="006A40C6"/>
    <w:rsid w:val="006A42AD"/>
    <w:rsid w:val="006A4E33"/>
    <w:rsid w:val="006A59F0"/>
    <w:rsid w:val="006A6909"/>
    <w:rsid w:val="006A6A47"/>
    <w:rsid w:val="006A6CBD"/>
    <w:rsid w:val="006B0911"/>
    <w:rsid w:val="006B1680"/>
    <w:rsid w:val="006B1879"/>
    <w:rsid w:val="006B23BE"/>
    <w:rsid w:val="006B309A"/>
    <w:rsid w:val="006B3BC6"/>
    <w:rsid w:val="006B7EF7"/>
    <w:rsid w:val="006C0675"/>
    <w:rsid w:val="006C0685"/>
    <w:rsid w:val="006C1ED5"/>
    <w:rsid w:val="006C31F3"/>
    <w:rsid w:val="006C43E3"/>
    <w:rsid w:val="006C441A"/>
    <w:rsid w:val="006C52CA"/>
    <w:rsid w:val="006C5AE4"/>
    <w:rsid w:val="006C6CED"/>
    <w:rsid w:val="006D0891"/>
    <w:rsid w:val="006D0EED"/>
    <w:rsid w:val="006D2BDA"/>
    <w:rsid w:val="006D3137"/>
    <w:rsid w:val="006D4D40"/>
    <w:rsid w:val="006D5334"/>
    <w:rsid w:val="006D61A3"/>
    <w:rsid w:val="006D7731"/>
    <w:rsid w:val="006D773C"/>
    <w:rsid w:val="006E054A"/>
    <w:rsid w:val="006E13FE"/>
    <w:rsid w:val="006E205D"/>
    <w:rsid w:val="006E2B3E"/>
    <w:rsid w:val="006E2EE4"/>
    <w:rsid w:val="006E3138"/>
    <w:rsid w:val="006E3EA9"/>
    <w:rsid w:val="006E46F7"/>
    <w:rsid w:val="006E4B9E"/>
    <w:rsid w:val="006E5C50"/>
    <w:rsid w:val="006F003D"/>
    <w:rsid w:val="006F080A"/>
    <w:rsid w:val="006F0B1E"/>
    <w:rsid w:val="006F1A97"/>
    <w:rsid w:val="006F1D8A"/>
    <w:rsid w:val="006F1EC4"/>
    <w:rsid w:val="006F2C36"/>
    <w:rsid w:val="006F428D"/>
    <w:rsid w:val="006F472C"/>
    <w:rsid w:val="006F5097"/>
    <w:rsid w:val="006F5A36"/>
    <w:rsid w:val="006F60BC"/>
    <w:rsid w:val="006F688A"/>
    <w:rsid w:val="007011BD"/>
    <w:rsid w:val="00701F08"/>
    <w:rsid w:val="007022AF"/>
    <w:rsid w:val="00703770"/>
    <w:rsid w:val="00704E69"/>
    <w:rsid w:val="0070607F"/>
    <w:rsid w:val="00711DFC"/>
    <w:rsid w:val="00711EAB"/>
    <w:rsid w:val="00714BC6"/>
    <w:rsid w:val="007164A9"/>
    <w:rsid w:val="00722A1F"/>
    <w:rsid w:val="00722BC1"/>
    <w:rsid w:val="00724755"/>
    <w:rsid w:val="00726D62"/>
    <w:rsid w:val="0072736C"/>
    <w:rsid w:val="007303B9"/>
    <w:rsid w:val="00730FE8"/>
    <w:rsid w:val="00732953"/>
    <w:rsid w:val="00734034"/>
    <w:rsid w:val="00734D56"/>
    <w:rsid w:val="00735DF5"/>
    <w:rsid w:val="007368A9"/>
    <w:rsid w:val="00736A24"/>
    <w:rsid w:val="00737E44"/>
    <w:rsid w:val="007410CA"/>
    <w:rsid w:val="0074486B"/>
    <w:rsid w:val="00744ED0"/>
    <w:rsid w:val="00745559"/>
    <w:rsid w:val="00746219"/>
    <w:rsid w:val="00747D55"/>
    <w:rsid w:val="00747EF2"/>
    <w:rsid w:val="0075116C"/>
    <w:rsid w:val="0075267D"/>
    <w:rsid w:val="0075319C"/>
    <w:rsid w:val="0075528B"/>
    <w:rsid w:val="0075677F"/>
    <w:rsid w:val="00756D72"/>
    <w:rsid w:val="00760421"/>
    <w:rsid w:val="007606F3"/>
    <w:rsid w:val="00762982"/>
    <w:rsid w:val="00762B69"/>
    <w:rsid w:val="00763338"/>
    <w:rsid w:val="0076458C"/>
    <w:rsid w:val="00764854"/>
    <w:rsid w:val="00766D7C"/>
    <w:rsid w:val="0076780E"/>
    <w:rsid w:val="007679B9"/>
    <w:rsid w:val="00767E51"/>
    <w:rsid w:val="007703E6"/>
    <w:rsid w:val="00770930"/>
    <w:rsid w:val="00771750"/>
    <w:rsid w:val="00772649"/>
    <w:rsid w:val="00773687"/>
    <w:rsid w:val="00774056"/>
    <w:rsid w:val="00776CE8"/>
    <w:rsid w:val="00777455"/>
    <w:rsid w:val="007779D5"/>
    <w:rsid w:val="007810B2"/>
    <w:rsid w:val="0078259F"/>
    <w:rsid w:val="007828E4"/>
    <w:rsid w:val="00783294"/>
    <w:rsid w:val="007846A8"/>
    <w:rsid w:val="007862BD"/>
    <w:rsid w:val="00786B2D"/>
    <w:rsid w:val="00790264"/>
    <w:rsid w:val="0079124C"/>
    <w:rsid w:val="00791506"/>
    <w:rsid w:val="00792520"/>
    <w:rsid w:val="0079271E"/>
    <w:rsid w:val="0079310B"/>
    <w:rsid w:val="0079434E"/>
    <w:rsid w:val="00796D00"/>
    <w:rsid w:val="007977CF"/>
    <w:rsid w:val="007A6E77"/>
    <w:rsid w:val="007A7437"/>
    <w:rsid w:val="007A7A98"/>
    <w:rsid w:val="007B25A6"/>
    <w:rsid w:val="007B4A48"/>
    <w:rsid w:val="007B5C10"/>
    <w:rsid w:val="007B6EAF"/>
    <w:rsid w:val="007B71FD"/>
    <w:rsid w:val="007C0083"/>
    <w:rsid w:val="007C0F2A"/>
    <w:rsid w:val="007C1898"/>
    <w:rsid w:val="007C286E"/>
    <w:rsid w:val="007C2D5F"/>
    <w:rsid w:val="007C3061"/>
    <w:rsid w:val="007C3136"/>
    <w:rsid w:val="007C38DE"/>
    <w:rsid w:val="007C3D05"/>
    <w:rsid w:val="007C3D69"/>
    <w:rsid w:val="007C471D"/>
    <w:rsid w:val="007C5A74"/>
    <w:rsid w:val="007C6A77"/>
    <w:rsid w:val="007C7CBA"/>
    <w:rsid w:val="007D128F"/>
    <w:rsid w:val="007D1320"/>
    <w:rsid w:val="007D23A1"/>
    <w:rsid w:val="007D4509"/>
    <w:rsid w:val="007D4EF8"/>
    <w:rsid w:val="007D6B1B"/>
    <w:rsid w:val="007D7403"/>
    <w:rsid w:val="007E05D7"/>
    <w:rsid w:val="007E0B77"/>
    <w:rsid w:val="007E2876"/>
    <w:rsid w:val="007E28D1"/>
    <w:rsid w:val="007E7688"/>
    <w:rsid w:val="007F1A0F"/>
    <w:rsid w:val="007F28A7"/>
    <w:rsid w:val="007F63E6"/>
    <w:rsid w:val="007F75E6"/>
    <w:rsid w:val="00800B31"/>
    <w:rsid w:val="00801F47"/>
    <w:rsid w:val="008021D1"/>
    <w:rsid w:val="00806348"/>
    <w:rsid w:val="00807444"/>
    <w:rsid w:val="0080754B"/>
    <w:rsid w:val="00812FA6"/>
    <w:rsid w:val="008138CD"/>
    <w:rsid w:val="008150C8"/>
    <w:rsid w:val="00816937"/>
    <w:rsid w:val="00816F9A"/>
    <w:rsid w:val="0081774F"/>
    <w:rsid w:val="00817C85"/>
    <w:rsid w:val="0082049E"/>
    <w:rsid w:val="0082093F"/>
    <w:rsid w:val="00820EC1"/>
    <w:rsid w:val="008214FA"/>
    <w:rsid w:val="00823051"/>
    <w:rsid w:val="0082371A"/>
    <w:rsid w:val="008267B8"/>
    <w:rsid w:val="00830504"/>
    <w:rsid w:val="008312C3"/>
    <w:rsid w:val="0083152E"/>
    <w:rsid w:val="008332A7"/>
    <w:rsid w:val="00834025"/>
    <w:rsid w:val="0083537E"/>
    <w:rsid w:val="00835454"/>
    <w:rsid w:val="00835A29"/>
    <w:rsid w:val="00836E2E"/>
    <w:rsid w:val="008376A6"/>
    <w:rsid w:val="00837E2C"/>
    <w:rsid w:val="008418A7"/>
    <w:rsid w:val="0084426E"/>
    <w:rsid w:val="0084470E"/>
    <w:rsid w:val="00845265"/>
    <w:rsid w:val="00845C1F"/>
    <w:rsid w:val="008472E4"/>
    <w:rsid w:val="00847C12"/>
    <w:rsid w:val="00850E20"/>
    <w:rsid w:val="0085162F"/>
    <w:rsid w:val="00851860"/>
    <w:rsid w:val="00851E02"/>
    <w:rsid w:val="00853E92"/>
    <w:rsid w:val="0085608F"/>
    <w:rsid w:val="008566AC"/>
    <w:rsid w:val="0085781D"/>
    <w:rsid w:val="00863190"/>
    <w:rsid w:val="00863496"/>
    <w:rsid w:val="0086542B"/>
    <w:rsid w:val="00865CA5"/>
    <w:rsid w:val="0086622F"/>
    <w:rsid w:val="00866958"/>
    <w:rsid w:val="00866D96"/>
    <w:rsid w:val="00867243"/>
    <w:rsid w:val="00867312"/>
    <w:rsid w:val="0086747A"/>
    <w:rsid w:val="0087024C"/>
    <w:rsid w:val="00870B41"/>
    <w:rsid w:val="008719FA"/>
    <w:rsid w:val="00871B16"/>
    <w:rsid w:val="008749F8"/>
    <w:rsid w:val="008814A9"/>
    <w:rsid w:val="008838B0"/>
    <w:rsid w:val="00883D99"/>
    <w:rsid w:val="008845C4"/>
    <w:rsid w:val="00884CBA"/>
    <w:rsid w:val="008850F0"/>
    <w:rsid w:val="0088592B"/>
    <w:rsid w:val="00886221"/>
    <w:rsid w:val="0088628B"/>
    <w:rsid w:val="0088685F"/>
    <w:rsid w:val="00886FCE"/>
    <w:rsid w:val="00887E24"/>
    <w:rsid w:val="00892ADF"/>
    <w:rsid w:val="00893623"/>
    <w:rsid w:val="008939C9"/>
    <w:rsid w:val="00894648"/>
    <w:rsid w:val="008953F5"/>
    <w:rsid w:val="00895503"/>
    <w:rsid w:val="00895769"/>
    <w:rsid w:val="00895DF8"/>
    <w:rsid w:val="00897BDD"/>
    <w:rsid w:val="008A1733"/>
    <w:rsid w:val="008A1BC7"/>
    <w:rsid w:val="008A1F9B"/>
    <w:rsid w:val="008A4998"/>
    <w:rsid w:val="008A620A"/>
    <w:rsid w:val="008A7094"/>
    <w:rsid w:val="008B1964"/>
    <w:rsid w:val="008B1A90"/>
    <w:rsid w:val="008B238D"/>
    <w:rsid w:val="008B3899"/>
    <w:rsid w:val="008B51C5"/>
    <w:rsid w:val="008B7418"/>
    <w:rsid w:val="008B795A"/>
    <w:rsid w:val="008C0D3F"/>
    <w:rsid w:val="008C1B24"/>
    <w:rsid w:val="008C27D7"/>
    <w:rsid w:val="008C4F14"/>
    <w:rsid w:val="008C4F74"/>
    <w:rsid w:val="008C7CCE"/>
    <w:rsid w:val="008D0087"/>
    <w:rsid w:val="008D5B1D"/>
    <w:rsid w:val="008D71BA"/>
    <w:rsid w:val="008D7A37"/>
    <w:rsid w:val="008E27E5"/>
    <w:rsid w:val="008E2B1A"/>
    <w:rsid w:val="008E5B97"/>
    <w:rsid w:val="008E6693"/>
    <w:rsid w:val="008E6BDB"/>
    <w:rsid w:val="008E7C8B"/>
    <w:rsid w:val="008F1083"/>
    <w:rsid w:val="008F2570"/>
    <w:rsid w:val="008F398B"/>
    <w:rsid w:val="008F51E4"/>
    <w:rsid w:val="008F7900"/>
    <w:rsid w:val="008F7E1C"/>
    <w:rsid w:val="0090220A"/>
    <w:rsid w:val="00904558"/>
    <w:rsid w:val="0090468D"/>
    <w:rsid w:val="00906A98"/>
    <w:rsid w:val="00906DE2"/>
    <w:rsid w:val="009077A1"/>
    <w:rsid w:val="00907FA9"/>
    <w:rsid w:val="009117F4"/>
    <w:rsid w:val="00911EFC"/>
    <w:rsid w:val="00912775"/>
    <w:rsid w:val="009132D8"/>
    <w:rsid w:val="00913F7D"/>
    <w:rsid w:val="00914C27"/>
    <w:rsid w:val="00915BBC"/>
    <w:rsid w:val="00917126"/>
    <w:rsid w:val="00920309"/>
    <w:rsid w:val="00920393"/>
    <w:rsid w:val="00920459"/>
    <w:rsid w:val="00921263"/>
    <w:rsid w:val="009217DB"/>
    <w:rsid w:val="00921B78"/>
    <w:rsid w:val="00922DDC"/>
    <w:rsid w:val="00923DC6"/>
    <w:rsid w:val="0092495E"/>
    <w:rsid w:val="009260C3"/>
    <w:rsid w:val="009264F0"/>
    <w:rsid w:val="009304AB"/>
    <w:rsid w:val="00930CB9"/>
    <w:rsid w:val="009316B4"/>
    <w:rsid w:val="009319D6"/>
    <w:rsid w:val="00932269"/>
    <w:rsid w:val="0093254A"/>
    <w:rsid w:val="00932F14"/>
    <w:rsid w:val="00934B82"/>
    <w:rsid w:val="009358B1"/>
    <w:rsid w:val="00935938"/>
    <w:rsid w:val="00936F2D"/>
    <w:rsid w:val="00937104"/>
    <w:rsid w:val="0093715C"/>
    <w:rsid w:val="0094039E"/>
    <w:rsid w:val="009408E6"/>
    <w:rsid w:val="00941627"/>
    <w:rsid w:val="00941AE4"/>
    <w:rsid w:val="00941D64"/>
    <w:rsid w:val="009440DB"/>
    <w:rsid w:val="0094410F"/>
    <w:rsid w:val="009444B5"/>
    <w:rsid w:val="00945C45"/>
    <w:rsid w:val="00950405"/>
    <w:rsid w:val="00952783"/>
    <w:rsid w:val="00956A8F"/>
    <w:rsid w:val="00956B16"/>
    <w:rsid w:val="0095785E"/>
    <w:rsid w:val="009611A6"/>
    <w:rsid w:val="0096324C"/>
    <w:rsid w:val="00965ADE"/>
    <w:rsid w:val="00965F03"/>
    <w:rsid w:val="00967A38"/>
    <w:rsid w:val="009706AA"/>
    <w:rsid w:val="009722B3"/>
    <w:rsid w:val="00972A60"/>
    <w:rsid w:val="00973571"/>
    <w:rsid w:val="00974AB6"/>
    <w:rsid w:val="0097659D"/>
    <w:rsid w:val="00976FAC"/>
    <w:rsid w:val="009778D4"/>
    <w:rsid w:val="00980E6F"/>
    <w:rsid w:val="00983032"/>
    <w:rsid w:val="009842EF"/>
    <w:rsid w:val="0098644E"/>
    <w:rsid w:val="00987655"/>
    <w:rsid w:val="009907E1"/>
    <w:rsid w:val="009914EC"/>
    <w:rsid w:val="009917B1"/>
    <w:rsid w:val="00992875"/>
    <w:rsid w:val="00993A86"/>
    <w:rsid w:val="009940DB"/>
    <w:rsid w:val="00994247"/>
    <w:rsid w:val="009954D4"/>
    <w:rsid w:val="009A1C8E"/>
    <w:rsid w:val="009A1F5D"/>
    <w:rsid w:val="009A25A4"/>
    <w:rsid w:val="009A2C6A"/>
    <w:rsid w:val="009A2DCF"/>
    <w:rsid w:val="009A3D4D"/>
    <w:rsid w:val="009A541A"/>
    <w:rsid w:val="009A56FD"/>
    <w:rsid w:val="009A695C"/>
    <w:rsid w:val="009B121D"/>
    <w:rsid w:val="009B249C"/>
    <w:rsid w:val="009B2658"/>
    <w:rsid w:val="009B2E5F"/>
    <w:rsid w:val="009B34BE"/>
    <w:rsid w:val="009B38CE"/>
    <w:rsid w:val="009B6124"/>
    <w:rsid w:val="009B7901"/>
    <w:rsid w:val="009C1B26"/>
    <w:rsid w:val="009C7BF7"/>
    <w:rsid w:val="009D12F5"/>
    <w:rsid w:val="009D3B74"/>
    <w:rsid w:val="009D73D7"/>
    <w:rsid w:val="009D76D2"/>
    <w:rsid w:val="009D76E8"/>
    <w:rsid w:val="009E086D"/>
    <w:rsid w:val="009E1819"/>
    <w:rsid w:val="009E203D"/>
    <w:rsid w:val="009E20AB"/>
    <w:rsid w:val="009E3150"/>
    <w:rsid w:val="009E3D55"/>
    <w:rsid w:val="009F14EB"/>
    <w:rsid w:val="009F2038"/>
    <w:rsid w:val="009F2B44"/>
    <w:rsid w:val="009F4CFB"/>
    <w:rsid w:val="009F4E78"/>
    <w:rsid w:val="009F55AF"/>
    <w:rsid w:val="00A02A92"/>
    <w:rsid w:val="00A032FB"/>
    <w:rsid w:val="00A12161"/>
    <w:rsid w:val="00A14B71"/>
    <w:rsid w:val="00A17511"/>
    <w:rsid w:val="00A20A69"/>
    <w:rsid w:val="00A21050"/>
    <w:rsid w:val="00A21691"/>
    <w:rsid w:val="00A227D2"/>
    <w:rsid w:val="00A230A4"/>
    <w:rsid w:val="00A25362"/>
    <w:rsid w:val="00A256A3"/>
    <w:rsid w:val="00A27064"/>
    <w:rsid w:val="00A278CB"/>
    <w:rsid w:val="00A27D31"/>
    <w:rsid w:val="00A30047"/>
    <w:rsid w:val="00A30D0F"/>
    <w:rsid w:val="00A313FB"/>
    <w:rsid w:val="00A316E1"/>
    <w:rsid w:val="00A33AFF"/>
    <w:rsid w:val="00A34B5A"/>
    <w:rsid w:val="00A35131"/>
    <w:rsid w:val="00A35794"/>
    <w:rsid w:val="00A36991"/>
    <w:rsid w:val="00A36D32"/>
    <w:rsid w:val="00A37BFC"/>
    <w:rsid w:val="00A40683"/>
    <w:rsid w:val="00A40F3D"/>
    <w:rsid w:val="00A41967"/>
    <w:rsid w:val="00A41DC6"/>
    <w:rsid w:val="00A43475"/>
    <w:rsid w:val="00A45994"/>
    <w:rsid w:val="00A47C93"/>
    <w:rsid w:val="00A5010D"/>
    <w:rsid w:val="00A532BB"/>
    <w:rsid w:val="00A55CC2"/>
    <w:rsid w:val="00A57D26"/>
    <w:rsid w:val="00A6004A"/>
    <w:rsid w:val="00A60AA2"/>
    <w:rsid w:val="00A60D8A"/>
    <w:rsid w:val="00A62306"/>
    <w:rsid w:val="00A62A58"/>
    <w:rsid w:val="00A62C28"/>
    <w:rsid w:val="00A62ECD"/>
    <w:rsid w:val="00A6366B"/>
    <w:rsid w:val="00A64375"/>
    <w:rsid w:val="00A6516D"/>
    <w:rsid w:val="00A656A9"/>
    <w:rsid w:val="00A6588A"/>
    <w:rsid w:val="00A65BB5"/>
    <w:rsid w:val="00A65F71"/>
    <w:rsid w:val="00A66C33"/>
    <w:rsid w:val="00A67B21"/>
    <w:rsid w:val="00A7083E"/>
    <w:rsid w:val="00A72E98"/>
    <w:rsid w:val="00A74097"/>
    <w:rsid w:val="00A754BD"/>
    <w:rsid w:val="00A77BAF"/>
    <w:rsid w:val="00A807BA"/>
    <w:rsid w:val="00A80BD4"/>
    <w:rsid w:val="00A83CF1"/>
    <w:rsid w:val="00A84107"/>
    <w:rsid w:val="00A85B89"/>
    <w:rsid w:val="00A91935"/>
    <w:rsid w:val="00A9204A"/>
    <w:rsid w:val="00A921AB"/>
    <w:rsid w:val="00A9266E"/>
    <w:rsid w:val="00A92AA0"/>
    <w:rsid w:val="00A92C36"/>
    <w:rsid w:val="00A95C55"/>
    <w:rsid w:val="00A95E33"/>
    <w:rsid w:val="00AA03A8"/>
    <w:rsid w:val="00AA0F07"/>
    <w:rsid w:val="00AA28D8"/>
    <w:rsid w:val="00AA6AC3"/>
    <w:rsid w:val="00AA732B"/>
    <w:rsid w:val="00AB0AE6"/>
    <w:rsid w:val="00AB1992"/>
    <w:rsid w:val="00AB1BB5"/>
    <w:rsid w:val="00AB1C36"/>
    <w:rsid w:val="00AB23D1"/>
    <w:rsid w:val="00AB2691"/>
    <w:rsid w:val="00AB33EE"/>
    <w:rsid w:val="00AB3729"/>
    <w:rsid w:val="00AB401B"/>
    <w:rsid w:val="00AB40C4"/>
    <w:rsid w:val="00AB6DCF"/>
    <w:rsid w:val="00AC120C"/>
    <w:rsid w:val="00AC1B0C"/>
    <w:rsid w:val="00AC21CE"/>
    <w:rsid w:val="00AC2DE6"/>
    <w:rsid w:val="00AC3F41"/>
    <w:rsid w:val="00AC56B9"/>
    <w:rsid w:val="00AC77D3"/>
    <w:rsid w:val="00AD05EC"/>
    <w:rsid w:val="00AD0619"/>
    <w:rsid w:val="00AD085F"/>
    <w:rsid w:val="00AD153A"/>
    <w:rsid w:val="00AD1C68"/>
    <w:rsid w:val="00AD2792"/>
    <w:rsid w:val="00AD39A6"/>
    <w:rsid w:val="00AD41C9"/>
    <w:rsid w:val="00AD6141"/>
    <w:rsid w:val="00AD7BDB"/>
    <w:rsid w:val="00AE0B7C"/>
    <w:rsid w:val="00AE244C"/>
    <w:rsid w:val="00AE4065"/>
    <w:rsid w:val="00AE6BEB"/>
    <w:rsid w:val="00AE733A"/>
    <w:rsid w:val="00AF1825"/>
    <w:rsid w:val="00AF1843"/>
    <w:rsid w:val="00AF3628"/>
    <w:rsid w:val="00AF4B70"/>
    <w:rsid w:val="00AF4F26"/>
    <w:rsid w:val="00AF5656"/>
    <w:rsid w:val="00B016ED"/>
    <w:rsid w:val="00B03036"/>
    <w:rsid w:val="00B04F5C"/>
    <w:rsid w:val="00B050E7"/>
    <w:rsid w:val="00B0667D"/>
    <w:rsid w:val="00B067AB"/>
    <w:rsid w:val="00B114AB"/>
    <w:rsid w:val="00B11770"/>
    <w:rsid w:val="00B13929"/>
    <w:rsid w:val="00B13FA2"/>
    <w:rsid w:val="00B15301"/>
    <w:rsid w:val="00B1643E"/>
    <w:rsid w:val="00B17080"/>
    <w:rsid w:val="00B23D22"/>
    <w:rsid w:val="00B26CF5"/>
    <w:rsid w:val="00B30F7B"/>
    <w:rsid w:val="00B3189B"/>
    <w:rsid w:val="00B32FA9"/>
    <w:rsid w:val="00B34999"/>
    <w:rsid w:val="00B354E2"/>
    <w:rsid w:val="00B35D2F"/>
    <w:rsid w:val="00B35DCA"/>
    <w:rsid w:val="00B36A49"/>
    <w:rsid w:val="00B36BDB"/>
    <w:rsid w:val="00B402FA"/>
    <w:rsid w:val="00B409E7"/>
    <w:rsid w:val="00B40BD6"/>
    <w:rsid w:val="00B421EA"/>
    <w:rsid w:val="00B42BB8"/>
    <w:rsid w:val="00B42ED7"/>
    <w:rsid w:val="00B44DF5"/>
    <w:rsid w:val="00B46397"/>
    <w:rsid w:val="00B50808"/>
    <w:rsid w:val="00B508FC"/>
    <w:rsid w:val="00B5179F"/>
    <w:rsid w:val="00B52244"/>
    <w:rsid w:val="00B5236D"/>
    <w:rsid w:val="00B5256A"/>
    <w:rsid w:val="00B5256F"/>
    <w:rsid w:val="00B551B6"/>
    <w:rsid w:val="00B556CE"/>
    <w:rsid w:val="00B57191"/>
    <w:rsid w:val="00B57792"/>
    <w:rsid w:val="00B6183A"/>
    <w:rsid w:val="00B6352A"/>
    <w:rsid w:val="00B6497B"/>
    <w:rsid w:val="00B64D8F"/>
    <w:rsid w:val="00B65149"/>
    <w:rsid w:val="00B66C40"/>
    <w:rsid w:val="00B74ACA"/>
    <w:rsid w:val="00B74BB9"/>
    <w:rsid w:val="00B7668E"/>
    <w:rsid w:val="00B76996"/>
    <w:rsid w:val="00B76A83"/>
    <w:rsid w:val="00B776E5"/>
    <w:rsid w:val="00B802E1"/>
    <w:rsid w:val="00B810A3"/>
    <w:rsid w:val="00B8317D"/>
    <w:rsid w:val="00B839AA"/>
    <w:rsid w:val="00B83C67"/>
    <w:rsid w:val="00B851F2"/>
    <w:rsid w:val="00B85821"/>
    <w:rsid w:val="00B85A9E"/>
    <w:rsid w:val="00B906BB"/>
    <w:rsid w:val="00B92D33"/>
    <w:rsid w:val="00B93153"/>
    <w:rsid w:val="00B974A1"/>
    <w:rsid w:val="00B9776C"/>
    <w:rsid w:val="00B97D17"/>
    <w:rsid w:val="00BA0F4D"/>
    <w:rsid w:val="00BA503B"/>
    <w:rsid w:val="00BA78F7"/>
    <w:rsid w:val="00BB0523"/>
    <w:rsid w:val="00BB0A0A"/>
    <w:rsid w:val="00BB298A"/>
    <w:rsid w:val="00BB4F2E"/>
    <w:rsid w:val="00BB5DDE"/>
    <w:rsid w:val="00BC048A"/>
    <w:rsid w:val="00BC2205"/>
    <w:rsid w:val="00BC253F"/>
    <w:rsid w:val="00BC365A"/>
    <w:rsid w:val="00BC3A79"/>
    <w:rsid w:val="00BD151B"/>
    <w:rsid w:val="00BD29E3"/>
    <w:rsid w:val="00BD38BA"/>
    <w:rsid w:val="00BD49C6"/>
    <w:rsid w:val="00BD6EEC"/>
    <w:rsid w:val="00BD783F"/>
    <w:rsid w:val="00BD7911"/>
    <w:rsid w:val="00BE0E2F"/>
    <w:rsid w:val="00BE11EA"/>
    <w:rsid w:val="00BE1C9A"/>
    <w:rsid w:val="00BE43C0"/>
    <w:rsid w:val="00BE4775"/>
    <w:rsid w:val="00BE4B17"/>
    <w:rsid w:val="00BE726E"/>
    <w:rsid w:val="00BE79F6"/>
    <w:rsid w:val="00BF66DE"/>
    <w:rsid w:val="00BF700D"/>
    <w:rsid w:val="00BF72AC"/>
    <w:rsid w:val="00BF74F1"/>
    <w:rsid w:val="00BF7DC3"/>
    <w:rsid w:val="00C008B3"/>
    <w:rsid w:val="00C00BD7"/>
    <w:rsid w:val="00C01923"/>
    <w:rsid w:val="00C024C4"/>
    <w:rsid w:val="00C03E94"/>
    <w:rsid w:val="00C04643"/>
    <w:rsid w:val="00C0488E"/>
    <w:rsid w:val="00C05A7D"/>
    <w:rsid w:val="00C06436"/>
    <w:rsid w:val="00C0647A"/>
    <w:rsid w:val="00C064DF"/>
    <w:rsid w:val="00C135D4"/>
    <w:rsid w:val="00C13E7D"/>
    <w:rsid w:val="00C144B9"/>
    <w:rsid w:val="00C14AB7"/>
    <w:rsid w:val="00C177C3"/>
    <w:rsid w:val="00C2176F"/>
    <w:rsid w:val="00C221C9"/>
    <w:rsid w:val="00C24C71"/>
    <w:rsid w:val="00C251F7"/>
    <w:rsid w:val="00C276B0"/>
    <w:rsid w:val="00C277E8"/>
    <w:rsid w:val="00C279AC"/>
    <w:rsid w:val="00C27EC8"/>
    <w:rsid w:val="00C3088B"/>
    <w:rsid w:val="00C30BF3"/>
    <w:rsid w:val="00C31FD6"/>
    <w:rsid w:val="00C32261"/>
    <w:rsid w:val="00C32C0B"/>
    <w:rsid w:val="00C32EEB"/>
    <w:rsid w:val="00C35E7F"/>
    <w:rsid w:val="00C365C4"/>
    <w:rsid w:val="00C37422"/>
    <w:rsid w:val="00C3793A"/>
    <w:rsid w:val="00C401D8"/>
    <w:rsid w:val="00C40797"/>
    <w:rsid w:val="00C43938"/>
    <w:rsid w:val="00C43B0C"/>
    <w:rsid w:val="00C43B37"/>
    <w:rsid w:val="00C4514F"/>
    <w:rsid w:val="00C46632"/>
    <w:rsid w:val="00C46A96"/>
    <w:rsid w:val="00C4767C"/>
    <w:rsid w:val="00C51DDF"/>
    <w:rsid w:val="00C52081"/>
    <w:rsid w:val="00C529F7"/>
    <w:rsid w:val="00C53201"/>
    <w:rsid w:val="00C543D4"/>
    <w:rsid w:val="00C56594"/>
    <w:rsid w:val="00C57168"/>
    <w:rsid w:val="00C60926"/>
    <w:rsid w:val="00C60EE9"/>
    <w:rsid w:val="00C61B92"/>
    <w:rsid w:val="00C62006"/>
    <w:rsid w:val="00C63893"/>
    <w:rsid w:val="00C64E6A"/>
    <w:rsid w:val="00C661D1"/>
    <w:rsid w:val="00C67F44"/>
    <w:rsid w:val="00C70339"/>
    <w:rsid w:val="00C70842"/>
    <w:rsid w:val="00C70902"/>
    <w:rsid w:val="00C737C6"/>
    <w:rsid w:val="00C73F8E"/>
    <w:rsid w:val="00C74FF6"/>
    <w:rsid w:val="00C758ED"/>
    <w:rsid w:val="00C777AC"/>
    <w:rsid w:val="00C8021D"/>
    <w:rsid w:val="00C80B3E"/>
    <w:rsid w:val="00C81671"/>
    <w:rsid w:val="00C81961"/>
    <w:rsid w:val="00C819FE"/>
    <w:rsid w:val="00C81D39"/>
    <w:rsid w:val="00C86935"/>
    <w:rsid w:val="00C91BDA"/>
    <w:rsid w:val="00C94CD6"/>
    <w:rsid w:val="00C97B1B"/>
    <w:rsid w:val="00CA369C"/>
    <w:rsid w:val="00CB05F9"/>
    <w:rsid w:val="00CB1383"/>
    <w:rsid w:val="00CB3C9D"/>
    <w:rsid w:val="00CC008E"/>
    <w:rsid w:val="00CC1297"/>
    <w:rsid w:val="00CC5907"/>
    <w:rsid w:val="00CC6D98"/>
    <w:rsid w:val="00CD1543"/>
    <w:rsid w:val="00CD4E25"/>
    <w:rsid w:val="00CD6A6E"/>
    <w:rsid w:val="00CD6BA8"/>
    <w:rsid w:val="00CD7315"/>
    <w:rsid w:val="00CE12FC"/>
    <w:rsid w:val="00CE18AA"/>
    <w:rsid w:val="00CE1DF5"/>
    <w:rsid w:val="00CE1F88"/>
    <w:rsid w:val="00CE30CE"/>
    <w:rsid w:val="00CE603E"/>
    <w:rsid w:val="00CE6AA5"/>
    <w:rsid w:val="00CE6FF3"/>
    <w:rsid w:val="00CF2B61"/>
    <w:rsid w:val="00CF3B5F"/>
    <w:rsid w:val="00CF445C"/>
    <w:rsid w:val="00CF5317"/>
    <w:rsid w:val="00CF5531"/>
    <w:rsid w:val="00CF6053"/>
    <w:rsid w:val="00D01013"/>
    <w:rsid w:val="00D04B3D"/>
    <w:rsid w:val="00D05C95"/>
    <w:rsid w:val="00D05ECC"/>
    <w:rsid w:val="00D131A2"/>
    <w:rsid w:val="00D132F3"/>
    <w:rsid w:val="00D1339A"/>
    <w:rsid w:val="00D1577D"/>
    <w:rsid w:val="00D1645E"/>
    <w:rsid w:val="00D20112"/>
    <w:rsid w:val="00D23828"/>
    <w:rsid w:val="00D23B73"/>
    <w:rsid w:val="00D26FB9"/>
    <w:rsid w:val="00D301D3"/>
    <w:rsid w:val="00D3106A"/>
    <w:rsid w:val="00D31C8C"/>
    <w:rsid w:val="00D353BA"/>
    <w:rsid w:val="00D35580"/>
    <w:rsid w:val="00D36520"/>
    <w:rsid w:val="00D3667E"/>
    <w:rsid w:val="00D36B1E"/>
    <w:rsid w:val="00D37AE8"/>
    <w:rsid w:val="00D37D78"/>
    <w:rsid w:val="00D37FD5"/>
    <w:rsid w:val="00D41243"/>
    <w:rsid w:val="00D41A8A"/>
    <w:rsid w:val="00D4220B"/>
    <w:rsid w:val="00D42810"/>
    <w:rsid w:val="00D43602"/>
    <w:rsid w:val="00D44563"/>
    <w:rsid w:val="00D45118"/>
    <w:rsid w:val="00D45119"/>
    <w:rsid w:val="00D479F9"/>
    <w:rsid w:val="00D50ECA"/>
    <w:rsid w:val="00D51E4B"/>
    <w:rsid w:val="00D523AD"/>
    <w:rsid w:val="00D525F7"/>
    <w:rsid w:val="00D52FE3"/>
    <w:rsid w:val="00D533FA"/>
    <w:rsid w:val="00D53E22"/>
    <w:rsid w:val="00D55D85"/>
    <w:rsid w:val="00D56F85"/>
    <w:rsid w:val="00D60922"/>
    <w:rsid w:val="00D61813"/>
    <w:rsid w:val="00D6244C"/>
    <w:rsid w:val="00D62DB2"/>
    <w:rsid w:val="00D63F55"/>
    <w:rsid w:val="00D649FC"/>
    <w:rsid w:val="00D6676D"/>
    <w:rsid w:val="00D667F8"/>
    <w:rsid w:val="00D67FAA"/>
    <w:rsid w:val="00D738B7"/>
    <w:rsid w:val="00D73E66"/>
    <w:rsid w:val="00D7582E"/>
    <w:rsid w:val="00D75F57"/>
    <w:rsid w:val="00D80FF2"/>
    <w:rsid w:val="00D810C6"/>
    <w:rsid w:val="00D82E61"/>
    <w:rsid w:val="00D830F5"/>
    <w:rsid w:val="00D856B8"/>
    <w:rsid w:val="00D876C9"/>
    <w:rsid w:val="00D90392"/>
    <w:rsid w:val="00D92851"/>
    <w:rsid w:val="00D9487C"/>
    <w:rsid w:val="00D95176"/>
    <w:rsid w:val="00D96834"/>
    <w:rsid w:val="00D96B71"/>
    <w:rsid w:val="00D97E57"/>
    <w:rsid w:val="00DA17AF"/>
    <w:rsid w:val="00DA1B42"/>
    <w:rsid w:val="00DA2060"/>
    <w:rsid w:val="00DA2403"/>
    <w:rsid w:val="00DA616C"/>
    <w:rsid w:val="00DA659F"/>
    <w:rsid w:val="00DA686A"/>
    <w:rsid w:val="00DA71B5"/>
    <w:rsid w:val="00DA7228"/>
    <w:rsid w:val="00DB1264"/>
    <w:rsid w:val="00DB24EC"/>
    <w:rsid w:val="00DB365B"/>
    <w:rsid w:val="00DB4627"/>
    <w:rsid w:val="00DB4DE9"/>
    <w:rsid w:val="00DB5315"/>
    <w:rsid w:val="00DC0D45"/>
    <w:rsid w:val="00DC26F4"/>
    <w:rsid w:val="00DC4523"/>
    <w:rsid w:val="00DC6151"/>
    <w:rsid w:val="00DC6C7E"/>
    <w:rsid w:val="00DC7312"/>
    <w:rsid w:val="00DC7959"/>
    <w:rsid w:val="00DC7A95"/>
    <w:rsid w:val="00DD0B0B"/>
    <w:rsid w:val="00DD0DCA"/>
    <w:rsid w:val="00DD2F71"/>
    <w:rsid w:val="00DD33FD"/>
    <w:rsid w:val="00DD4623"/>
    <w:rsid w:val="00DD5583"/>
    <w:rsid w:val="00DD6107"/>
    <w:rsid w:val="00DD639E"/>
    <w:rsid w:val="00DD7274"/>
    <w:rsid w:val="00DE160E"/>
    <w:rsid w:val="00DE3072"/>
    <w:rsid w:val="00DE6E17"/>
    <w:rsid w:val="00DF1899"/>
    <w:rsid w:val="00DF3712"/>
    <w:rsid w:val="00DF4D88"/>
    <w:rsid w:val="00DF5595"/>
    <w:rsid w:val="00DF5A0C"/>
    <w:rsid w:val="00DF7827"/>
    <w:rsid w:val="00E01226"/>
    <w:rsid w:val="00E0519E"/>
    <w:rsid w:val="00E05B1A"/>
    <w:rsid w:val="00E0753A"/>
    <w:rsid w:val="00E10058"/>
    <w:rsid w:val="00E11FDD"/>
    <w:rsid w:val="00E12865"/>
    <w:rsid w:val="00E1303D"/>
    <w:rsid w:val="00E1326B"/>
    <w:rsid w:val="00E14855"/>
    <w:rsid w:val="00E14ED8"/>
    <w:rsid w:val="00E1768C"/>
    <w:rsid w:val="00E22AE8"/>
    <w:rsid w:val="00E23931"/>
    <w:rsid w:val="00E25423"/>
    <w:rsid w:val="00E26A4C"/>
    <w:rsid w:val="00E278E9"/>
    <w:rsid w:val="00E30364"/>
    <w:rsid w:val="00E30E00"/>
    <w:rsid w:val="00E31491"/>
    <w:rsid w:val="00E31905"/>
    <w:rsid w:val="00E31DDE"/>
    <w:rsid w:val="00E322A1"/>
    <w:rsid w:val="00E33369"/>
    <w:rsid w:val="00E336D5"/>
    <w:rsid w:val="00E3430A"/>
    <w:rsid w:val="00E34B1D"/>
    <w:rsid w:val="00E364DF"/>
    <w:rsid w:val="00E41309"/>
    <w:rsid w:val="00E42322"/>
    <w:rsid w:val="00E42AD3"/>
    <w:rsid w:val="00E4463F"/>
    <w:rsid w:val="00E466E0"/>
    <w:rsid w:val="00E4697A"/>
    <w:rsid w:val="00E502A6"/>
    <w:rsid w:val="00E52050"/>
    <w:rsid w:val="00E545D6"/>
    <w:rsid w:val="00E54626"/>
    <w:rsid w:val="00E546D3"/>
    <w:rsid w:val="00E54AA4"/>
    <w:rsid w:val="00E56B7B"/>
    <w:rsid w:val="00E6061E"/>
    <w:rsid w:val="00E73F1A"/>
    <w:rsid w:val="00E757D2"/>
    <w:rsid w:val="00E777B4"/>
    <w:rsid w:val="00E77E89"/>
    <w:rsid w:val="00E801F3"/>
    <w:rsid w:val="00E80337"/>
    <w:rsid w:val="00E80C1C"/>
    <w:rsid w:val="00E81754"/>
    <w:rsid w:val="00E81BA8"/>
    <w:rsid w:val="00E8269D"/>
    <w:rsid w:val="00E83E82"/>
    <w:rsid w:val="00E84B92"/>
    <w:rsid w:val="00E85FB8"/>
    <w:rsid w:val="00E86157"/>
    <w:rsid w:val="00E87501"/>
    <w:rsid w:val="00E90C95"/>
    <w:rsid w:val="00E90DF2"/>
    <w:rsid w:val="00E93301"/>
    <w:rsid w:val="00E9448F"/>
    <w:rsid w:val="00E955C1"/>
    <w:rsid w:val="00E96BFC"/>
    <w:rsid w:val="00EA26EC"/>
    <w:rsid w:val="00EA388E"/>
    <w:rsid w:val="00EA3FC5"/>
    <w:rsid w:val="00EA6007"/>
    <w:rsid w:val="00EB0C51"/>
    <w:rsid w:val="00EB1CB3"/>
    <w:rsid w:val="00EB2053"/>
    <w:rsid w:val="00EB20D3"/>
    <w:rsid w:val="00EB38DC"/>
    <w:rsid w:val="00EB6FF2"/>
    <w:rsid w:val="00EC09A8"/>
    <w:rsid w:val="00EC34D8"/>
    <w:rsid w:val="00EC47C9"/>
    <w:rsid w:val="00EC6B56"/>
    <w:rsid w:val="00EC7EEF"/>
    <w:rsid w:val="00EC7FC4"/>
    <w:rsid w:val="00ED136C"/>
    <w:rsid w:val="00ED167F"/>
    <w:rsid w:val="00ED1BA8"/>
    <w:rsid w:val="00ED2A3C"/>
    <w:rsid w:val="00ED311A"/>
    <w:rsid w:val="00ED39EF"/>
    <w:rsid w:val="00ED3C9F"/>
    <w:rsid w:val="00ED6FA1"/>
    <w:rsid w:val="00EE01A1"/>
    <w:rsid w:val="00EE151E"/>
    <w:rsid w:val="00EE38CD"/>
    <w:rsid w:val="00EE5A72"/>
    <w:rsid w:val="00EE6C2A"/>
    <w:rsid w:val="00EE6DD0"/>
    <w:rsid w:val="00EE7A7B"/>
    <w:rsid w:val="00EF0729"/>
    <w:rsid w:val="00EF0DD3"/>
    <w:rsid w:val="00EF0E89"/>
    <w:rsid w:val="00EF1197"/>
    <w:rsid w:val="00EF1A8A"/>
    <w:rsid w:val="00EF2084"/>
    <w:rsid w:val="00EF20D1"/>
    <w:rsid w:val="00EF425F"/>
    <w:rsid w:val="00EF6400"/>
    <w:rsid w:val="00EF7950"/>
    <w:rsid w:val="00F0180F"/>
    <w:rsid w:val="00F02F42"/>
    <w:rsid w:val="00F045A2"/>
    <w:rsid w:val="00F04DA4"/>
    <w:rsid w:val="00F05547"/>
    <w:rsid w:val="00F059D4"/>
    <w:rsid w:val="00F069D0"/>
    <w:rsid w:val="00F07CDB"/>
    <w:rsid w:val="00F12330"/>
    <w:rsid w:val="00F126D8"/>
    <w:rsid w:val="00F13101"/>
    <w:rsid w:val="00F15893"/>
    <w:rsid w:val="00F15FC9"/>
    <w:rsid w:val="00F171F8"/>
    <w:rsid w:val="00F17FB9"/>
    <w:rsid w:val="00F223A3"/>
    <w:rsid w:val="00F225B0"/>
    <w:rsid w:val="00F22F56"/>
    <w:rsid w:val="00F24080"/>
    <w:rsid w:val="00F24C31"/>
    <w:rsid w:val="00F25E02"/>
    <w:rsid w:val="00F277D3"/>
    <w:rsid w:val="00F3252A"/>
    <w:rsid w:val="00F3508D"/>
    <w:rsid w:val="00F35B49"/>
    <w:rsid w:val="00F36F31"/>
    <w:rsid w:val="00F422D0"/>
    <w:rsid w:val="00F42A14"/>
    <w:rsid w:val="00F42BC5"/>
    <w:rsid w:val="00F42D8F"/>
    <w:rsid w:val="00F4301D"/>
    <w:rsid w:val="00F43BF6"/>
    <w:rsid w:val="00F43E0D"/>
    <w:rsid w:val="00F44588"/>
    <w:rsid w:val="00F50688"/>
    <w:rsid w:val="00F50B3A"/>
    <w:rsid w:val="00F53D07"/>
    <w:rsid w:val="00F560C9"/>
    <w:rsid w:val="00F562C5"/>
    <w:rsid w:val="00F6021A"/>
    <w:rsid w:val="00F6145E"/>
    <w:rsid w:val="00F62C58"/>
    <w:rsid w:val="00F62D44"/>
    <w:rsid w:val="00F66507"/>
    <w:rsid w:val="00F66896"/>
    <w:rsid w:val="00F670EA"/>
    <w:rsid w:val="00F67C0E"/>
    <w:rsid w:val="00F7009B"/>
    <w:rsid w:val="00F7063B"/>
    <w:rsid w:val="00F71647"/>
    <w:rsid w:val="00F73036"/>
    <w:rsid w:val="00F7385F"/>
    <w:rsid w:val="00F74246"/>
    <w:rsid w:val="00F74E33"/>
    <w:rsid w:val="00F74E72"/>
    <w:rsid w:val="00F80F2B"/>
    <w:rsid w:val="00F81EFD"/>
    <w:rsid w:val="00F82F07"/>
    <w:rsid w:val="00F82F30"/>
    <w:rsid w:val="00F84607"/>
    <w:rsid w:val="00F8466E"/>
    <w:rsid w:val="00F846F2"/>
    <w:rsid w:val="00F853C9"/>
    <w:rsid w:val="00F87B08"/>
    <w:rsid w:val="00F90A06"/>
    <w:rsid w:val="00F90C61"/>
    <w:rsid w:val="00F913C6"/>
    <w:rsid w:val="00F9287A"/>
    <w:rsid w:val="00F92BF9"/>
    <w:rsid w:val="00F93C1D"/>
    <w:rsid w:val="00F9554D"/>
    <w:rsid w:val="00F9566D"/>
    <w:rsid w:val="00F9584A"/>
    <w:rsid w:val="00F959AA"/>
    <w:rsid w:val="00F959B1"/>
    <w:rsid w:val="00F96C87"/>
    <w:rsid w:val="00F96E14"/>
    <w:rsid w:val="00FA04B0"/>
    <w:rsid w:val="00FA3309"/>
    <w:rsid w:val="00FA3875"/>
    <w:rsid w:val="00FA3EB6"/>
    <w:rsid w:val="00FA5261"/>
    <w:rsid w:val="00FA5BF6"/>
    <w:rsid w:val="00FA6453"/>
    <w:rsid w:val="00FA6F74"/>
    <w:rsid w:val="00FA74DB"/>
    <w:rsid w:val="00FA78F6"/>
    <w:rsid w:val="00FB26C7"/>
    <w:rsid w:val="00FB4116"/>
    <w:rsid w:val="00FB4389"/>
    <w:rsid w:val="00FB4665"/>
    <w:rsid w:val="00FB4D3D"/>
    <w:rsid w:val="00FB5EC5"/>
    <w:rsid w:val="00FB6188"/>
    <w:rsid w:val="00FB67D3"/>
    <w:rsid w:val="00FC0410"/>
    <w:rsid w:val="00FC0703"/>
    <w:rsid w:val="00FC08A0"/>
    <w:rsid w:val="00FC2CB8"/>
    <w:rsid w:val="00FC3B7B"/>
    <w:rsid w:val="00FC3DCF"/>
    <w:rsid w:val="00FC3F95"/>
    <w:rsid w:val="00FC4A4D"/>
    <w:rsid w:val="00FC6E68"/>
    <w:rsid w:val="00FD01D0"/>
    <w:rsid w:val="00FD0922"/>
    <w:rsid w:val="00FD153F"/>
    <w:rsid w:val="00FD2AAD"/>
    <w:rsid w:val="00FD4137"/>
    <w:rsid w:val="00FD7DC1"/>
    <w:rsid w:val="00FE0433"/>
    <w:rsid w:val="00FE1580"/>
    <w:rsid w:val="00FE19E8"/>
    <w:rsid w:val="00FE1DCB"/>
    <w:rsid w:val="00FE2C03"/>
    <w:rsid w:val="00FE351B"/>
    <w:rsid w:val="00FE442F"/>
    <w:rsid w:val="00FE5CCB"/>
    <w:rsid w:val="00FF5128"/>
    <w:rsid w:val="010D5FC6"/>
    <w:rsid w:val="016658D9"/>
    <w:rsid w:val="01964C25"/>
    <w:rsid w:val="019A10AD"/>
    <w:rsid w:val="01B554DA"/>
    <w:rsid w:val="01DE7DDA"/>
    <w:rsid w:val="02132F88"/>
    <w:rsid w:val="023D1C67"/>
    <w:rsid w:val="027E2E67"/>
    <w:rsid w:val="028711AE"/>
    <w:rsid w:val="02B7449E"/>
    <w:rsid w:val="02DF1744"/>
    <w:rsid w:val="02EF3F5D"/>
    <w:rsid w:val="02FA25DD"/>
    <w:rsid w:val="03050966"/>
    <w:rsid w:val="0332621A"/>
    <w:rsid w:val="034F1CBC"/>
    <w:rsid w:val="039931C3"/>
    <w:rsid w:val="03F4527E"/>
    <w:rsid w:val="044F298E"/>
    <w:rsid w:val="04581CB1"/>
    <w:rsid w:val="046E6DDE"/>
    <w:rsid w:val="05804160"/>
    <w:rsid w:val="05B31BD4"/>
    <w:rsid w:val="05C173E2"/>
    <w:rsid w:val="067231FC"/>
    <w:rsid w:val="06C13B3D"/>
    <w:rsid w:val="06D53013"/>
    <w:rsid w:val="06D66EBD"/>
    <w:rsid w:val="074E2EF7"/>
    <w:rsid w:val="07841360"/>
    <w:rsid w:val="07916A2C"/>
    <w:rsid w:val="07945C38"/>
    <w:rsid w:val="07974FDA"/>
    <w:rsid w:val="07DC2DF1"/>
    <w:rsid w:val="080C528C"/>
    <w:rsid w:val="08206F8D"/>
    <w:rsid w:val="08280AFE"/>
    <w:rsid w:val="08687028"/>
    <w:rsid w:val="08A66183"/>
    <w:rsid w:val="09213D23"/>
    <w:rsid w:val="097906FF"/>
    <w:rsid w:val="0A1E3055"/>
    <w:rsid w:val="0A7964DD"/>
    <w:rsid w:val="0AA945EE"/>
    <w:rsid w:val="0AB9737B"/>
    <w:rsid w:val="0AFD5A6E"/>
    <w:rsid w:val="0B602391"/>
    <w:rsid w:val="0BDB744F"/>
    <w:rsid w:val="0BEF0E6F"/>
    <w:rsid w:val="0C36713E"/>
    <w:rsid w:val="0C4E2B00"/>
    <w:rsid w:val="0CE9794A"/>
    <w:rsid w:val="0CF72B0B"/>
    <w:rsid w:val="0D5560E2"/>
    <w:rsid w:val="0D9F74A7"/>
    <w:rsid w:val="0DD27F39"/>
    <w:rsid w:val="0DDC291F"/>
    <w:rsid w:val="0E0D22D8"/>
    <w:rsid w:val="0E3971B2"/>
    <w:rsid w:val="0E417312"/>
    <w:rsid w:val="0E4B1F3E"/>
    <w:rsid w:val="0E87741A"/>
    <w:rsid w:val="0E8A4D0F"/>
    <w:rsid w:val="0EAB2129"/>
    <w:rsid w:val="0F825E34"/>
    <w:rsid w:val="0F987405"/>
    <w:rsid w:val="0FCE4BFF"/>
    <w:rsid w:val="114C66F9"/>
    <w:rsid w:val="11591684"/>
    <w:rsid w:val="117A5014"/>
    <w:rsid w:val="11994833"/>
    <w:rsid w:val="11D16BFE"/>
    <w:rsid w:val="12AF0734"/>
    <w:rsid w:val="12D82E39"/>
    <w:rsid w:val="13091D9A"/>
    <w:rsid w:val="13430691"/>
    <w:rsid w:val="138E4DA7"/>
    <w:rsid w:val="13BC4AF1"/>
    <w:rsid w:val="143F1847"/>
    <w:rsid w:val="14467430"/>
    <w:rsid w:val="147B3ED4"/>
    <w:rsid w:val="1481490C"/>
    <w:rsid w:val="14DB717C"/>
    <w:rsid w:val="150E5B3A"/>
    <w:rsid w:val="15732249"/>
    <w:rsid w:val="162437A1"/>
    <w:rsid w:val="16461969"/>
    <w:rsid w:val="167A1613"/>
    <w:rsid w:val="16BC2FBC"/>
    <w:rsid w:val="16C73E99"/>
    <w:rsid w:val="17287901"/>
    <w:rsid w:val="182429DD"/>
    <w:rsid w:val="1858256E"/>
    <w:rsid w:val="1887214B"/>
    <w:rsid w:val="18910E95"/>
    <w:rsid w:val="19636CD6"/>
    <w:rsid w:val="1A085187"/>
    <w:rsid w:val="1AD82DAC"/>
    <w:rsid w:val="1B8151F1"/>
    <w:rsid w:val="1BEE3761"/>
    <w:rsid w:val="1C864BDA"/>
    <w:rsid w:val="1C916599"/>
    <w:rsid w:val="1C9B22E3"/>
    <w:rsid w:val="1CA6079E"/>
    <w:rsid w:val="1CC914AB"/>
    <w:rsid w:val="1D1D46D4"/>
    <w:rsid w:val="1D3D3309"/>
    <w:rsid w:val="1D9E02DC"/>
    <w:rsid w:val="1DD957B9"/>
    <w:rsid w:val="1E48483A"/>
    <w:rsid w:val="1E803A9B"/>
    <w:rsid w:val="1F201BC5"/>
    <w:rsid w:val="202B6C96"/>
    <w:rsid w:val="20713A86"/>
    <w:rsid w:val="20741056"/>
    <w:rsid w:val="209C508F"/>
    <w:rsid w:val="210F3D49"/>
    <w:rsid w:val="21157E5B"/>
    <w:rsid w:val="213435FE"/>
    <w:rsid w:val="2145138A"/>
    <w:rsid w:val="21787EF5"/>
    <w:rsid w:val="21AB2570"/>
    <w:rsid w:val="21B06830"/>
    <w:rsid w:val="21D97B35"/>
    <w:rsid w:val="22010E3A"/>
    <w:rsid w:val="22F4274D"/>
    <w:rsid w:val="231D7303"/>
    <w:rsid w:val="235F0836"/>
    <w:rsid w:val="23B26890"/>
    <w:rsid w:val="23BFE574"/>
    <w:rsid w:val="23D20CE0"/>
    <w:rsid w:val="23FE071E"/>
    <w:rsid w:val="244D65B8"/>
    <w:rsid w:val="24E7713A"/>
    <w:rsid w:val="24EB5E30"/>
    <w:rsid w:val="255319AC"/>
    <w:rsid w:val="25B6156F"/>
    <w:rsid w:val="260234C2"/>
    <w:rsid w:val="26123616"/>
    <w:rsid w:val="26263692"/>
    <w:rsid w:val="268E4E7C"/>
    <w:rsid w:val="269009DE"/>
    <w:rsid w:val="26976211"/>
    <w:rsid w:val="27364CF9"/>
    <w:rsid w:val="27411C43"/>
    <w:rsid w:val="2758054F"/>
    <w:rsid w:val="27A06811"/>
    <w:rsid w:val="27D53B09"/>
    <w:rsid w:val="27E40FE2"/>
    <w:rsid w:val="28754330"/>
    <w:rsid w:val="288B2282"/>
    <w:rsid w:val="28C52BC1"/>
    <w:rsid w:val="29414BF6"/>
    <w:rsid w:val="299946CD"/>
    <w:rsid w:val="29BB3FC4"/>
    <w:rsid w:val="29F23E8A"/>
    <w:rsid w:val="2AB347FA"/>
    <w:rsid w:val="2AC03708"/>
    <w:rsid w:val="2ACF5F79"/>
    <w:rsid w:val="2AE5754B"/>
    <w:rsid w:val="2B367DA6"/>
    <w:rsid w:val="2B45448D"/>
    <w:rsid w:val="2B783856"/>
    <w:rsid w:val="2C2C2F57"/>
    <w:rsid w:val="2C7D1A05"/>
    <w:rsid w:val="2CEA5C97"/>
    <w:rsid w:val="2D0D2D89"/>
    <w:rsid w:val="2D0F4C79"/>
    <w:rsid w:val="2DCD0BCB"/>
    <w:rsid w:val="2DFA4D8F"/>
    <w:rsid w:val="2E086516"/>
    <w:rsid w:val="2E9D1EEA"/>
    <w:rsid w:val="2E9F64AA"/>
    <w:rsid w:val="2EE62E8A"/>
    <w:rsid w:val="2EF266DA"/>
    <w:rsid w:val="30351FA2"/>
    <w:rsid w:val="305F1EED"/>
    <w:rsid w:val="30D82826"/>
    <w:rsid w:val="30F02900"/>
    <w:rsid w:val="31801BC4"/>
    <w:rsid w:val="320D5AD1"/>
    <w:rsid w:val="32FD564D"/>
    <w:rsid w:val="33146D08"/>
    <w:rsid w:val="331F7372"/>
    <w:rsid w:val="33D068BE"/>
    <w:rsid w:val="340F73E6"/>
    <w:rsid w:val="34237336"/>
    <w:rsid w:val="342B67D5"/>
    <w:rsid w:val="35366BDD"/>
    <w:rsid w:val="35D1164F"/>
    <w:rsid w:val="36B204FD"/>
    <w:rsid w:val="36E52680"/>
    <w:rsid w:val="381904CE"/>
    <w:rsid w:val="382C7B34"/>
    <w:rsid w:val="383A26CD"/>
    <w:rsid w:val="38824658"/>
    <w:rsid w:val="38D04FBC"/>
    <w:rsid w:val="38F35529"/>
    <w:rsid w:val="391D5F56"/>
    <w:rsid w:val="393D0552"/>
    <w:rsid w:val="395D3275"/>
    <w:rsid w:val="39C742BF"/>
    <w:rsid w:val="39EF72AE"/>
    <w:rsid w:val="3A351C05"/>
    <w:rsid w:val="3A606C68"/>
    <w:rsid w:val="3A9956AF"/>
    <w:rsid w:val="3ADE5D64"/>
    <w:rsid w:val="3AEB5815"/>
    <w:rsid w:val="3BCA3F69"/>
    <w:rsid w:val="3BE706E7"/>
    <w:rsid w:val="3CA22536"/>
    <w:rsid w:val="3CE92A52"/>
    <w:rsid w:val="3D0A66DE"/>
    <w:rsid w:val="3D242123"/>
    <w:rsid w:val="3D2739F3"/>
    <w:rsid w:val="3DC15BF5"/>
    <w:rsid w:val="3E0F0CDE"/>
    <w:rsid w:val="3E6D3687"/>
    <w:rsid w:val="3E8D5AD7"/>
    <w:rsid w:val="3EAF07F3"/>
    <w:rsid w:val="3F2A77CA"/>
    <w:rsid w:val="3FAA090B"/>
    <w:rsid w:val="40046FD9"/>
    <w:rsid w:val="401069C0"/>
    <w:rsid w:val="40454BDA"/>
    <w:rsid w:val="40A1394B"/>
    <w:rsid w:val="40AE4353"/>
    <w:rsid w:val="41412BA9"/>
    <w:rsid w:val="41BB6E63"/>
    <w:rsid w:val="42030C49"/>
    <w:rsid w:val="42185761"/>
    <w:rsid w:val="42213106"/>
    <w:rsid w:val="422C351D"/>
    <w:rsid w:val="4246491B"/>
    <w:rsid w:val="426B6885"/>
    <w:rsid w:val="426E3E72"/>
    <w:rsid w:val="42875CDD"/>
    <w:rsid w:val="428B4190"/>
    <w:rsid w:val="42E20F30"/>
    <w:rsid w:val="42F04887"/>
    <w:rsid w:val="436241DA"/>
    <w:rsid w:val="43BD0E45"/>
    <w:rsid w:val="43D8485D"/>
    <w:rsid w:val="43EA577A"/>
    <w:rsid w:val="43EC25C1"/>
    <w:rsid w:val="44240418"/>
    <w:rsid w:val="442E1B0B"/>
    <w:rsid w:val="44C71617"/>
    <w:rsid w:val="44CA3993"/>
    <w:rsid w:val="44D31ED2"/>
    <w:rsid w:val="4517434D"/>
    <w:rsid w:val="45667C6E"/>
    <w:rsid w:val="45D60E05"/>
    <w:rsid w:val="45EF5E53"/>
    <w:rsid w:val="45F12DF0"/>
    <w:rsid w:val="46340F2E"/>
    <w:rsid w:val="463B406B"/>
    <w:rsid w:val="475E6263"/>
    <w:rsid w:val="4816734E"/>
    <w:rsid w:val="482B01E3"/>
    <w:rsid w:val="48442155"/>
    <w:rsid w:val="485E2A48"/>
    <w:rsid w:val="48AC1FAB"/>
    <w:rsid w:val="48CC1C5B"/>
    <w:rsid w:val="48FD385A"/>
    <w:rsid w:val="49BD6AFB"/>
    <w:rsid w:val="49D46CB0"/>
    <w:rsid w:val="49DE7B2F"/>
    <w:rsid w:val="49E63634"/>
    <w:rsid w:val="49E8254F"/>
    <w:rsid w:val="4A174DEF"/>
    <w:rsid w:val="4A424B4F"/>
    <w:rsid w:val="4A4A4B72"/>
    <w:rsid w:val="4A85307F"/>
    <w:rsid w:val="4B662A16"/>
    <w:rsid w:val="4BA90C7D"/>
    <w:rsid w:val="4BC81760"/>
    <w:rsid w:val="4BE27F8A"/>
    <w:rsid w:val="4BFC24EE"/>
    <w:rsid w:val="4C147660"/>
    <w:rsid w:val="4C8D1398"/>
    <w:rsid w:val="4E1601C6"/>
    <w:rsid w:val="4E5F151E"/>
    <w:rsid w:val="4E7F6455"/>
    <w:rsid w:val="4EC51BF8"/>
    <w:rsid w:val="4ED96FA8"/>
    <w:rsid w:val="4EFB3105"/>
    <w:rsid w:val="4F400944"/>
    <w:rsid w:val="4F8D61C2"/>
    <w:rsid w:val="4FA577CF"/>
    <w:rsid w:val="4FA79881"/>
    <w:rsid w:val="501A1195"/>
    <w:rsid w:val="50226DEB"/>
    <w:rsid w:val="50CA3E1C"/>
    <w:rsid w:val="50DD762C"/>
    <w:rsid w:val="51A81EAB"/>
    <w:rsid w:val="521340EE"/>
    <w:rsid w:val="521A722A"/>
    <w:rsid w:val="5237266C"/>
    <w:rsid w:val="5334256E"/>
    <w:rsid w:val="5334431C"/>
    <w:rsid w:val="537E1A3B"/>
    <w:rsid w:val="54F975CB"/>
    <w:rsid w:val="55986DE4"/>
    <w:rsid w:val="560C1580"/>
    <w:rsid w:val="56AD3571"/>
    <w:rsid w:val="56FC0396"/>
    <w:rsid w:val="57430FD1"/>
    <w:rsid w:val="576A0C54"/>
    <w:rsid w:val="57947A7F"/>
    <w:rsid w:val="579E63A0"/>
    <w:rsid w:val="57B343A9"/>
    <w:rsid w:val="57F10A2D"/>
    <w:rsid w:val="58086BE4"/>
    <w:rsid w:val="582E3A30"/>
    <w:rsid w:val="587830F6"/>
    <w:rsid w:val="58C6010C"/>
    <w:rsid w:val="58DC348C"/>
    <w:rsid w:val="58FA643E"/>
    <w:rsid w:val="591E5852"/>
    <w:rsid w:val="59287642"/>
    <w:rsid w:val="59575208"/>
    <w:rsid w:val="5992478B"/>
    <w:rsid w:val="59972C8B"/>
    <w:rsid w:val="5999312B"/>
    <w:rsid w:val="5A1C77F0"/>
    <w:rsid w:val="5A233ECA"/>
    <w:rsid w:val="5A3B798D"/>
    <w:rsid w:val="5C0D7FF6"/>
    <w:rsid w:val="5C69772C"/>
    <w:rsid w:val="5D395350"/>
    <w:rsid w:val="5F27742B"/>
    <w:rsid w:val="5F593A88"/>
    <w:rsid w:val="5F5A7E12"/>
    <w:rsid w:val="5F9F5213"/>
    <w:rsid w:val="5FF53085"/>
    <w:rsid w:val="606C1599"/>
    <w:rsid w:val="609408E7"/>
    <w:rsid w:val="616131D1"/>
    <w:rsid w:val="61785D1C"/>
    <w:rsid w:val="61D70C94"/>
    <w:rsid w:val="61E33ADD"/>
    <w:rsid w:val="620B6AB5"/>
    <w:rsid w:val="623054B0"/>
    <w:rsid w:val="625422E5"/>
    <w:rsid w:val="62EB24E4"/>
    <w:rsid w:val="63116428"/>
    <w:rsid w:val="631A1780"/>
    <w:rsid w:val="63FD659C"/>
    <w:rsid w:val="641B57B0"/>
    <w:rsid w:val="64414AEB"/>
    <w:rsid w:val="64601415"/>
    <w:rsid w:val="64AD3F2E"/>
    <w:rsid w:val="65654809"/>
    <w:rsid w:val="65867EED"/>
    <w:rsid w:val="65D8147F"/>
    <w:rsid w:val="65FA13F5"/>
    <w:rsid w:val="667819ED"/>
    <w:rsid w:val="6692787F"/>
    <w:rsid w:val="66EA1469"/>
    <w:rsid w:val="673152EA"/>
    <w:rsid w:val="675714B5"/>
    <w:rsid w:val="67A27113"/>
    <w:rsid w:val="67A94E81"/>
    <w:rsid w:val="67DD1876"/>
    <w:rsid w:val="67FB3243"/>
    <w:rsid w:val="6818218E"/>
    <w:rsid w:val="687B77F4"/>
    <w:rsid w:val="68914293"/>
    <w:rsid w:val="68995944"/>
    <w:rsid w:val="68B65AA7"/>
    <w:rsid w:val="68F25ADB"/>
    <w:rsid w:val="68FE11FC"/>
    <w:rsid w:val="69233924"/>
    <w:rsid w:val="69351AA8"/>
    <w:rsid w:val="697643AB"/>
    <w:rsid w:val="69E421A0"/>
    <w:rsid w:val="6A4B3FF0"/>
    <w:rsid w:val="6A755292"/>
    <w:rsid w:val="6ABC72AD"/>
    <w:rsid w:val="6AC01CFC"/>
    <w:rsid w:val="6AC8443C"/>
    <w:rsid w:val="6AD46DF5"/>
    <w:rsid w:val="6B3E64A3"/>
    <w:rsid w:val="6B680BAF"/>
    <w:rsid w:val="6BAF0CE2"/>
    <w:rsid w:val="6BDB3A77"/>
    <w:rsid w:val="6C6D154A"/>
    <w:rsid w:val="6C6D7E09"/>
    <w:rsid w:val="6C703C63"/>
    <w:rsid w:val="6C89702F"/>
    <w:rsid w:val="6CAB51F7"/>
    <w:rsid w:val="6D1C0FD5"/>
    <w:rsid w:val="6D5060F5"/>
    <w:rsid w:val="6D6D6950"/>
    <w:rsid w:val="6D836174"/>
    <w:rsid w:val="6DE27C96"/>
    <w:rsid w:val="6DEA1D4F"/>
    <w:rsid w:val="6E07016B"/>
    <w:rsid w:val="6E5124EB"/>
    <w:rsid w:val="6E5B66A4"/>
    <w:rsid w:val="6EE42C42"/>
    <w:rsid w:val="6F285225"/>
    <w:rsid w:val="6F416A7B"/>
    <w:rsid w:val="6FB46AB9"/>
    <w:rsid w:val="6FC211D5"/>
    <w:rsid w:val="6FCE3184"/>
    <w:rsid w:val="6FD92432"/>
    <w:rsid w:val="6FE949B4"/>
    <w:rsid w:val="711D41EA"/>
    <w:rsid w:val="716254FF"/>
    <w:rsid w:val="718F76DE"/>
    <w:rsid w:val="71F06472"/>
    <w:rsid w:val="72277779"/>
    <w:rsid w:val="724E66E8"/>
    <w:rsid w:val="725D7774"/>
    <w:rsid w:val="72695938"/>
    <w:rsid w:val="7280199C"/>
    <w:rsid w:val="738D5656"/>
    <w:rsid w:val="74237697"/>
    <w:rsid w:val="745D14CD"/>
    <w:rsid w:val="748702F8"/>
    <w:rsid w:val="74B96C79"/>
    <w:rsid w:val="74DD038A"/>
    <w:rsid w:val="74F93906"/>
    <w:rsid w:val="75375EDA"/>
    <w:rsid w:val="75475012"/>
    <w:rsid w:val="75F80517"/>
    <w:rsid w:val="769413F2"/>
    <w:rsid w:val="76A86B3A"/>
    <w:rsid w:val="76EA2DC0"/>
    <w:rsid w:val="770706D4"/>
    <w:rsid w:val="770B70DA"/>
    <w:rsid w:val="77161E07"/>
    <w:rsid w:val="773A514A"/>
    <w:rsid w:val="775F37A4"/>
    <w:rsid w:val="77C2468B"/>
    <w:rsid w:val="77DA1086"/>
    <w:rsid w:val="77F008AA"/>
    <w:rsid w:val="786A4B63"/>
    <w:rsid w:val="788D5058"/>
    <w:rsid w:val="78A24821"/>
    <w:rsid w:val="78DE6954"/>
    <w:rsid w:val="78F92189"/>
    <w:rsid w:val="78F9378E"/>
    <w:rsid w:val="792E3438"/>
    <w:rsid w:val="79386064"/>
    <w:rsid w:val="794543C1"/>
    <w:rsid w:val="79C21DD2"/>
    <w:rsid w:val="79D4304F"/>
    <w:rsid w:val="7A3C1B84"/>
    <w:rsid w:val="7A85352B"/>
    <w:rsid w:val="7AE127DC"/>
    <w:rsid w:val="7B0205C1"/>
    <w:rsid w:val="7B882437"/>
    <w:rsid w:val="7BBF2A6D"/>
    <w:rsid w:val="7C4A4D85"/>
    <w:rsid w:val="7C7460BD"/>
    <w:rsid w:val="7CC678C0"/>
    <w:rsid w:val="7D494CE4"/>
    <w:rsid w:val="7D567401"/>
    <w:rsid w:val="7D9817C8"/>
    <w:rsid w:val="7DF6029C"/>
    <w:rsid w:val="7EF154EA"/>
    <w:rsid w:val="7F056B1D"/>
    <w:rsid w:val="7FEFE6A4"/>
    <w:rsid w:val="7FF32CE5"/>
    <w:rsid w:val="BFFBFCE7"/>
    <w:rsid w:val="FD4F022B"/>
    <w:rsid w:val="FFFEA0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numPr>
        <w:ilvl w:val="0"/>
        <w:numId w:val="1"/>
      </w:numPr>
      <w:spacing w:before="120" w:line="360" w:lineRule="auto"/>
      <w:outlineLvl w:val="0"/>
    </w:pPr>
    <w:rPr>
      <w:rFonts w:ascii="黑体" w:hAnsi="黑体" w:eastAsia="仿宋"/>
      <w:b/>
      <w:bCs/>
      <w:kern w:val="44"/>
      <w:sz w:val="32"/>
      <w:szCs w:val="32"/>
    </w:rPr>
  </w:style>
  <w:style w:type="paragraph" w:styleId="5">
    <w:name w:val="heading 2"/>
    <w:basedOn w:val="1"/>
    <w:next w:val="1"/>
    <w:link w:val="45"/>
    <w:qFormat/>
    <w:uiPriority w:val="0"/>
    <w:pPr>
      <w:keepNext/>
      <w:keepLines/>
      <w:widowControl w:val="0"/>
      <w:numPr>
        <w:ilvl w:val="1"/>
        <w:numId w:val="1"/>
      </w:numPr>
      <w:tabs>
        <w:tab w:val="left" w:pos="709"/>
        <w:tab w:val="left" w:pos="850"/>
      </w:tabs>
      <w:spacing w:line="360" w:lineRule="auto"/>
      <w:outlineLvl w:val="1"/>
    </w:pPr>
    <w:rPr>
      <w:rFonts w:ascii="宋体" w:hAnsi="宋体"/>
      <w:b/>
      <w:bCs/>
      <w:sz w:val="28"/>
      <w:szCs w:val="28"/>
    </w:rPr>
  </w:style>
  <w:style w:type="paragraph" w:styleId="6">
    <w:name w:val="heading 3"/>
    <w:basedOn w:val="1"/>
    <w:next w:val="1"/>
    <w:link w:val="46"/>
    <w:qFormat/>
    <w:uiPriority w:val="0"/>
    <w:pPr>
      <w:keepNext/>
      <w:widowControl w:val="0"/>
      <w:numPr>
        <w:ilvl w:val="2"/>
        <w:numId w:val="1"/>
      </w:numPr>
      <w:tabs>
        <w:tab w:val="left" w:pos="0"/>
      </w:tabs>
      <w:spacing w:line="360" w:lineRule="auto"/>
      <w:ind w:left="1134" w:hanging="1134"/>
      <w:outlineLvl w:val="2"/>
    </w:pPr>
    <w:rPr>
      <w:rFonts w:ascii="宋体" w:hAnsi="宋体" w:eastAsia="仿宋"/>
      <w:bCs/>
      <w:sz w:val="28"/>
      <w:szCs w:val="28"/>
    </w:rPr>
  </w:style>
  <w:style w:type="paragraph" w:styleId="7">
    <w:name w:val="heading 4"/>
    <w:basedOn w:val="1"/>
    <w:next w:val="1"/>
    <w:link w:val="47"/>
    <w:qFormat/>
    <w:uiPriority w:val="0"/>
    <w:pPr>
      <w:keepNext/>
      <w:keepLines/>
      <w:numPr>
        <w:ilvl w:val="3"/>
        <w:numId w:val="2"/>
      </w:numPr>
      <w:tabs>
        <w:tab w:val="left" w:pos="0"/>
      </w:tabs>
      <w:spacing w:before="100" w:beforeAutospacing="1" w:after="100" w:afterAutospacing="1" w:line="360" w:lineRule="auto"/>
      <w:outlineLvl w:val="3"/>
    </w:pPr>
    <w:rPr>
      <w:rFonts w:ascii="宋体" w:hAnsi="宋体"/>
      <w:b/>
      <w:bCs/>
      <w:sz w:val="32"/>
      <w:szCs w:val="32"/>
    </w:rPr>
  </w:style>
  <w:style w:type="paragraph" w:styleId="8">
    <w:name w:val="heading 5"/>
    <w:basedOn w:val="1"/>
    <w:next w:val="1"/>
    <w:link w:val="48"/>
    <w:unhideWhenUsed/>
    <w:qFormat/>
    <w:uiPriority w:val="0"/>
    <w:pPr>
      <w:keepNext/>
      <w:keepLines/>
      <w:numPr>
        <w:ilvl w:val="4"/>
        <w:numId w:val="2"/>
      </w:numPr>
      <w:spacing w:before="280" w:after="290" w:line="376" w:lineRule="auto"/>
      <w:outlineLvl w:val="4"/>
    </w:pPr>
    <w:rPr>
      <w:b/>
      <w:bCs/>
      <w:sz w:val="28"/>
      <w:szCs w:val="28"/>
    </w:rPr>
  </w:style>
  <w:style w:type="paragraph" w:styleId="9">
    <w:name w:val="heading 6"/>
    <w:basedOn w:val="1"/>
    <w:next w:val="1"/>
    <w:link w:val="49"/>
    <w:unhideWhenUsed/>
    <w:qFormat/>
    <w:uiPriority w:val="0"/>
    <w:pPr>
      <w:keepNext/>
      <w:keepLines/>
      <w:numPr>
        <w:ilvl w:val="5"/>
        <w:numId w:val="2"/>
      </w:numPr>
      <w:spacing w:before="240" w:after="64" w:line="320" w:lineRule="auto"/>
      <w:outlineLvl w:val="5"/>
    </w:pPr>
    <w:rPr>
      <w:rFonts w:ascii="Cambria" w:hAnsi="Cambria"/>
      <w:b/>
      <w:bCs/>
      <w:sz w:val="24"/>
    </w:rPr>
  </w:style>
  <w:style w:type="paragraph" w:styleId="10">
    <w:name w:val="heading 7"/>
    <w:basedOn w:val="1"/>
    <w:next w:val="1"/>
    <w:link w:val="50"/>
    <w:unhideWhenUsed/>
    <w:qFormat/>
    <w:uiPriority w:val="0"/>
    <w:pPr>
      <w:keepNext/>
      <w:keepLines/>
      <w:numPr>
        <w:ilvl w:val="6"/>
        <w:numId w:val="2"/>
      </w:numPr>
      <w:spacing w:before="240" w:after="64" w:line="320" w:lineRule="auto"/>
      <w:outlineLvl w:val="6"/>
    </w:pPr>
    <w:rPr>
      <w:b/>
      <w:bCs/>
      <w:sz w:val="24"/>
    </w:rPr>
  </w:style>
  <w:style w:type="paragraph" w:styleId="11">
    <w:name w:val="heading 8"/>
    <w:basedOn w:val="1"/>
    <w:next w:val="1"/>
    <w:link w:val="51"/>
    <w:unhideWhenUsed/>
    <w:qFormat/>
    <w:uiPriority w:val="0"/>
    <w:pPr>
      <w:keepNext/>
      <w:keepLines/>
      <w:numPr>
        <w:ilvl w:val="7"/>
        <w:numId w:val="2"/>
      </w:numPr>
      <w:spacing w:before="240" w:after="64" w:line="320" w:lineRule="auto"/>
      <w:outlineLvl w:val="7"/>
    </w:pPr>
    <w:rPr>
      <w:rFonts w:ascii="Cambria" w:hAnsi="Cambria"/>
      <w:sz w:val="24"/>
    </w:rPr>
  </w:style>
  <w:style w:type="paragraph" w:styleId="12">
    <w:name w:val="heading 9"/>
    <w:basedOn w:val="1"/>
    <w:next w:val="1"/>
    <w:link w:val="52"/>
    <w:unhideWhenUsed/>
    <w:qFormat/>
    <w:uiPriority w:val="0"/>
    <w:pPr>
      <w:keepNext/>
      <w:keepLines/>
      <w:numPr>
        <w:ilvl w:val="8"/>
        <w:numId w:val="2"/>
      </w:numPr>
      <w:spacing w:before="240" w:after="64" w:line="320" w:lineRule="auto"/>
      <w:outlineLvl w:val="8"/>
    </w:pPr>
    <w:rPr>
      <w:rFonts w:ascii="Cambria" w:hAnsi="Cambria"/>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1"/>
    <w:qFormat/>
    <w:uiPriority w:val="99"/>
    <w:pPr>
      <w:spacing w:line="240" w:lineRule="auto"/>
      <w:ind w:firstLine="420" w:firstLineChars="200"/>
    </w:pPr>
  </w:style>
  <w:style w:type="paragraph" w:styleId="3">
    <w:name w:val="Body Text Indent"/>
    <w:basedOn w:val="1"/>
    <w:next w:val="1"/>
    <w:link w:val="58"/>
    <w:qFormat/>
    <w:uiPriority w:val="0"/>
    <w:pPr>
      <w:spacing w:before="200" w:after="120" w:line="0" w:lineRule="atLeast"/>
      <w:ind w:left="420" w:leftChars="200"/>
    </w:pPr>
    <w:rPr>
      <w:b/>
      <w:spacing w:val="10"/>
      <w:sz w:val="28"/>
      <w:szCs w:val="20"/>
    </w:rPr>
  </w:style>
  <w:style w:type="paragraph" w:styleId="13">
    <w:name w:val="toc 7"/>
    <w:basedOn w:val="1"/>
    <w:next w:val="1"/>
    <w:unhideWhenUsed/>
    <w:qFormat/>
    <w:uiPriority w:val="39"/>
    <w:pPr>
      <w:widowControl w:val="0"/>
      <w:ind w:left="2520" w:leftChars="1200"/>
      <w:jc w:val="both"/>
    </w:pPr>
    <w:rPr>
      <w:rFonts w:asciiTheme="minorHAnsi" w:hAnsiTheme="minorHAnsi" w:eastAsiaTheme="minorEastAsia" w:cstheme="minorBidi"/>
      <w:szCs w:val="22"/>
    </w:rPr>
  </w:style>
  <w:style w:type="paragraph" w:styleId="14">
    <w:name w:val="Normal Indent"/>
    <w:basedOn w:val="1"/>
    <w:link w:val="56"/>
    <w:qFormat/>
    <w:uiPriority w:val="0"/>
    <w:pPr>
      <w:spacing w:beforeLines="60" w:afterLines="60"/>
      <w:ind w:firstLine="256" w:firstLineChars="256"/>
    </w:pPr>
    <w:rPr>
      <w:rFonts w:ascii="宋体"/>
      <w:snapToGrid w:val="0"/>
      <w:kern w:val="0"/>
      <w:szCs w:val="20"/>
    </w:rPr>
  </w:style>
  <w:style w:type="paragraph" w:styleId="15">
    <w:name w:val="caption"/>
    <w:basedOn w:val="1"/>
    <w:next w:val="1"/>
    <w:unhideWhenUsed/>
    <w:qFormat/>
    <w:uiPriority w:val="0"/>
    <w:rPr>
      <w:rFonts w:ascii="Cambria" w:hAnsi="Cambria" w:eastAsia="黑体"/>
      <w:sz w:val="20"/>
      <w:szCs w:val="20"/>
    </w:rPr>
  </w:style>
  <w:style w:type="paragraph" w:styleId="16">
    <w:name w:val="Document Map"/>
    <w:basedOn w:val="1"/>
    <w:link w:val="55"/>
    <w:semiHidden/>
    <w:qFormat/>
    <w:uiPriority w:val="99"/>
    <w:pPr>
      <w:shd w:val="clear" w:color="auto" w:fill="000080"/>
    </w:pPr>
  </w:style>
  <w:style w:type="paragraph" w:styleId="17">
    <w:name w:val="annotation text"/>
    <w:basedOn w:val="1"/>
    <w:link w:val="44"/>
    <w:qFormat/>
    <w:uiPriority w:val="0"/>
  </w:style>
  <w:style w:type="paragraph" w:styleId="18">
    <w:name w:val="Body Text"/>
    <w:basedOn w:val="1"/>
    <w:link w:val="65"/>
    <w:qFormat/>
    <w:uiPriority w:val="0"/>
    <w:pPr>
      <w:ind w:firstLine="420" w:firstLineChars="200"/>
    </w:pPr>
    <w:rPr>
      <w:rFonts w:eastAsia="仿宋"/>
      <w:sz w:val="28"/>
    </w:rPr>
  </w:style>
  <w:style w:type="paragraph" w:styleId="19">
    <w:name w:val="toc 5"/>
    <w:basedOn w:val="1"/>
    <w:next w:val="1"/>
    <w:unhideWhenUsed/>
    <w:qFormat/>
    <w:uiPriority w:val="39"/>
    <w:pPr>
      <w:widowControl w:val="0"/>
      <w:ind w:left="1680" w:leftChars="800"/>
      <w:jc w:val="both"/>
    </w:pPr>
    <w:rPr>
      <w:rFonts w:asciiTheme="minorHAnsi" w:hAnsiTheme="minorHAnsi" w:eastAsiaTheme="minorEastAsia" w:cstheme="minorBidi"/>
      <w:szCs w:val="22"/>
    </w:rPr>
  </w:style>
  <w:style w:type="paragraph" w:styleId="20">
    <w:name w:val="toc 3"/>
    <w:basedOn w:val="1"/>
    <w:next w:val="1"/>
    <w:qFormat/>
    <w:uiPriority w:val="39"/>
    <w:pPr>
      <w:spacing w:line="240" w:lineRule="atLeast"/>
      <w:ind w:left="400"/>
    </w:pPr>
    <w:rPr>
      <w:rFonts w:eastAsia="仿宋"/>
      <w:iCs/>
      <w:snapToGrid w:val="0"/>
      <w:kern w:val="0"/>
    </w:rPr>
  </w:style>
  <w:style w:type="paragraph" w:styleId="21">
    <w:name w:val="Plain Text"/>
    <w:basedOn w:val="1"/>
    <w:link w:val="75"/>
    <w:qFormat/>
    <w:uiPriority w:val="0"/>
    <w:pPr>
      <w:widowControl w:val="0"/>
      <w:jc w:val="both"/>
    </w:pPr>
    <w:rPr>
      <w:rFonts w:ascii="宋体" w:hAnsi="Courier New"/>
      <w:szCs w:val="20"/>
    </w:rPr>
  </w:style>
  <w:style w:type="paragraph" w:styleId="22">
    <w:name w:val="toc 8"/>
    <w:basedOn w:val="1"/>
    <w:next w:val="1"/>
    <w:unhideWhenUsed/>
    <w:qFormat/>
    <w:uiPriority w:val="39"/>
    <w:pPr>
      <w:widowControl w:val="0"/>
      <w:ind w:left="2940" w:leftChars="1400"/>
      <w:jc w:val="both"/>
    </w:pPr>
    <w:rPr>
      <w:rFonts w:asciiTheme="minorHAnsi" w:hAnsiTheme="minorHAnsi" w:eastAsiaTheme="minorEastAsia" w:cstheme="minorBidi"/>
      <w:szCs w:val="22"/>
    </w:rPr>
  </w:style>
  <w:style w:type="paragraph" w:styleId="23">
    <w:name w:val="Body Text Indent 2"/>
    <w:basedOn w:val="1"/>
    <w:link w:val="72"/>
    <w:qFormat/>
    <w:uiPriority w:val="0"/>
    <w:pPr>
      <w:spacing w:after="120" w:line="480" w:lineRule="auto"/>
      <w:ind w:left="420" w:leftChars="200"/>
    </w:pPr>
  </w:style>
  <w:style w:type="paragraph" w:styleId="24">
    <w:name w:val="Balloon Text"/>
    <w:basedOn w:val="1"/>
    <w:link w:val="63"/>
    <w:qFormat/>
    <w:uiPriority w:val="0"/>
    <w:rPr>
      <w:sz w:val="18"/>
      <w:szCs w:val="18"/>
    </w:rPr>
  </w:style>
  <w:style w:type="paragraph" w:styleId="25">
    <w:name w:val="footer"/>
    <w:basedOn w:val="1"/>
    <w:link w:val="54"/>
    <w:qFormat/>
    <w:uiPriority w:val="0"/>
    <w:pPr>
      <w:tabs>
        <w:tab w:val="center" w:pos="4153"/>
        <w:tab w:val="right" w:pos="8306"/>
      </w:tabs>
      <w:snapToGrid w:val="0"/>
    </w:pPr>
    <w:rPr>
      <w:sz w:val="18"/>
      <w:szCs w:val="18"/>
    </w:rPr>
  </w:style>
  <w:style w:type="paragraph" w:styleId="26">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line="240" w:lineRule="atLeast"/>
    </w:pPr>
    <w:rPr>
      <w:rFonts w:eastAsia="仿宋"/>
      <w:b/>
      <w:bCs/>
      <w:caps/>
      <w:snapToGrid w:val="0"/>
      <w:kern w:val="0"/>
    </w:rPr>
  </w:style>
  <w:style w:type="paragraph" w:styleId="28">
    <w:name w:val="toc 4"/>
    <w:basedOn w:val="1"/>
    <w:next w:val="1"/>
    <w:qFormat/>
    <w:uiPriority w:val="39"/>
    <w:pPr>
      <w:ind w:left="1260" w:leftChars="600"/>
    </w:pPr>
  </w:style>
  <w:style w:type="paragraph" w:styleId="29">
    <w:name w:val="toc 6"/>
    <w:basedOn w:val="1"/>
    <w:next w:val="1"/>
    <w:unhideWhenUsed/>
    <w:qFormat/>
    <w:uiPriority w:val="39"/>
    <w:pPr>
      <w:widowControl w:val="0"/>
      <w:ind w:left="2100" w:leftChars="1000"/>
      <w:jc w:val="both"/>
    </w:pPr>
    <w:rPr>
      <w:rFonts w:asciiTheme="minorHAnsi" w:hAnsiTheme="minorHAnsi" w:eastAsiaTheme="minorEastAsia" w:cstheme="minorBidi"/>
      <w:szCs w:val="22"/>
    </w:rPr>
  </w:style>
  <w:style w:type="paragraph" w:styleId="30">
    <w:name w:val="toc 2"/>
    <w:basedOn w:val="1"/>
    <w:next w:val="1"/>
    <w:qFormat/>
    <w:uiPriority w:val="39"/>
    <w:pPr>
      <w:spacing w:line="240" w:lineRule="atLeast"/>
      <w:ind w:left="200"/>
    </w:pPr>
    <w:rPr>
      <w:smallCaps/>
      <w:snapToGrid w:val="0"/>
      <w:kern w:val="0"/>
    </w:rPr>
  </w:style>
  <w:style w:type="paragraph" w:styleId="31">
    <w:name w:val="toc 9"/>
    <w:basedOn w:val="1"/>
    <w:next w:val="1"/>
    <w:unhideWhenUsed/>
    <w:qFormat/>
    <w:uiPriority w:val="39"/>
    <w:pPr>
      <w:widowControl w:val="0"/>
      <w:ind w:left="3360" w:leftChars="1600"/>
      <w:jc w:val="both"/>
    </w:pPr>
    <w:rPr>
      <w:rFonts w:asciiTheme="minorHAnsi" w:hAnsiTheme="minorHAnsi" w:eastAsiaTheme="minorEastAsia" w:cstheme="minorBidi"/>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1"/>
    <w:basedOn w:val="34"/>
    <w:next w:val="16"/>
    <w:semiHidden/>
    <w:qFormat/>
    <w:uiPriority w:val="0"/>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annotation subject"/>
    <w:basedOn w:val="17"/>
    <w:next w:val="17"/>
    <w:link w:val="62"/>
    <w:qFormat/>
    <w:uiPriority w:val="0"/>
    <w:rPr>
      <w:b/>
      <w:bCs/>
    </w:rPr>
  </w:style>
  <w:style w:type="paragraph" w:styleId="36">
    <w:name w:val="Body Text First Indent"/>
    <w:basedOn w:val="18"/>
    <w:link w:val="66"/>
    <w:qFormat/>
    <w:uiPriority w:val="0"/>
    <w:pPr>
      <w:ind w:firstLineChars="100"/>
    </w:pPr>
  </w:style>
  <w:style w:type="paragraph" w:styleId="37">
    <w:name w:val="Body Text First Indent 2"/>
    <w:basedOn w:val="3"/>
    <w:link w:val="69"/>
    <w:qFormat/>
    <w:uiPriority w:val="0"/>
    <w:pPr>
      <w:spacing w:before="0" w:line="240" w:lineRule="auto"/>
      <w:ind w:firstLine="420" w:firstLineChars="200"/>
      <w:jc w:val="both"/>
    </w:pPr>
    <w:rPr>
      <w:b w:val="0"/>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批注文字 字符"/>
    <w:link w:val="17"/>
    <w:qFormat/>
    <w:uiPriority w:val="0"/>
    <w:rPr>
      <w:kern w:val="2"/>
      <w:sz w:val="21"/>
      <w:szCs w:val="24"/>
    </w:rPr>
  </w:style>
  <w:style w:type="character" w:customStyle="1" w:styleId="45">
    <w:name w:val="标题 2 字符"/>
    <w:link w:val="5"/>
    <w:qFormat/>
    <w:uiPriority w:val="0"/>
    <w:rPr>
      <w:rFonts w:ascii="宋体" w:hAnsi="宋体" w:eastAsia="宋体"/>
      <w:b/>
      <w:bCs/>
      <w:kern w:val="2"/>
      <w:sz w:val="28"/>
      <w:szCs w:val="28"/>
    </w:rPr>
  </w:style>
  <w:style w:type="character" w:customStyle="1" w:styleId="46">
    <w:name w:val="标题 3 字符"/>
    <w:link w:val="6"/>
    <w:qFormat/>
    <w:uiPriority w:val="0"/>
    <w:rPr>
      <w:rFonts w:ascii="宋体" w:hAnsi="宋体" w:eastAsia="仿宋"/>
      <w:bCs/>
      <w:kern w:val="2"/>
      <w:sz w:val="28"/>
      <w:szCs w:val="28"/>
    </w:rPr>
  </w:style>
  <w:style w:type="character" w:customStyle="1" w:styleId="47">
    <w:name w:val="标题 4 字符"/>
    <w:link w:val="7"/>
    <w:qFormat/>
    <w:uiPriority w:val="0"/>
    <w:rPr>
      <w:rFonts w:ascii="宋体" w:hAnsi="宋体"/>
      <w:b/>
      <w:bCs/>
      <w:kern w:val="2"/>
      <w:sz w:val="32"/>
      <w:szCs w:val="32"/>
    </w:rPr>
  </w:style>
  <w:style w:type="character" w:customStyle="1" w:styleId="48">
    <w:name w:val="标题 5 字符"/>
    <w:link w:val="8"/>
    <w:qFormat/>
    <w:uiPriority w:val="0"/>
    <w:rPr>
      <w:b/>
      <w:bCs/>
      <w:kern w:val="2"/>
      <w:sz w:val="28"/>
      <w:szCs w:val="28"/>
    </w:rPr>
  </w:style>
  <w:style w:type="character" w:customStyle="1" w:styleId="49">
    <w:name w:val="标题 6 字符"/>
    <w:link w:val="9"/>
    <w:qFormat/>
    <w:uiPriority w:val="0"/>
    <w:rPr>
      <w:rFonts w:ascii="Cambria" w:hAnsi="Cambria"/>
      <w:b/>
      <w:bCs/>
      <w:kern w:val="2"/>
      <w:sz w:val="24"/>
      <w:szCs w:val="24"/>
    </w:rPr>
  </w:style>
  <w:style w:type="character" w:customStyle="1" w:styleId="50">
    <w:name w:val="标题 7 字符"/>
    <w:link w:val="10"/>
    <w:qFormat/>
    <w:uiPriority w:val="0"/>
    <w:rPr>
      <w:b/>
      <w:bCs/>
      <w:kern w:val="2"/>
      <w:sz w:val="24"/>
      <w:szCs w:val="24"/>
    </w:rPr>
  </w:style>
  <w:style w:type="character" w:customStyle="1" w:styleId="51">
    <w:name w:val="标题 8 字符"/>
    <w:link w:val="11"/>
    <w:qFormat/>
    <w:uiPriority w:val="0"/>
    <w:rPr>
      <w:rFonts w:ascii="Cambria" w:hAnsi="Cambria"/>
      <w:kern w:val="2"/>
      <w:sz w:val="24"/>
      <w:szCs w:val="24"/>
    </w:rPr>
  </w:style>
  <w:style w:type="character" w:customStyle="1" w:styleId="52">
    <w:name w:val="标题 9 字符"/>
    <w:link w:val="12"/>
    <w:qFormat/>
    <w:uiPriority w:val="0"/>
    <w:rPr>
      <w:rFonts w:ascii="Cambria" w:hAnsi="Cambria"/>
      <w:kern w:val="2"/>
      <w:sz w:val="21"/>
      <w:szCs w:val="21"/>
    </w:rPr>
  </w:style>
  <w:style w:type="character" w:customStyle="1" w:styleId="53">
    <w:name w:val="页眉 字符"/>
    <w:link w:val="26"/>
    <w:qFormat/>
    <w:uiPriority w:val="0"/>
    <w:rPr>
      <w:kern w:val="2"/>
      <w:sz w:val="18"/>
      <w:szCs w:val="18"/>
    </w:rPr>
  </w:style>
  <w:style w:type="character" w:customStyle="1" w:styleId="54">
    <w:name w:val="页脚 字符"/>
    <w:link w:val="25"/>
    <w:qFormat/>
    <w:uiPriority w:val="0"/>
    <w:rPr>
      <w:kern w:val="2"/>
      <w:sz w:val="18"/>
      <w:szCs w:val="18"/>
    </w:rPr>
  </w:style>
  <w:style w:type="character" w:customStyle="1" w:styleId="55">
    <w:name w:val="文档结构图 字符"/>
    <w:link w:val="16"/>
    <w:semiHidden/>
    <w:qFormat/>
    <w:uiPriority w:val="99"/>
    <w:rPr>
      <w:kern w:val="2"/>
      <w:sz w:val="21"/>
      <w:szCs w:val="24"/>
      <w:shd w:val="clear" w:color="auto" w:fill="000080"/>
    </w:rPr>
  </w:style>
  <w:style w:type="character" w:customStyle="1" w:styleId="56">
    <w:name w:val="正文缩进 字符"/>
    <w:link w:val="14"/>
    <w:qFormat/>
    <w:uiPriority w:val="0"/>
    <w:rPr>
      <w:rFonts w:ascii="宋体"/>
      <w:snapToGrid/>
      <w:sz w:val="21"/>
    </w:rPr>
  </w:style>
  <w:style w:type="paragraph" w:customStyle="1" w:styleId="57">
    <w:name w:val="默认段落字体 Para Char Char Char Char Char Char Char"/>
    <w:basedOn w:val="1"/>
    <w:qFormat/>
    <w:uiPriority w:val="0"/>
  </w:style>
  <w:style w:type="character" w:customStyle="1" w:styleId="58">
    <w:name w:val="正文文本缩进 字符"/>
    <w:link w:val="3"/>
    <w:qFormat/>
    <w:uiPriority w:val="0"/>
    <w:rPr>
      <w:b/>
      <w:spacing w:val="10"/>
      <w:kern w:val="2"/>
      <w:sz w:val="28"/>
    </w:rPr>
  </w:style>
  <w:style w:type="paragraph" w:styleId="59">
    <w:name w:val="List Paragraph"/>
    <w:basedOn w:val="1"/>
    <w:link w:val="60"/>
    <w:qFormat/>
    <w:uiPriority w:val="34"/>
    <w:pPr>
      <w:ind w:firstLine="420" w:firstLineChars="200"/>
    </w:pPr>
    <w:rPr>
      <w:rFonts w:ascii="Calibri" w:hAnsi="Calibri"/>
      <w:szCs w:val="22"/>
    </w:rPr>
  </w:style>
  <w:style w:type="character" w:customStyle="1" w:styleId="60">
    <w:name w:val="列表段落 字符1"/>
    <w:basedOn w:val="40"/>
    <w:link w:val="59"/>
    <w:qFormat/>
    <w:uiPriority w:val="34"/>
    <w:rPr>
      <w:rFonts w:ascii="Calibri" w:hAnsi="Calibri"/>
      <w:kern w:val="2"/>
      <w:sz w:val="21"/>
      <w:szCs w:val="22"/>
    </w:rPr>
  </w:style>
  <w:style w:type="paragraph" w:customStyle="1" w:styleId="61">
    <w:name w:val="Char"/>
    <w:basedOn w:val="1"/>
    <w:qFormat/>
    <w:uiPriority w:val="0"/>
    <w:pPr>
      <w:adjustRightInd w:val="0"/>
      <w:spacing w:line="360" w:lineRule="auto"/>
    </w:pPr>
    <w:rPr>
      <w:kern w:val="0"/>
      <w:sz w:val="24"/>
      <w:szCs w:val="20"/>
    </w:rPr>
  </w:style>
  <w:style w:type="character" w:customStyle="1" w:styleId="62">
    <w:name w:val="批注主题 字符"/>
    <w:link w:val="35"/>
    <w:qFormat/>
    <w:uiPriority w:val="0"/>
    <w:rPr>
      <w:b/>
      <w:bCs/>
      <w:kern w:val="2"/>
      <w:sz w:val="21"/>
      <w:szCs w:val="24"/>
    </w:rPr>
  </w:style>
  <w:style w:type="character" w:customStyle="1" w:styleId="63">
    <w:name w:val="批注框文本 字符"/>
    <w:link w:val="24"/>
    <w:qFormat/>
    <w:uiPriority w:val="0"/>
    <w:rPr>
      <w:kern w:val="2"/>
      <w:sz w:val="18"/>
      <w:szCs w:val="18"/>
    </w:rPr>
  </w:style>
  <w:style w:type="paragraph" w:customStyle="1" w:styleId="64">
    <w:name w:val="_Style 14"/>
    <w:basedOn w:val="1"/>
    <w:qFormat/>
    <w:uiPriority w:val="0"/>
  </w:style>
  <w:style w:type="character" w:customStyle="1" w:styleId="65">
    <w:name w:val="正文文本 字符"/>
    <w:link w:val="18"/>
    <w:qFormat/>
    <w:uiPriority w:val="0"/>
    <w:rPr>
      <w:rFonts w:ascii="Times New Roman" w:hAnsi="Times New Roman" w:eastAsia="仿宋"/>
      <w:kern w:val="2"/>
      <w:sz w:val="28"/>
      <w:szCs w:val="24"/>
    </w:rPr>
  </w:style>
  <w:style w:type="character" w:customStyle="1" w:styleId="66">
    <w:name w:val="正文文本首行缩进 字符"/>
    <w:basedOn w:val="65"/>
    <w:link w:val="36"/>
    <w:qFormat/>
    <w:uiPriority w:val="0"/>
    <w:rPr>
      <w:rFonts w:ascii="Times New Roman" w:hAnsi="Times New Roman" w:eastAsia="仿宋"/>
      <w:kern w:val="2"/>
      <w:sz w:val="21"/>
      <w:szCs w:val="24"/>
    </w:rPr>
  </w:style>
  <w:style w:type="paragraph" w:customStyle="1" w:styleId="67">
    <w:name w:val="表内容"/>
    <w:qFormat/>
    <w:uiPriority w:val="0"/>
    <w:rPr>
      <w:rFonts w:ascii="宋体" w:hAnsi="Times New Roman" w:eastAsia="宋体" w:cs="Times New Roman"/>
      <w:kern w:val="21"/>
      <w:sz w:val="24"/>
      <w:szCs w:val="24"/>
      <w:lang w:val="en-US" w:eastAsia="zh-CN" w:bidi="ar-SA"/>
    </w:rPr>
  </w:style>
  <w:style w:type="paragraph" w:customStyle="1" w:styleId="68">
    <w:name w:val="列表数字1）"/>
    <w:next w:val="36"/>
    <w:qFormat/>
    <w:uiPriority w:val="0"/>
    <w:pPr>
      <w:numPr>
        <w:ilvl w:val="0"/>
        <w:numId w:val="3"/>
      </w:numPr>
      <w:tabs>
        <w:tab w:val="left" w:pos="814"/>
        <w:tab w:val="left" w:pos="900"/>
      </w:tabs>
      <w:spacing w:line="360" w:lineRule="auto"/>
    </w:pPr>
    <w:rPr>
      <w:rFonts w:ascii="Times New Roman" w:hAnsi="Times New Roman" w:eastAsia="宋体" w:cs="Times New Roman"/>
      <w:sz w:val="24"/>
      <w:lang w:val="en-US" w:eastAsia="zh-CN" w:bidi="ar-SA"/>
    </w:rPr>
  </w:style>
  <w:style w:type="character" w:customStyle="1" w:styleId="69">
    <w:name w:val="正文文本首行缩进 2 字符"/>
    <w:link w:val="37"/>
    <w:qFormat/>
    <w:uiPriority w:val="0"/>
    <w:rPr>
      <w:spacing w:val="10"/>
      <w:kern w:val="2"/>
      <w:sz w:val="21"/>
      <w:szCs w:val="24"/>
    </w:rPr>
  </w:style>
  <w:style w:type="paragraph" w:customStyle="1" w:styleId="70">
    <w:name w:val="列表数字1"/>
    <w:next w:val="36"/>
    <w:qFormat/>
    <w:uiPriority w:val="0"/>
    <w:pPr>
      <w:numPr>
        <w:ilvl w:val="0"/>
        <w:numId w:val="4"/>
      </w:numPr>
      <w:tabs>
        <w:tab w:val="left" w:pos="900"/>
        <w:tab w:val="left" w:pos="1145"/>
      </w:tabs>
      <w:spacing w:before="120" w:line="360" w:lineRule="auto"/>
    </w:pPr>
    <w:rPr>
      <w:rFonts w:ascii="Times New Roman" w:hAnsi="Times New Roman" w:eastAsia="宋体" w:cs="Times New Roman"/>
      <w:sz w:val="24"/>
      <w:lang w:val="en-US" w:eastAsia="zh-CN" w:bidi="ar-SA"/>
    </w:rPr>
  </w:style>
  <w:style w:type="paragraph" w:customStyle="1" w:styleId="71">
    <w:name w:val="Out Box 1"/>
    <w:basedOn w:val="1"/>
    <w:qFormat/>
    <w:uiPriority w:val="0"/>
    <w:pPr>
      <w:overflowPunct w:val="0"/>
      <w:autoSpaceDE w:val="0"/>
      <w:autoSpaceDN w:val="0"/>
      <w:adjustRightInd w:val="0"/>
      <w:spacing w:before="120"/>
      <w:ind w:left="1170" w:right="86" w:hanging="450"/>
      <w:textAlignment w:val="baseline"/>
    </w:pPr>
    <w:rPr>
      <w:rFonts w:ascii="Times" w:hAnsi="Times"/>
      <w:color w:val="000000"/>
      <w:kern w:val="0"/>
      <w:sz w:val="20"/>
      <w:szCs w:val="20"/>
    </w:rPr>
  </w:style>
  <w:style w:type="character" w:customStyle="1" w:styleId="72">
    <w:name w:val="正文文本缩进 2 字符"/>
    <w:link w:val="23"/>
    <w:qFormat/>
    <w:uiPriority w:val="0"/>
    <w:rPr>
      <w:kern w:val="2"/>
      <w:sz w:val="21"/>
      <w:szCs w:val="24"/>
    </w:rPr>
  </w:style>
  <w:style w:type="paragraph" w:customStyle="1" w:styleId="73">
    <w:name w:val="HP_Table_Title"/>
    <w:basedOn w:val="1"/>
    <w:next w:val="1"/>
    <w:qFormat/>
    <w:uiPriority w:val="0"/>
    <w:pPr>
      <w:keepNext/>
      <w:keepLines/>
      <w:spacing w:before="240" w:after="60"/>
    </w:pPr>
    <w:rPr>
      <w:rFonts w:ascii="Futura Bk" w:hAnsi="Futura Bk"/>
      <w:b/>
      <w:bCs/>
      <w:kern w:val="0"/>
      <w:sz w:val="18"/>
      <w:szCs w:val="18"/>
      <w:lang w:val="en-GB" w:eastAsia="en-US"/>
    </w:rPr>
  </w:style>
  <w:style w:type="paragraph" w:customStyle="1" w:styleId="74">
    <w:name w:val="Table_Sm_Heading"/>
    <w:basedOn w:val="1"/>
    <w:qFormat/>
    <w:uiPriority w:val="0"/>
    <w:pPr>
      <w:keepNext/>
      <w:keepLines/>
      <w:spacing w:before="60" w:after="40"/>
    </w:pPr>
    <w:rPr>
      <w:rFonts w:ascii="Futura Bk" w:hAnsi="Futura Bk"/>
      <w:b/>
      <w:bCs/>
      <w:kern w:val="0"/>
      <w:sz w:val="16"/>
      <w:szCs w:val="16"/>
      <w:lang w:val="en-GB" w:eastAsia="en-US"/>
    </w:rPr>
  </w:style>
  <w:style w:type="character" w:customStyle="1" w:styleId="75">
    <w:name w:val="纯文本 字符"/>
    <w:link w:val="21"/>
    <w:qFormat/>
    <w:uiPriority w:val="0"/>
    <w:rPr>
      <w:rFonts w:ascii="宋体" w:hAnsi="Courier New"/>
      <w:kern w:val="2"/>
      <w:sz w:val="21"/>
    </w:rPr>
  </w:style>
  <w:style w:type="paragraph" w:customStyle="1" w:styleId="76">
    <w:name w:val="样式3"/>
    <w:basedOn w:val="14"/>
    <w:link w:val="77"/>
    <w:qFormat/>
    <w:uiPriority w:val="0"/>
    <w:pPr>
      <w:widowControl w:val="0"/>
      <w:spacing w:beforeLines="0" w:afterLines="0" w:line="360" w:lineRule="auto"/>
      <w:ind w:firstLine="480" w:firstLineChars="200"/>
    </w:pPr>
    <w:rPr>
      <w:rFonts w:ascii="楷体_GB2312" w:eastAsia="楷体_GB2312"/>
      <w:i/>
      <w:snapToGrid/>
      <w:color w:val="3366FF"/>
      <w:kern w:val="2"/>
      <w:sz w:val="24"/>
      <w:szCs w:val="24"/>
    </w:rPr>
  </w:style>
  <w:style w:type="character" w:customStyle="1" w:styleId="77">
    <w:name w:val="样式3 Char"/>
    <w:link w:val="76"/>
    <w:qFormat/>
    <w:uiPriority w:val="0"/>
    <w:rPr>
      <w:rFonts w:ascii="楷体_GB2312" w:eastAsia="楷体_GB2312"/>
      <w:i/>
      <w:snapToGrid w:val="0"/>
      <w:color w:val="3366FF"/>
      <w:kern w:val="2"/>
      <w:sz w:val="24"/>
      <w:szCs w:val="24"/>
    </w:rPr>
  </w:style>
  <w:style w:type="character" w:customStyle="1" w:styleId="78">
    <w:name w:val="未处理的提及1"/>
    <w:basedOn w:val="40"/>
    <w:semiHidden/>
    <w:unhideWhenUsed/>
    <w:qFormat/>
    <w:uiPriority w:val="99"/>
    <w:rPr>
      <w:color w:val="605E5C"/>
      <w:shd w:val="clear" w:color="auto" w:fill="E1DFDD"/>
    </w:rPr>
  </w:style>
  <w:style w:type="paragraph" w:customStyle="1" w:styleId="79">
    <w:name w:val="Sub Bullet 2"/>
    <w:basedOn w:val="1"/>
    <w:qFormat/>
    <w:uiPriority w:val="0"/>
    <w:pPr>
      <w:numPr>
        <w:ilvl w:val="0"/>
        <w:numId w:val="5"/>
      </w:numPr>
      <w:tabs>
        <w:tab w:val="clear" w:pos="480"/>
      </w:tabs>
      <w:spacing w:line="300" w:lineRule="exact"/>
      <w:ind w:left="993" w:hanging="302"/>
    </w:pPr>
    <w:rPr>
      <w:rFonts w:ascii="Arial" w:hAnsi="Arial" w:eastAsia="Arial" w:cs="Arial"/>
      <w:b/>
      <w:i/>
      <w:snapToGrid w:val="0"/>
      <w:kern w:val="0"/>
      <w:szCs w:val="21"/>
      <w:lang w:eastAsia="en-US"/>
    </w:rPr>
  </w:style>
  <w:style w:type="character" w:customStyle="1" w:styleId="80">
    <w:name w:val="未处理的提及11"/>
    <w:basedOn w:val="40"/>
    <w:semiHidden/>
    <w:unhideWhenUsed/>
    <w:qFormat/>
    <w:uiPriority w:val="99"/>
    <w:rPr>
      <w:color w:val="605E5C"/>
      <w:shd w:val="clear" w:color="auto" w:fill="E1DFDD"/>
    </w:rPr>
  </w:style>
  <w:style w:type="paragraph" w:customStyle="1" w:styleId="81">
    <w:name w:val="列表段落1"/>
    <w:basedOn w:val="1"/>
    <w:qFormat/>
    <w:uiPriority w:val="34"/>
    <w:pPr>
      <w:widowControl w:val="0"/>
      <w:spacing w:after="160" w:line="360" w:lineRule="auto"/>
      <w:ind w:firstLine="420" w:firstLineChars="200"/>
      <w:jc w:val="both"/>
    </w:pPr>
    <w:rPr>
      <w:rFonts w:ascii="Calibri" w:hAnsi="Calibri"/>
      <w:szCs w:val="22"/>
    </w:rPr>
  </w:style>
  <w:style w:type="paragraph" w:customStyle="1" w:styleId="82">
    <w:name w:val="Table Text"/>
    <w:basedOn w:val="1"/>
    <w:qFormat/>
    <w:uiPriority w:val="0"/>
    <w:pPr>
      <w:widowControl w:val="0"/>
      <w:topLinePunct/>
      <w:adjustRightInd w:val="0"/>
      <w:snapToGrid w:val="0"/>
      <w:spacing w:before="80" w:after="80" w:line="240" w:lineRule="atLeast"/>
      <w:jc w:val="both"/>
    </w:pPr>
    <w:rPr>
      <w:rFonts w:cs="Arial"/>
      <w:snapToGrid w:val="0"/>
      <w:szCs w:val="21"/>
    </w:rPr>
  </w:style>
  <w:style w:type="paragraph" w:customStyle="1" w:styleId="83">
    <w:name w:val="规范正文"/>
    <w:basedOn w:val="1"/>
    <w:qFormat/>
    <w:uiPriority w:val="0"/>
    <w:pPr>
      <w:widowControl w:val="0"/>
      <w:spacing w:after="160" w:line="360" w:lineRule="auto"/>
      <w:ind w:firstLine="200" w:firstLineChars="200"/>
      <w:jc w:val="both"/>
    </w:pPr>
    <w:rPr>
      <w:rFonts w:ascii="宋体" w:hAnsi="宋体" w:cs="宋体"/>
      <w:szCs w:val="20"/>
    </w:rPr>
  </w:style>
  <w:style w:type="paragraph" w:customStyle="1" w:styleId="84">
    <w:name w:val="标题3"/>
    <w:basedOn w:val="6"/>
    <w:link w:val="85"/>
    <w:qFormat/>
    <w:uiPriority w:val="0"/>
    <w:pPr>
      <w:numPr>
        <w:ilvl w:val="0"/>
        <w:numId w:val="6"/>
      </w:numPr>
    </w:pPr>
    <w:rPr>
      <w:rFonts w:ascii="Calibri" w:hAnsi="Calibri"/>
      <w:b/>
      <w:szCs w:val="24"/>
    </w:rPr>
  </w:style>
  <w:style w:type="character" w:customStyle="1" w:styleId="85">
    <w:name w:val="标题3 字符"/>
    <w:link w:val="84"/>
    <w:qFormat/>
    <w:uiPriority w:val="0"/>
    <w:rPr>
      <w:rFonts w:ascii="Calibri" w:hAnsi="Calibri" w:eastAsia="仿宋"/>
      <w:b/>
      <w:bCs/>
      <w:kern w:val="2"/>
      <w:sz w:val="28"/>
      <w:szCs w:val="24"/>
    </w:rPr>
  </w:style>
  <w:style w:type="paragraph" w:customStyle="1" w:styleId="8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87">
    <w:name w:val="Char Char Char Char1 Char Char Char Char Char Char"/>
    <w:basedOn w:val="1"/>
    <w:qFormat/>
    <w:uiPriority w:val="99"/>
    <w:pPr>
      <w:widowControl w:val="0"/>
      <w:jc w:val="both"/>
    </w:pPr>
    <w:rPr>
      <w:rFonts w:ascii="Tahoma" w:hAnsi="Tahoma"/>
      <w:sz w:val="24"/>
      <w:szCs w:val="20"/>
    </w:rPr>
  </w:style>
  <w:style w:type="paragraph" w:customStyle="1" w:styleId="88">
    <w:name w:val="QB表内文字"/>
    <w:basedOn w:val="1"/>
    <w:qFormat/>
    <w:uiPriority w:val="99"/>
    <w:pPr>
      <w:widowControl w:val="0"/>
      <w:autoSpaceDE w:val="0"/>
      <w:autoSpaceDN w:val="0"/>
      <w:jc w:val="both"/>
    </w:pPr>
    <w:rPr>
      <w:rFonts w:ascii="宋体"/>
      <w:kern w:val="0"/>
      <w:szCs w:val="20"/>
    </w:rPr>
  </w:style>
  <w:style w:type="paragraph" w:customStyle="1" w:styleId="89">
    <w:name w:val="列出段落2"/>
    <w:basedOn w:val="1"/>
    <w:link w:val="90"/>
    <w:qFormat/>
    <w:uiPriority w:val="34"/>
    <w:pPr>
      <w:widowControl w:val="0"/>
      <w:ind w:firstLine="420" w:firstLineChars="200"/>
      <w:jc w:val="both"/>
    </w:pPr>
  </w:style>
  <w:style w:type="character" w:customStyle="1" w:styleId="90">
    <w:name w:val="列表段落 字符"/>
    <w:link w:val="89"/>
    <w:qFormat/>
    <w:uiPriority w:val="34"/>
    <w:rPr>
      <w:kern w:val="2"/>
      <w:sz w:val="21"/>
      <w:szCs w:val="24"/>
    </w:rPr>
  </w:style>
  <w:style w:type="paragraph" w:customStyle="1" w:styleId="91">
    <w:name w:val="标题 3（绿盟科技）"/>
    <w:basedOn w:val="6"/>
    <w:next w:val="1"/>
    <w:qFormat/>
    <w:uiPriority w:val="0"/>
    <w:pPr>
      <w:numPr>
        <w:numId w:val="7"/>
      </w:numPr>
      <w:tabs>
        <w:tab w:val="left" w:pos="960"/>
      </w:tabs>
    </w:pPr>
    <w:rPr>
      <w:rFonts w:ascii="Arial" w:hAnsi="Arial"/>
      <w:bCs w:val="0"/>
      <w:kern w:val="0"/>
      <w:sz w:val="30"/>
      <w:szCs w:val="30"/>
    </w:rPr>
  </w:style>
  <w:style w:type="paragraph" w:customStyle="1" w:styleId="92">
    <w:name w:val="标题 1（绿盟科技）"/>
    <w:basedOn w:val="4"/>
    <w:next w:val="1"/>
    <w:qFormat/>
    <w:uiPriority w:val="0"/>
    <w:pPr>
      <w:numPr>
        <w:ilvl w:val="0"/>
        <w:numId w:val="7"/>
      </w:numPr>
      <w:pBdr>
        <w:top w:val="none" w:color="auto" w:sz="0" w:space="1"/>
        <w:left w:val="none" w:color="auto" w:sz="0" w:space="4"/>
        <w:bottom w:val="single" w:color="auto" w:sz="48" w:space="1"/>
        <w:right w:val="none" w:color="auto" w:sz="0" w:space="4"/>
      </w:pBdr>
      <w:spacing w:before="200" w:after="330" w:line="576" w:lineRule="auto"/>
    </w:pPr>
    <w:rPr>
      <w:rFonts w:ascii="Arial" w:hAnsi="Arial"/>
      <w:sz w:val="44"/>
      <w:szCs w:val="44"/>
    </w:rPr>
  </w:style>
  <w:style w:type="character" w:customStyle="1" w:styleId="93">
    <w:name w:val="正文（首行缩进两字） Char1"/>
    <w:qFormat/>
    <w:uiPriority w:val="0"/>
    <w:rPr>
      <w:kern w:val="2"/>
      <w:sz w:val="24"/>
      <w:szCs w:val="24"/>
    </w:rPr>
  </w:style>
  <w:style w:type="paragraph" w:customStyle="1" w:styleId="94">
    <w:name w:val="Normal_6"/>
    <w:qFormat/>
    <w:uiPriority w:val="0"/>
    <w:pPr>
      <w:widowControl w:val="0"/>
      <w:jc w:val="both"/>
    </w:pPr>
    <w:rPr>
      <w:rFonts w:ascii="宋体" w:hAnsi="宋体" w:eastAsia="宋体" w:cs="宋体"/>
      <w:lang w:val="en-US" w:eastAsia="zh-CN" w:bidi="ar-SA"/>
    </w:rPr>
  </w:style>
  <w:style w:type="paragraph" w:customStyle="1" w:styleId="95">
    <w:name w:val="AX-正文"/>
    <w:basedOn w:val="94"/>
    <w:qFormat/>
    <w:uiPriority w:val="0"/>
    <w:pPr>
      <w:spacing w:line="480" w:lineRule="exact"/>
      <w:ind w:firstLine="200" w:firstLineChars="200"/>
    </w:pPr>
    <w:rPr>
      <w:rFonts w:ascii="Times New Roman" w:hAnsi="Times New Roman" w:eastAsia="仿宋_GB2312" w:cs="Times New Roman"/>
      <w:sz w:val="24"/>
      <w:szCs w:val="24"/>
    </w:rPr>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正文样式"/>
    <w:basedOn w:val="1"/>
    <w:qFormat/>
    <w:uiPriority w:val="7"/>
    <w:pPr>
      <w:spacing w:line="360" w:lineRule="auto"/>
      <w:ind w:firstLine="420" w:firstLineChars="200"/>
    </w:pPr>
    <w:rPr>
      <w:rFonts w:ascii="华文楷体" w:hAnsi="华文楷体" w:eastAsia="Songti SC"/>
    </w:rPr>
  </w:style>
  <w:style w:type="paragraph" w:customStyle="1" w:styleId="98">
    <w:name w:val="正文内容"/>
    <w:basedOn w:val="1"/>
    <w:qFormat/>
    <w:uiPriority w:val="0"/>
    <w:pPr>
      <w:ind w:firstLine="560" w:firstLineChars="200"/>
    </w:pPr>
    <w:rPr>
      <w:rFonts w:hint="eastAsia" w:ascii="仿宋" w:hAnsi="仿宋" w:eastAsia="仿宋" w:cs="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MC SYSTEM</Company>
  <Pages>19</Pages>
  <Words>233</Words>
  <Characters>342</Characters>
  <Lines>61</Lines>
  <Paragraphs>17</Paragraphs>
  <TotalTime>1</TotalTime>
  <ScaleCrop>false</ScaleCrop>
  <LinksUpToDate>false</LinksUpToDate>
  <CharactersWithSpaces>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2025-03-20T08:56:00Z</dcterms:created>
  <dc:creator>meimei</dc:creator>
  <cp:lastModifiedBy>cmq</cp:lastModifiedBy>
  <cp:lastPrinted>2013-08-28T06:41:00Z</cp:lastPrinted>
  <dcterms:modified xsi:type="dcterms:W3CDTF">2025-11-17T01:04:33Z</dcterms:modified>
  <dc:title>文档基本信息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7243C6A7F3E549E48BCA5E040D4C2F68_13</vt:lpwstr>
  </property>
  <property fmtid="{D5CDD505-2E9C-101B-9397-08002B2CF9AE}" pid="4" name="KSOTemplateDocerSaveRecord">
    <vt:lpwstr>eyJoZGlkIjoiNjg3NTRkODE4OWI5MzNmZjI4ZTA1NGIyN2QzNjI2NWMiLCJ1c2VySWQiOiIxMTM1NDA4OTI5In0=</vt:lpwstr>
  </property>
</Properties>
</file>