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3E3F">
      <w:pPr>
        <w:spacing w:line="360" w:lineRule="auto"/>
        <w:jc w:val="center"/>
        <w:rPr>
          <w:rFonts w:asciiTheme="minorEastAsia" w:hAnsiTheme="minorEastAsia" w:eastAsiaTheme="minorEastAsia"/>
          <w:szCs w:val="21"/>
        </w:rPr>
      </w:pPr>
    </w:p>
    <w:p w14:paraId="7B7EBD54">
      <w:pPr>
        <w:spacing w:line="360" w:lineRule="auto"/>
        <w:jc w:val="center"/>
        <w:rPr>
          <w:rFonts w:asciiTheme="minorEastAsia" w:hAnsiTheme="minorEastAsia" w:eastAsiaTheme="minorEastAsia"/>
          <w:szCs w:val="21"/>
        </w:rPr>
      </w:pPr>
    </w:p>
    <w:p w14:paraId="7C508880">
      <w:pPr>
        <w:spacing w:line="360" w:lineRule="auto"/>
        <w:jc w:val="center"/>
        <w:rPr>
          <w:rFonts w:asciiTheme="minorEastAsia" w:hAnsiTheme="minorEastAsia" w:eastAsiaTheme="minorEastAsia"/>
          <w:szCs w:val="21"/>
        </w:rPr>
      </w:pPr>
    </w:p>
    <w:p w14:paraId="60EE410D">
      <w:pPr>
        <w:spacing w:line="360" w:lineRule="auto"/>
        <w:jc w:val="center"/>
        <w:rPr>
          <w:rFonts w:asciiTheme="minorEastAsia" w:hAnsiTheme="minorEastAsia" w:eastAsiaTheme="minorEastAsia"/>
          <w:szCs w:val="21"/>
        </w:rPr>
      </w:pPr>
    </w:p>
    <w:p w14:paraId="49DA8E63">
      <w:pPr>
        <w:spacing w:line="360" w:lineRule="auto"/>
        <w:jc w:val="center"/>
        <w:rPr>
          <w:rFonts w:asciiTheme="minorEastAsia" w:hAnsiTheme="minorEastAsia" w:eastAsiaTheme="minorEastAsia"/>
          <w:szCs w:val="21"/>
        </w:rPr>
      </w:pPr>
    </w:p>
    <w:p w14:paraId="782C0985">
      <w:pPr>
        <w:pStyle w:val="2"/>
        <w:rPr>
          <w:rFonts w:asciiTheme="minorEastAsia" w:hAnsiTheme="minorEastAsia" w:eastAsiaTheme="minorEastAsia"/>
          <w:szCs w:val="21"/>
        </w:rPr>
      </w:pPr>
    </w:p>
    <w:p w14:paraId="2C060B63">
      <w:pPr>
        <w:pStyle w:val="2"/>
        <w:rPr>
          <w:rFonts w:asciiTheme="minorEastAsia" w:hAnsiTheme="minorEastAsia" w:eastAsiaTheme="minorEastAsia"/>
          <w:szCs w:val="21"/>
        </w:rPr>
      </w:pPr>
    </w:p>
    <w:p w14:paraId="0C380174">
      <w:pPr>
        <w:pStyle w:val="2"/>
        <w:rPr>
          <w:rFonts w:asciiTheme="minorEastAsia" w:hAnsiTheme="minorEastAsia" w:eastAsiaTheme="minorEastAsia"/>
          <w:szCs w:val="21"/>
        </w:rPr>
      </w:pPr>
    </w:p>
    <w:p w14:paraId="15F63F7F">
      <w:pPr>
        <w:pStyle w:val="2"/>
        <w:rPr>
          <w:rFonts w:asciiTheme="minorEastAsia" w:hAnsiTheme="minorEastAsia" w:eastAsiaTheme="minorEastAsia"/>
          <w:szCs w:val="21"/>
        </w:rPr>
      </w:pPr>
    </w:p>
    <w:p w14:paraId="2131E4D8">
      <w:pPr>
        <w:pStyle w:val="2"/>
        <w:rPr>
          <w:rFonts w:asciiTheme="minorEastAsia" w:hAnsiTheme="minorEastAsia" w:eastAsiaTheme="minorEastAsia"/>
          <w:szCs w:val="21"/>
        </w:rPr>
      </w:pPr>
    </w:p>
    <w:p w14:paraId="371D4C20">
      <w:pPr>
        <w:pStyle w:val="2"/>
        <w:rPr>
          <w:rFonts w:asciiTheme="minorEastAsia" w:hAnsiTheme="minorEastAsia" w:eastAsiaTheme="minorEastAsia"/>
          <w:szCs w:val="21"/>
        </w:rPr>
      </w:pPr>
    </w:p>
    <w:p w14:paraId="209D1583">
      <w:pPr>
        <w:pStyle w:val="2"/>
        <w:rPr>
          <w:rFonts w:asciiTheme="minorEastAsia" w:hAnsiTheme="minorEastAsia" w:eastAsiaTheme="minorEastAsia"/>
          <w:szCs w:val="21"/>
        </w:rPr>
      </w:pPr>
    </w:p>
    <w:p w14:paraId="11AB215B">
      <w:pPr>
        <w:pStyle w:val="2"/>
        <w:rPr>
          <w:rFonts w:asciiTheme="minorEastAsia" w:hAnsiTheme="minorEastAsia" w:eastAsiaTheme="minorEastAsia"/>
          <w:szCs w:val="21"/>
        </w:rPr>
      </w:pPr>
    </w:p>
    <w:p w14:paraId="4AEBBF40">
      <w:pPr>
        <w:adjustRightInd w:val="0"/>
        <w:snapToGrid w:val="0"/>
        <w:ind w:left="0"/>
        <w:jc w:val="center"/>
        <w:rPr>
          <w:rFonts w:ascii="宋体" w:hAnsi="宋体"/>
          <w:b/>
          <w:sz w:val="52"/>
          <w:szCs w:val="52"/>
        </w:rPr>
      </w:pPr>
      <w:r>
        <w:rPr>
          <w:rFonts w:hint="eastAsia" w:ascii="宋体" w:hAnsi="宋体"/>
          <w:b/>
          <w:sz w:val="52"/>
          <w:szCs w:val="52"/>
        </w:rPr>
        <w:t>广东南粤银行</w:t>
      </w:r>
    </w:p>
    <w:p w14:paraId="2DF4F7B8">
      <w:pPr>
        <w:adjustRightInd w:val="0"/>
        <w:snapToGrid w:val="0"/>
        <w:ind w:left="0"/>
        <w:jc w:val="center"/>
        <w:rPr>
          <w:rFonts w:ascii="宋体" w:hAnsi="宋体"/>
          <w:b/>
          <w:sz w:val="52"/>
          <w:szCs w:val="52"/>
        </w:rPr>
      </w:pPr>
      <w:r>
        <w:rPr>
          <w:rFonts w:hint="eastAsia" w:ascii="宋体" w:hAnsi="宋体"/>
          <w:b/>
          <w:sz w:val="52"/>
          <w:szCs w:val="52"/>
          <w:lang w:eastAsia="zh-CN"/>
        </w:rPr>
        <w:t>新信贷系统项目群（信贷系统建设）</w:t>
      </w:r>
      <w:r>
        <w:rPr>
          <w:rFonts w:hint="eastAsia" w:ascii="宋体" w:hAnsi="宋体"/>
          <w:b/>
          <w:sz w:val="52"/>
          <w:szCs w:val="52"/>
        </w:rPr>
        <w:t>PO</w:t>
      </w:r>
      <w:r>
        <w:rPr>
          <w:rFonts w:ascii="宋体" w:hAnsi="宋体"/>
          <w:b/>
          <w:sz w:val="52"/>
          <w:szCs w:val="52"/>
        </w:rPr>
        <w:t>C</w:t>
      </w:r>
      <w:r>
        <w:rPr>
          <w:rFonts w:hint="eastAsia" w:ascii="宋体" w:hAnsi="宋体"/>
          <w:b/>
          <w:sz w:val="52"/>
          <w:szCs w:val="52"/>
        </w:rPr>
        <w:t>测评方案</w:t>
      </w:r>
    </w:p>
    <w:p w14:paraId="10D7A27B">
      <w:pPr>
        <w:spacing w:line="360" w:lineRule="auto"/>
        <w:rPr>
          <w:rFonts w:asciiTheme="minorEastAsia" w:hAnsiTheme="minorEastAsia" w:eastAsiaTheme="minorEastAsia"/>
          <w:szCs w:val="21"/>
        </w:rPr>
      </w:pPr>
    </w:p>
    <w:p w14:paraId="3192033D">
      <w:pPr>
        <w:spacing w:line="360" w:lineRule="auto"/>
        <w:jc w:val="center"/>
        <w:rPr>
          <w:rFonts w:asciiTheme="minorEastAsia" w:hAnsiTheme="minorEastAsia" w:eastAsiaTheme="minorEastAsia"/>
          <w:b/>
          <w:bCs/>
          <w:szCs w:val="21"/>
        </w:rPr>
      </w:pPr>
      <w:r>
        <w:rPr>
          <w:rFonts w:asciiTheme="minorEastAsia" w:hAnsiTheme="minorEastAsia" w:eastAsiaTheme="minorEastAsia"/>
          <w:szCs w:val="21"/>
        </w:rPr>
        <w:br w:type="page"/>
      </w:r>
      <w:r>
        <w:rPr>
          <w:rFonts w:hint="eastAsia" w:asciiTheme="minorEastAsia" w:hAnsiTheme="minorEastAsia" w:eastAsiaTheme="minorEastAsia"/>
          <w:b/>
          <w:bCs/>
          <w:szCs w:val="21"/>
        </w:rPr>
        <w:t>目  录</w:t>
      </w:r>
    </w:p>
    <w:p w14:paraId="6BD17643">
      <w:pPr>
        <w:pStyle w:val="30"/>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"1-4" \h \z </w:instrText>
      </w:r>
      <w:r>
        <w:rPr>
          <w:rFonts w:asciiTheme="minorEastAsia" w:hAnsiTheme="minorEastAsia" w:eastAsiaTheme="minorEastAsia"/>
          <w:szCs w:val="21"/>
        </w:rPr>
        <w:fldChar w:fldCharType="separate"/>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_Toc25882 </w:instrText>
      </w:r>
      <w:r>
        <w:rPr>
          <w:rFonts w:asciiTheme="minorEastAsia" w:hAnsiTheme="minorEastAsia" w:eastAsiaTheme="minorEastAsia"/>
          <w:szCs w:val="21"/>
        </w:rPr>
        <w:fldChar w:fldCharType="separate"/>
      </w:r>
      <w:r>
        <w:rPr>
          <w:rFonts w:hint="default" w:ascii="Arial Black" w:hAnsi="Arial Black"/>
        </w:rPr>
        <w:t xml:space="preserve">1 </w:t>
      </w:r>
      <w:r>
        <w:rPr>
          <w:rFonts w:hint="eastAsia"/>
        </w:rPr>
        <w:t>概述</w:t>
      </w:r>
      <w:r>
        <w:tab/>
      </w:r>
      <w:r>
        <w:fldChar w:fldCharType="begin"/>
      </w:r>
      <w:r>
        <w:instrText xml:space="preserve"> PAGEREF _Toc25882 \h </w:instrText>
      </w:r>
      <w:r>
        <w:fldChar w:fldCharType="separate"/>
      </w:r>
      <w:r>
        <w:t>1</w:t>
      </w:r>
      <w:r>
        <w:fldChar w:fldCharType="end"/>
      </w:r>
      <w:r>
        <w:rPr>
          <w:rFonts w:asciiTheme="minorEastAsia" w:hAnsiTheme="minorEastAsia" w:eastAsiaTheme="minorEastAsia"/>
          <w:szCs w:val="21"/>
        </w:rPr>
        <w:fldChar w:fldCharType="end"/>
      </w:r>
    </w:p>
    <w:p w14:paraId="17349226">
      <w:pPr>
        <w:pStyle w:val="3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_Toc28852 </w:instrText>
      </w:r>
      <w:r>
        <w:rPr>
          <w:rFonts w:asciiTheme="minorEastAsia" w:hAnsiTheme="minorEastAsia" w:eastAsiaTheme="minorEastAsia"/>
          <w:szCs w:val="21"/>
        </w:rPr>
        <w:fldChar w:fldCharType="separate"/>
      </w:r>
      <w:r>
        <w:rPr>
          <w:rFonts w:hint="default" w:ascii="Arial Black" w:hAnsi="Arial Black" w:eastAsia="仿宋"/>
        </w:rPr>
        <w:t xml:space="preserve">1.1 </w:t>
      </w:r>
      <w:r>
        <w:rPr>
          <w:rFonts w:hint="eastAsia"/>
        </w:rPr>
        <w:t>测评目的</w:t>
      </w:r>
      <w:r>
        <w:tab/>
      </w:r>
      <w:r>
        <w:fldChar w:fldCharType="begin"/>
      </w:r>
      <w:r>
        <w:instrText xml:space="preserve"> PAGEREF _Toc28852 \h </w:instrText>
      </w:r>
      <w:r>
        <w:fldChar w:fldCharType="separate"/>
      </w:r>
      <w:r>
        <w:t>1</w:t>
      </w:r>
      <w:r>
        <w:fldChar w:fldCharType="end"/>
      </w:r>
      <w:r>
        <w:rPr>
          <w:rFonts w:asciiTheme="minorEastAsia" w:hAnsiTheme="minorEastAsia" w:eastAsiaTheme="minorEastAsia"/>
          <w:szCs w:val="21"/>
        </w:rPr>
        <w:fldChar w:fldCharType="end"/>
      </w:r>
    </w:p>
    <w:p w14:paraId="50965FCE">
      <w:pPr>
        <w:pStyle w:val="3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_Toc3078 </w:instrText>
      </w:r>
      <w:r>
        <w:rPr>
          <w:rFonts w:asciiTheme="minorEastAsia" w:hAnsiTheme="minorEastAsia" w:eastAsiaTheme="minorEastAsia"/>
          <w:szCs w:val="21"/>
        </w:rPr>
        <w:fldChar w:fldCharType="separate"/>
      </w:r>
      <w:r>
        <w:rPr>
          <w:rFonts w:hint="default" w:ascii="Arial Black" w:hAnsi="Arial Black" w:eastAsia="仿宋"/>
        </w:rPr>
        <w:t xml:space="preserve">1.2 </w:t>
      </w:r>
      <w:r>
        <w:rPr>
          <w:rFonts w:hint="eastAsia"/>
        </w:rPr>
        <w:t>测评内容概述</w:t>
      </w:r>
      <w:r>
        <w:tab/>
      </w:r>
      <w:r>
        <w:fldChar w:fldCharType="begin"/>
      </w:r>
      <w:r>
        <w:instrText xml:space="preserve"> PAGEREF _Toc3078 \h </w:instrText>
      </w:r>
      <w:r>
        <w:fldChar w:fldCharType="separate"/>
      </w:r>
      <w:r>
        <w:t>1</w:t>
      </w:r>
      <w:r>
        <w:fldChar w:fldCharType="end"/>
      </w:r>
      <w:r>
        <w:rPr>
          <w:rFonts w:asciiTheme="minorEastAsia" w:hAnsiTheme="minorEastAsia" w:eastAsiaTheme="minorEastAsia"/>
          <w:szCs w:val="21"/>
        </w:rPr>
        <w:fldChar w:fldCharType="end"/>
      </w:r>
    </w:p>
    <w:p w14:paraId="200FB5CA">
      <w:pPr>
        <w:pStyle w:val="3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_Toc28000 </w:instrText>
      </w:r>
      <w:r>
        <w:rPr>
          <w:rFonts w:asciiTheme="minorEastAsia" w:hAnsiTheme="minorEastAsia" w:eastAsiaTheme="minorEastAsia"/>
          <w:szCs w:val="21"/>
        </w:rPr>
        <w:fldChar w:fldCharType="separate"/>
      </w:r>
      <w:r>
        <w:rPr>
          <w:rFonts w:hint="default" w:ascii="Arial Black" w:hAnsi="Arial Black" w:eastAsia="仿宋"/>
        </w:rPr>
        <w:t xml:space="preserve">1.3 </w:t>
      </w:r>
      <w:r>
        <w:rPr>
          <w:rFonts w:hint="eastAsia"/>
        </w:rPr>
        <w:t>测评原则</w:t>
      </w:r>
      <w:r>
        <w:tab/>
      </w:r>
      <w:r>
        <w:fldChar w:fldCharType="begin"/>
      </w:r>
      <w:r>
        <w:instrText xml:space="preserve"> PAGEREF _Toc28000 \h </w:instrText>
      </w:r>
      <w:r>
        <w:fldChar w:fldCharType="separate"/>
      </w:r>
      <w:r>
        <w:t>1</w:t>
      </w:r>
      <w:r>
        <w:fldChar w:fldCharType="end"/>
      </w:r>
      <w:r>
        <w:rPr>
          <w:rFonts w:asciiTheme="minorEastAsia" w:hAnsiTheme="minorEastAsia" w:eastAsiaTheme="minorEastAsia"/>
          <w:szCs w:val="21"/>
        </w:rPr>
        <w:fldChar w:fldCharType="end"/>
      </w:r>
    </w:p>
    <w:p w14:paraId="4810E592">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_Toc9807 </w:instrText>
      </w:r>
      <w:r>
        <w:rPr>
          <w:rFonts w:asciiTheme="minorEastAsia" w:hAnsiTheme="minorEastAsia" w:eastAsiaTheme="minorEastAsia"/>
          <w:szCs w:val="21"/>
        </w:rPr>
        <w:fldChar w:fldCharType="separate"/>
      </w:r>
      <w:r>
        <w:rPr>
          <w:rFonts w:hint="default" w:ascii="Arial Black" w:hAnsi="Arial Black" w:eastAsia="黑体"/>
        </w:rPr>
        <w:t xml:space="preserve">1.3.1 </w:t>
      </w:r>
      <w:r>
        <w:rPr>
          <w:rFonts w:hint="eastAsia"/>
        </w:rPr>
        <w:t>公正要求</w:t>
      </w:r>
      <w:r>
        <w:tab/>
      </w:r>
      <w:r>
        <w:fldChar w:fldCharType="begin"/>
      </w:r>
      <w:r>
        <w:instrText xml:space="preserve"> PAGEREF _Toc9807 \h </w:instrText>
      </w:r>
      <w:r>
        <w:fldChar w:fldCharType="separate"/>
      </w:r>
      <w:r>
        <w:t>1</w:t>
      </w:r>
      <w:r>
        <w:fldChar w:fldCharType="end"/>
      </w:r>
      <w:r>
        <w:rPr>
          <w:rFonts w:asciiTheme="minorEastAsia" w:hAnsiTheme="minorEastAsia" w:eastAsiaTheme="minorEastAsia"/>
          <w:szCs w:val="21"/>
        </w:rPr>
        <w:fldChar w:fldCharType="end"/>
      </w:r>
    </w:p>
    <w:p w14:paraId="5B4E0FCC">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_Toc16316 </w:instrText>
      </w:r>
      <w:r>
        <w:rPr>
          <w:rFonts w:asciiTheme="minorEastAsia" w:hAnsiTheme="minorEastAsia" w:eastAsiaTheme="minorEastAsia"/>
          <w:szCs w:val="21"/>
        </w:rPr>
        <w:fldChar w:fldCharType="separate"/>
      </w:r>
      <w:r>
        <w:rPr>
          <w:rFonts w:hint="default" w:ascii="Arial Black" w:hAnsi="Arial Black" w:eastAsia="黑体"/>
        </w:rPr>
        <w:t xml:space="preserve">1.3.2 </w:t>
      </w:r>
      <w:r>
        <w:rPr>
          <w:rFonts w:hint="eastAsia"/>
        </w:rPr>
        <w:t>时间要求</w:t>
      </w:r>
      <w:r>
        <w:tab/>
      </w:r>
      <w:r>
        <w:fldChar w:fldCharType="begin"/>
      </w:r>
      <w:r>
        <w:instrText xml:space="preserve"> PAGEREF _Toc16316 \h </w:instrText>
      </w:r>
      <w:r>
        <w:fldChar w:fldCharType="separate"/>
      </w:r>
      <w:r>
        <w:t>2</w:t>
      </w:r>
      <w:r>
        <w:fldChar w:fldCharType="end"/>
      </w:r>
      <w:r>
        <w:rPr>
          <w:rFonts w:asciiTheme="minorEastAsia" w:hAnsiTheme="minorEastAsia" w:eastAsiaTheme="minorEastAsia"/>
          <w:szCs w:val="21"/>
        </w:rPr>
        <w:fldChar w:fldCharType="end"/>
      </w:r>
    </w:p>
    <w:p w14:paraId="43D05005">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_Toc21818 </w:instrText>
      </w:r>
      <w:r>
        <w:rPr>
          <w:rFonts w:asciiTheme="minorEastAsia" w:hAnsiTheme="minorEastAsia" w:eastAsiaTheme="minorEastAsia"/>
          <w:szCs w:val="21"/>
        </w:rPr>
        <w:fldChar w:fldCharType="separate"/>
      </w:r>
      <w:r>
        <w:rPr>
          <w:rFonts w:hint="default" w:ascii="Arial Black" w:hAnsi="Arial Black" w:eastAsia="黑体"/>
        </w:rPr>
        <w:t xml:space="preserve">1.3.3 </w:t>
      </w:r>
      <w:r>
        <w:rPr>
          <w:rFonts w:hint="eastAsia"/>
        </w:rPr>
        <w:t>保密要求</w:t>
      </w:r>
      <w:r>
        <w:tab/>
      </w:r>
      <w:r>
        <w:fldChar w:fldCharType="begin"/>
      </w:r>
      <w:r>
        <w:instrText xml:space="preserve"> PAGEREF _Toc21818 \h </w:instrText>
      </w:r>
      <w:r>
        <w:fldChar w:fldCharType="separate"/>
      </w:r>
      <w:r>
        <w:t>2</w:t>
      </w:r>
      <w:r>
        <w:fldChar w:fldCharType="end"/>
      </w:r>
      <w:r>
        <w:rPr>
          <w:rFonts w:asciiTheme="minorEastAsia" w:hAnsiTheme="minorEastAsia" w:eastAsiaTheme="minorEastAsia"/>
          <w:szCs w:val="21"/>
        </w:rPr>
        <w:fldChar w:fldCharType="end"/>
      </w:r>
    </w:p>
    <w:p w14:paraId="17CE980B">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_Toc9247 </w:instrText>
      </w:r>
      <w:r>
        <w:rPr>
          <w:rFonts w:asciiTheme="minorEastAsia" w:hAnsiTheme="minorEastAsia" w:eastAsiaTheme="minorEastAsia"/>
          <w:szCs w:val="21"/>
        </w:rPr>
        <w:fldChar w:fldCharType="separate"/>
      </w:r>
      <w:r>
        <w:rPr>
          <w:rFonts w:hint="default" w:ascii="Arial Black" w:hAnsi="Arial Black" w:eastAsia="黑体"/>
        </w:rPr>
        <w:t xml:space="preserve">1.3.4 </w:t>
      </w:r>
      <w:r>
        <w:rPr>
          <w:rFonts w:hint="eastAsia"/>
        </w:rPr>
        <w:t>诚信要求</w:t>
      </w:r>
      <w:r>
        <w:tab/>
      </w:r>
      <w:r>
        <w:fldChar w:fldCharType="begin"/>
      </w:r>
      <w:r>
        <w:instrText xml:space="preserve"> PAGEREF _Toc9247 \h </w:instrText>
      </w:r>
      <w:r>
        <w:fldChar w:fldCharType="separate"/>
      </w:r>
      <w:r>
        <w:t>2</w:t>
      </w:r>
      <w:r>
        <w:fldChar w:fldCharType="end"/>
      </w:r>
      <w:r>
        <w:rPr>
          <w:rFonts w:asciiTheme="minorEastAsia" w:hAnsiTheme="minorEastAsia" w:eastAsiaTheme="minorEastAsia"/>
          <w:szCs w:val="21"/>
        </w:rPr>
        <w:fldChar w:fldCharType="end"/>
      </w:r>
    </w:p>
    <w:p w14:paraId="3BEAE7FE">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_Toc11075 </w:instrText>
      </w:r>
      <w:r>
        <w:rPr>
          <w:rFonts w:asciiTheme="minorEastAsia" w:hAnsiTheme="minorEastAsia" w:eastAsiaTheme="minorEastAsia"/>
          <w:szCs w:val="21"/>
        </w:rPr>
        <w:fldChar w:fldCharType="separate"/>
      </w:r>
      <w:r>
        <w:rPr>
          <w:rFonts w:hint="default" w:ascii="Arial Black" w:hAnsi="Arial Black" w:eastAsia="黑体"/>
        </w:rPr>
        <w:t xml:space="preserve">1.3.5 </w:t>
      </w:r>
      <w:r>
        <w:rPr>
          <w:rFonts w:hint="eastAsia"/>
        </w:rPr>
        <w:t>其它要求</w:t>
      </w:r>
      <w:r>
        <w:tab/>
      </w:r>
      <w:r>
        <w:fldChar w:fldCharType="begin"/>
      </w:r>
      <w:r>
        <w:instrText xml:space="preserve"> PAGEREF _Toc11075 \h </w:instrText>
      </w:r>
      <w:r>
        <w:fldChar w:fldCharType="separate"/>
      </w:r>
      <w:r>
        <w:t>2</w:t>
      </w:r>
      <w:r>
        <w:fldChar w:fldCharType="end"/>
      </w:r>
      <w:r>
        <w:rPr>
          <w:rFonts w:asciiTheme="minorEastAsia" w:hAnsiTheme="minorEastAsia" w:eastAsiaTheme="minorEastAsia"/>
          <w:szCs w:val="21"/>
        </w:rPr>
        <w:fldChar w:fldCharType="end"/>
      </w:r>
    </w:p>
    <w:p w14:paraId="0AFE6384">
      <w:pPr>
        <w:pStyle w:val="3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_Toc5268 </w:instrText>
      </w:r>
      <w:r>
        <w:rPr>
          <w:rFonts w:asciiTheme="minorEastAsia" w:hAnsiTheme="minorEastAsia" w:eastAsiaTheme="minorEastAsia"/>
          <w:szCs w:val="21"/>
        </w:rPr>
        <w:fldChar w:fldCharType="separate"/>
      </w:r>
      <w:r>
        <w:rPr>
          <w:rFonts w:hint="default" w:ascii="Arial Black" w:hAnsi="Arial Black" w:eastAsia="仿宋"/>
        </w:rPr>
        <w:t xml:space="preserve">1.4 </w:t>
      </w:r>
      <w:r>
        <w:rPr>
          <w:rFonts w:hint="eastAsia"/>
        </w:rPr>
        <w:t>评测小组</w:t>
      </w:r>
      <w:r>
        <w:tab/>
      </w:r>
      <w:r>
        <w:fldChar w:fldCharType="begin"/>
      </w:r>
      <w:r>
        <w:instrText xml:space="preserve"> PAGEREF _Toc5268 \h </w:instrText>
      </w:r>
      <w:r>
        <w:fldChar w:fldCharType="separate"/>
      </w:r>
      <w:r>
        <w:t>3</w:t>
      </w:r>
      <w:r>
        <w:fldChar w:fldCharType="end"/>
      </w:r>
      <w:r>
        <w:rPr>
          <w:rFonts w:asciiTheme="minorEastAsia" w:hAnsiTheme="minorEastAsia" w:eastAsiaTheme="minorEastAsia"/>
          <w:szCs w:val="21"/>
        </w:rPr>
        <w:fldChar w:fldCharType="end"/>
      </w:r>
    </w:p>
    <w:p w14:paraId="44A38376">
      <w:pPr>
        <w:pStyle w:val="3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_Toc3542 </w:instrText>
      </w:r>
      <w:r>
        <w:rPr>
          <w:rFonts w:asciiTheme="minorEastAsia" w:hAnsiTheme="minorEastAsia" w:eastAsiaTheme="minorEastAsia"/>
          <w:szCs w:val="21"/>
        </w:rPr>
        <w:fldChar w:fldCharType="separate"/>
      </w:r>
      <w:r>
        <w:rPr>
          <w:rFonts w:hint="default" w:ascii="Arial Black" w:hAnsi="Arial Black" w:eastAsia="仿宋"/>
        </w:rPr>
        <w:t xml:space="preserve">1.5 </w:t>
      </w:r>
      <w:r>
        <w:rPr>
          <w:rFonts w:hint="eastAsia"/>
        </w:rPr>
        <w:t>测评计划</w:t>
      </w:r>
      <w:r>
        <w:tab/>
      </w:r>
      <w:r>
        <w:fldChar w:fldCharType="begin"/>
      </w:r>
      <w:r>
        <w:instrText xml:space="preserve"> PAGEREF _Toc3542 \h </w:instrText>
      </w:r>
      <w:r>
        <w:fldChar w:fldCharType="separate"/>
      </w:r>
      <w:r>
        <w:t>3</w:t>
      </w:r>
      <w:r>
        <w:fldChar w:fldCharType="end"/>
      </w:r>
      <w:r>
        <w:rPr>
          <w:rFonts w:asciiTheme="minorEastAsia" w:hAnsiTheme="minorEastAsia" w:eastAsiaTheme="minorEastAsia"/>
          <w:szCs w:val="21"/>
        </w:rPr>
        <w:fldChar w:fldCharType="end"/>
      </w:r>
    </w:p>
    <w:p w14:paraId="6D383A44">
      <w:pPr>
        <w:pStyle w:val="30"/>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_Toc11802 </w:instrText>
      </w:r>
      <w:r>
        <w:rPr>
          <w:rFonts w:asciiTheme="minorEastAsia" w:hAnsiTheme="minorEastAsia" w:eastAsiaTheme="minorEastAsia"/>
          <w:szCs w:val="21"/>
        </w:rPr>
        <w:fldChar w:fldCharType="separate"/>
      </w:r>
      <w:r>
        <w:rPr>
          <w:rFonts w:hint="default" w:ascii="Arial Black" w:hAnsi="Arial Black"/>
        </w:rPr>
        <w:t xml:space="preserve">2 </w:t>
      </w:r>
      <w:r>
        <w:rPr>
          <w:rFonts w:hint="eastAsia"/>
        </w:rPr>
        <w:t>评测案例</w:t>
      </w:r>
      <w:r>
        <w:tab/>
      </w:r>
      <w:r>
        <w:fldChar w:fldCharType="begin"/>
      </w:r>
      <w:r>
        <w:instrText xml:space="preserve"> PAGEREF _Toc11802 \h </w:instrText>
      </w:r>
      <w:r>
        <w:fldChar w:fldCharType="separate"/>
      </w:r>
      <w:r>
        <w:t>4</w:t>
      </w:r>
      <w:r>
        <w:fldChar w:fldCharType="end"/>
      </w:r>
      <w:r>
        <w:rPr>
          <w:rFonts w:asciiTheme="minorEastAsia" w:hAnsiTheme="minorEastAsia" w:eastAsiaTheme="minorEastAsia"/>
          <w:szCs w:val="21"/>
        </w:rPr>
        <w:fldChar w:fldCharType="end"/>
      </w:r>
    </w:p>
    <w:p w14:paraId="586E8F06">
      <w:pPr>
        <w:pStyle w:val="3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_Toc26143 </w:instrText>
      </w:r>
      <w:r>
        <w:rPr>
          <w:rFonts w:asciiTheme="minorEastAsia" w:hAnsiTheme="minorEastAsia" w:eastAsiaTheme="minorEastAsia"/>
          <w:szCs w:val="21"/>
        </w:rPr>
        <w:fldChar w:fldCharType="separate"/>
      </w:r>
      <w:r>
        <w:rPr>
          <w:rFonts w:hint="default" w:ascii="Arial Black" w:hAnsi="Arial Black" w:eastAsia="仿宋"/>
        </w:rPr>
        <w:t xml:space="preserve">2.1 </w:t>
      </w:r>
      <w:r>
        <w:rPr>
          <w:rFonts w:hint="eastAsia"/>
        </w:rPr>
        <w:t>业务方案评测</w:t>
      </w:r>
      <w:r>
        <w:tab/>
      </w:r>
      <w:r>
        <w:fldChar w:fldCharType="begin"/>
      </w:r>
      <w:r>
        <w:instrText xml:space="preserve"> PAGEREF _Toc26143 \h </w:instrText>
      </w:r>
      <w:r>
        <w:fldChar w:fldCharType="separate"/>
      </w:r>
      <w:r>
        <w:t>4</w:t>
      </w:r>
      <w:r>
        <w:fldChar w:fldCharType="end"/>
      </w:r>
      <w:r>
        <w:rPr>
          <w:rFonts w:asciiTheme="minorEastAsia" w:hAnsiTheme="minorEastAsia" w:eastAsiaTheme="minorEastAsia"/>
          <w:szCs w:val="21"/>
        </w:rPr>
        <w:fldChar w:fldCharType="end"/>
      </w:r>
    </w:p>
    <w:p w14:paraId="0514079B">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_Toc31952 </w:instrText>
      </w:r>
      <w:r>
        <w:rPr>
          <w:rFonts w:asciiTheme="minorEastAsia" w:hAnsiTheme="minorEastAsia" w:eastAsiaTheme="minorEastAsia"/>
          <w:szCs w:val="21"/>
        </w:rPr>
        <w:fldChar w:fldCharType="separate"/>
      </w:r>
      <w:r>
        <w:rPr>
          <w:rFonts w:hint="default" w:ascii="Arial Black" w:hAnsi="Arial Black" w:eastAsia="黑体"/>
        </w:rPr>
        <w:t xml:space="preserve">2.1.1 </w:t>
      </w:r>
      <w:r>
        <w:rPr>
          <w:rFonts w:hint="eastAsia"/>
        </w:rPr>
        <w:t>统一信贷门户</w:t>
      </w:r>
      <w:r>
        <w:tab/>
      </w:r>
      <w:r>
        <w:fldChar w:fldCharType="begin"/>
      </w:r>
      <w:r>
        <w:instrText xml:space="preserve"> PAGEREF _Toc31952 \h </w:instrText>
      </w:r>
      <w:r>
        <w:fldChar w:fldCharType="separate"/>
      </w:r>
      <w:r>
        <w:t>4</w:t>
      </w:r>
      <w:r>
        <w:fldChar w:fldCharType="end"/>
      </w:r>
      <w:r>
        <w:rPr>
          <w:rFonts w:asciiTheme="minorEastAsia" w:hAnsiTheme="minorEastAsia" w:eastAsiaTheme="minorEastAsia"/>
          <w:szCs w:val="21"/>
        </w:rPr>
        <w:fldChar w:fldCharType="end"/>
      </w:r>
    </w:p>
    <w:p w14:paraId="04A69766">
      <w:pPr>
        <w:pStyle w:val="3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_Toc8434 </w:instrText>
      </w:r>
      <w:r>
        <w:rPr>
          <w:rFonts w:asciiTheme="minorEastAsia" w:hAnsiTheme="minorEastAsia" w:eastAsiaTheme="minorEastAsia"/>
          <w:szCs w:val="21"/>
        </w:rPr>
        <w:fldChar w:fldCharType="separate"/>
      </w:r>
      <w:r>
        <w:rPr>
          <w:rFonts w:hint="default" w:ascii="Arial Black" w:hAnsi="Arial Black" w:eastAsia="仿宋"/>
        </w:rPr>
        <w:t xml:space="preserve">2.2 </w:t>
      </w:r>
      <w:r>
        <w:rPr>
          <w:rFonts w:hint="eastAsia"/>
        </w:rPr>
        <w:t>技术方案评测</w:t>
      </w:r>
      <w:r>
        <w:tab/>
      </w:r>
      <w:r>
        <w:fldChar w:fldCharType="begin"/>
      </w:r>
      <w:r>
        <w:instrText xml:space="preserve"> PAGEREF _Toc8434 \h </w:instrText>
      </w:r>
      <w:r>
        <w:fldChar w:fldCharType="separate"/>
      </w:r>
      <w:r>
        <w:t>4</w:t>
      </w:r>
      <w:r>
        <w:fldChar w:fldCharType="end"/>
      </w:r>
      <w:r>
        <w:rPr>
          <w:rFonts w:asciiTheme="minorEastAsia" w:hAnsiTheme="minorEastAsia" w:eastAsiaTheme="minorEastAsia"/>
          <w:szCs w:val="21"/>
        </w:rPr>
        <w:fldChar w:fldCharType="end"/>
      </w:r>
    </w:p>
    <w:p w14:paraId="54EC8FCE">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_Toc20124 </w:instrText>
      </w:r>
      <w:r>
        <w:rPr>
          <w:rFonts w:asciiTheme="minorEastAsia" w:hAnsiTheme="minorEastAsia" w:eastAsiaTheme="minorEastAsia"/>
          <w:szCs w:val="21"/>
        </w:rPr>
        <w:fldChar w:fldCharType="separate"/>
      </w:r>
      <w:r>
        <w:rPr>
          <w:rFonts w:hint="default" w:ascii="Arial Black" w:hAnsi="Arial Black" w:eastAsia="黑体"/>
        </w:rPr>
        <w:t xml:space="preserve">2.2.1 </w:t>
      </w:r>
      <w:r>
        <w:rPr>
          <w:rFonts w:hint="eastAsia"/>
        </w:rPr>
        <w:t>微服务架构</w:t>
      </w:r>
      <w:r>
        <w:tab/>
      </w:r>
      <w:r>
        <w:fldChar w:fldCharType="begin"/>
      </w:r>
      <w:r>
        <w:instrText xml:space="preserve"> PAGEREF _Toc20124 \h </w:instrText>
      </w:r>
      <w:r>
        <w:fldChar w:fldCharType="separate"/>
      </w:r>
      <w:r>
        <w:t>4</w:t>
      </w:r>
      <w:r>
        <w:fldChar w:fldCharType="end"/>
      </w:r>
      <w:r>
        <w:rPr>
          <w:rFonts w:asciiTheme="minorEastAsia" w:hAnsiTheme="minorEastAsia" w:eastAsiaTheme="minorEastAsia"/>
          <w:szCs w:val="21"/>
        </w:rPr>
        <w:fldChar w:fldCharType="end"/>
      </w:r>
    </w:p>
    <w:p w14:paraId="53A3E218">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_Toc16219 </w:instrText>
      </w:r>
      <w:r>
        <w:rPr>
          <w:rFonts w:asciiTheme="minorEastAsia" w:hAnsiTheme="minorEastAsia" w:eastAsiaTheme="minorEastAsia"/>
          <w:szCs w:val="21"/>
        </w:rPr>
        <w:fldChar w:fldCharType="separate"/>
      </w:r>
      <w:r>
        <w:rPr>
          <w:rFonts w:hint="default" w:ascii="Arial Black" w:hAnsi="Arial Black" w:eastAsia="黑体"/>
        </w:rPr>
        <w:t xml:space="preserve">2.2.2 </w:t>
      </w:r>
      <w:r>
        <w:rPr>
          <w:rFonts w:hint="eastAsia" w:ascii="仿宋" w:hAnsi="仿宋" w:cs="仿宋"/>
        </w:rPr>
        <w:t>开发平台</w:t>
      </w:r>
      <w:r>
        <w:tab/>
      </w:r>
      <w:r>
        <w:fldChar w:fldCharType="begin"/>
      </w:r>
      <w:r>
        <w:instrText xml:space="preserve"> PAGEREF _Toc16219 \h </w:instrText>
      </w:r>
      <w:r>
        <w:fldChar w:fldCharType="separate"/>
      </w:r>
      <w:r>
        <w:t>6</w:t>
      </w:r>
      <w:r>
        <w:fldChar w:fldCharType="end"/>
      </w:r>
      <w:r>
        <w:rPr>
          <w:rFonts w:asciiTheme="minorEastAsia" w:hAnsiTheme="minorEastAsia" w:eastAsiaTheme="minorEastAsia"/>
          <w:szCs w:val="21"/>
        </w:rPr>
        <w:fldChar w:fldCharType="end"/>
      </w:r>
    </w:p>
    <w:p w14:paraId="03F19712">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_Toc26649 </w:instrText>
      </w:r>
      <w:r>
        <w:rPr>
          <w:rFonts w:asciiTheme="minorEastAsia" w:hAnsiTheme="minorEastAsia" w:eastAsiaTheme="minorEastAsia"/>
          <w:szCs w:val="21"/>
        </w:rPr>
        <w:fldChar w:fldCharType="separate"/>
      </w:r>
      <w:r>
        <w:rPr>
          <w:rFonts w:hint="default" w:ascii="Arial Black" w:hAnsi="Arial Black" w:eastAsia="黑体"/>
        </w:rPr>
        <w:t xml:space="preserve">2.2.3 </w:t>
      </w:r>
      <w:r>
        <w:rPr>
          <w:rFonts w:hint="eastAsia"/>
        </w:rPr>
        <w:t>运维支撑</w:t>
      </w:r>
      <w:r>
        <w:tab/>
      </w:r>
      <w:r>
        <w:fldChar w:fldCharType="begin"/>
      </w:r>
      <w:r>
        <w:instrText xml:space="preserve"> PAGEREF _Toc26649 \h </w:instrText>
      </w:r>
      <w:r>
        <w:fldChar w:fldCharType="separate"/>
      </w:r>
      <w:r>
        <w:t>6</w:t>
      </w:r>
      <w:r>
        <w:fldChar w:fldCharType="end"/>
      </w:r>
      <w:r>
        <w:rPr>
          <w:rFonts w:asciiTheme="minorEastAsia" w:hAnsiTheme="minorEastAsia" w:eastAsiaTheme="minorEastAsia"/>
          <w:szCs w:val="21"/>
        </w:rPr>
        <w:fldChar w:fldCharType="end"/>
      </w:r>
    </w:p>
    <w:p w14:paraId="5CF5FD13">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_Toc1117 </w:instrText>
      </w:r>
      <w:r>
        <w:rPr>
          <w:rFonts w:asciiTheme="minorEastAsia" w:hAnsiTheme="minorEastAsia" w:eastAsiaTheme="minorEastAsia"/>
          <w:szCs w:val="21"/>
        </w:rPr>
        <w:fldChar w:fldCharType="separate"/>
      </w:r>
      <w:r>
        <w:rPr>
          <w:rFonts w:hint="default" w:ascii="Arial Black" w:hAnsi="Arial Black" w:eastAsia="黑体"/>
        </w:rPr>
        <w:t xml:space="preserve">2.2.4 </w:t>
      </w:r>
      <w:r>
        <w:rPr>
          <w:rFonts w:hint="eastAsia"/>
        </w:rPr>
        <w:t>技术规范</w:t>
      </w:r>
      <w:r>
        <w:tab/>
      </w:r>
      <w:r>
        <w:fldChar w:fldCharType="begin"/>
      </w:r>
      <w:r>
        <w:instrText xml:space="preserve"> PAGEREF _Toc1117 \h </w:instrText>
      </w:r>
      <w:r>
        <w:fldChar w:fldCharType="separate"/>
      </w:r>
      <w:r>
        <w:t>7</w:t>
      </w:r>
      <w:r>
        <w:fldChar w:fldCharType="end"/>
      </w:r>
      <w:r>
        <w:rPr>
          <w:rFonts w:asciiTheme="minorEastAsia" w:hAnsiTheme="minorEastAsia" w:eastAsiaTheme="minorEastAsia"/>
          <w:szCs w:val="21"/>
        </w:rPr>
        <w:fldChar w:fldCharType="end"/>
      </w:r>
    </w:p>
    <w:p w14:paraId="2B61FA9C">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_Toc5574 </w:instrText>
      </w:r>
      <w:r>
        <w:rPr>
          <w:rFonts w:asciiTheme="minorEastAsia" w:hAnsiTheme="minorEastAsia" w:eastAsiaTheme="minorEastAsia"/>
          <w:szCs w:val="21"/>
        </w:rPr>
        <w:fldChar w:fldCharType="separate"/>
      </w:r>
      <w:r>
        <w:rPr>
          <w:rFonts w:hint="default" w:ascii="Arial Black" w:hAnsi="Arial Black" w:eastAsia="黑体"/>
        </w:rPr>
        <w:t xml:space="preserve">2.2.5 </w:t>
      </w:r>
      <w:r>
        <w:rPr>
          <w:rFonts w:hint="eastAsia"/>
        </w:rPr>
        <w:t>安全性保障</w:t>
      </w:r>
      <w:r>
        <w:tab/>
      </w:r>
      <w:r>
        <w:fldChar w:fldCharType="begin"/>
      </w:r>
      <w:r>
        <w:instrText xml:space="preserve"> PAGEREF _Toc5574 \h </w:instrText>
      </w:r>
      <w:r>
        <w:fldChar w:fldCharType="separate"/>
      </w:r>
      <w:r>
        <w:t>7</w:t>
      </w:r>
      <w:r>
        <w:fldChar w:fldCharType="end"/>
      </w:r>
      <w:r>
        <w:rPr>
          <w:rFonts w:asciiTheme="minorEastAsia" w:hAnsiTheme="minorEastAsia" w:eastAsiaTheme="minorEastAsia"/>
          <w:szCs w:val="21"/>
        </w:rPr>
        <w:fldChar w:fldCharType="end"/>
      </w:r>
    </w:p>
    <w:p w14:paraId="18FCE761">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_Toc29151 </w:instrText>
      </w:r>
      <w:r>
        <w:rPr>
          <w:rFonts w:asciiTheme="minorEastAsia" w:hAnsiTheme="minorEastAsia" w:eastAsiaTheme="minorEastAsia"/>
          <w:szCs w:val="21"/>
        </w:rPr>
        <w:fldChar w:fldCharType="separate"/>
      </w:r>
      <w:r>
        <w:rPr>
          <w:rFonts w:hint="default" w:ascii="Arial Black" w:hAnsi="Arial Black" w:eastAsia="黑体"/>
        </w:rPr>
        <w:t xml:space="preserve">2.2.6 </w:t>
      </w:r>
      <w:r>
        <w:rPr>
          <w:rFonts w:hint="eastAsia"/>
          <w:highlight w:val="yellow"/>
          <w:lang w:val="en-US" w:eastAsia="zh-CN"/>
        </w:rPr>
        <w:t>模板管理中心</w:t>
      </w:r>
      <w:r>
        <w:tab/>
      </w:r>
      <w:r>
        <w:fldChar w:fldCharType="begin"/>
      </w:r>
      <w:r>
        <w:instrText xml:space="preserve"> PAGEREF _Toc29151 \h </w:instrText>
      </w:r>
      <w:r>
        <w:fldChar w:fldCharType="separate"/>
      </w:r>
      <w:r>
        <w:t>8</w:t>
      </w:r>
      <w:r>
        <w:fldChar w:fldCharType="end"/>
      </w:r>
      <w:r>
        <w:rPr>
          <w:rFonts w:asciiTheme="minorEastAsia" w:hAnsiTheme="minorEastAsia" w:eastAsiaTheme="minorEastAsia"/>
          <w:szCs w:val="21"/>
        </w:rPr>
        <w:fldChar w:fldCharType="end"/>
      </w:r>
    </w:p>
    <w:p w14:paraId="51A82C66">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_Toc9160 </w:instrText>
      </w:r>
      <w:r>
        <w:rPr>
          <w:rFonts w:asciiTheme="minorEastAsia" w:hAnsiTheme="minorEastAsia" w:eastAsiaTheme="minorEastAsia"/>
          <w:szCs w:val="21"/>
        </w:rPr>
        <w:fldChar w:fldCharType="separate"/>
      </w:r>
      <w:r>
        <w:rPr>
          <w:rFonts w:hint="default" w:ascii="Arial Black" w:hAnsi="Arial Black" w:eastAsia="黑体"/>
        </w:rPr>
        <w:t xml:space="preserve">2.2.7 </w:t>
      </w:r>
      <w:r>
        <w:rPr>
          <w:rFonts w:hint="eastAsia"/>
          <w:highlight w:val="yellow"/>
        </w:rPr>
        <w:t>授权中心</w:t>
      </w:r>
      <w:r>
        <w:tab/>
      </w:r>
      <w:r>
        <w:fldChar w:fldCharType="begin"/>
      </w:r>
      <w:r>
        <w:instrText xml:space="preserve"> PAGEREF _Toc9160 \h </w:instrText>
      </w:r>
      <w:r>
        <w:fldChar w:fldCharType="separate"/>
      </w:r>
      <w:r>
        <w:t>8</w:t>
      </w:r>
      <w:r>
        <w:fldChar w:fldCharType="end"/>
      </w:r>
      <w:r>
        <w:rPr>
          <w:rFonts w:asciiTheme="minorEastAsia" w:hAnsiTheme="minorEastAsia" w:eastAsiaTheme="minorEastAsia"/>
          <w:szCs w:val="21"/>
        </w:rPr>
        <w:fldChar w:fldCharType="end"/>
      </w:r>
    </w:p>
    <w:p w14:paraId="171A6633">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_Toc5601 </w:instrText>
      </w:r>
      <w:r>
        <w:rPr>
          <w:rFonts w:asciiTheme="minorEastAsia" w:hAnsiTheme="minorEastAsia" w:eastAsiaTheme="minorEastAsia"/>
          <w:szCs w:val="21"/>
        </w:rPr>
        <w:fldChar w:fldCharType="separate"/>
      </w:r>
      <w:r>
        <w:rPr>
          <w:rFonts w:hint="default" w:ascii="Arial Black" w:hAnsi="Arial Black" w:eastAsia="黑体"/>
        </w:rPr>
        <w:t xml:space="preserve">2.2.8 </w:t>
      </w:r>
      <w:r>
        <w:rPr>
          <w:rFonts w:hint="eastAsia"/>
        </w:rPr>
        <w:t>流程中心</w:t>
      </w:r>
      <w:r>
        <w:tab/>
      </w:r>
      <w:r>
        <w:fldChar w:fldCharType="begin"/>
      </w:r>
      <w:r>
        <w:instrText xml:space="preserve"> PAGEREF _Toc5601 \h </w:instrText>
      </w:r>
      <w:r>
        <w:fldChar w:fldCharType="separate"/>
      </w:r>
      <w:r>
        <w:t>9</w:t>
      </w:r>
      <w:r>
        <w:fldChar w:fldCharType="end"/>
      </w:r>
      <w:r>
        <w:rPr>
          <w:rFonts w:asciiTheme="minorEastAsia" w:hAnsiTheme="minorEastAsia" w:eastAsiaTheme="minorEastAsia"/>
          <w:szCs w:val="21"/>
        </w:rPr>
        <w:fldChar w:fldCharType="end"/>
      </w:r>
    </w:p>
    <w:p w14:paraId="1BE79180">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_Toc22729 </w:instrText>
      </w:r>
      <w:r>
        <w:rPr>
          <w:rFonts w:asciiTheme="minorEastAsia" w:hAnsiTheme="minorEastAsia" w:eastAsiaTheme="minorEastAsia"/>
          <w:szCs w:val="21"/>
        </w:rPr>
        <w:fldChar w:fldCharType="separate"/>
      </w:r>
      <w:r>
        <w:rPr>
          <w:rFonts w:hint="default" w:ascii="Arial Black" w:hAnsi="Arial Black" w:eastAsia="黑体"/>
        </w:rPr>
        <w:t xml:space="preserve">2.2.9 </w:t>
      </w:r>
      <w:r>
        <w:rPr>
          <w:rFonts w:hint="eastAsia"/>
        </w:rPr>
        <w:t>综合管理中心</w:t>
      </w:r>
      <w:r>
        <w:tab/>
      </w:r>
      <w:r>
        <w:fldChar w:fldCharType="begin"/>
      </w:r>
      <w:r>
        <w:instrText xml:space="preserve"> PAGEREF _Toc22729 \h </w:instrText>
      </w:r>
      <w:r>
        <w:fldChar w:fldCharType="separate"/>
      </w:r>
      <w:r>
        <w:t>9</w:t>
      </w:r>
      <w:r>
        <w:fldChar w:fldCharType="end"/>
      </w:r>
      <w:r>
        <w:rPr>
          <w:rFonts w:asciiTheme="minorEastAsia" w:hAnsiTheme="minorEastAsia" w:eastAsiaTheme="minorEastAsia"/>
          <w:szCs w:val="21"/>
        </w:rPr>
        <w:fldChar w:fldCharType="end"/>
      </w:r>
    </w:p>
    <w:p w14:paraId="2DFCD4BF">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_Toc29288 </w:instrText>
      </w:r>
      <w:r>
        <w:rPr>
          <w:rFonts w:asciiTheme="minorEastAsia" w:hAnsiTheme="minorEastAsia" w:eastAsiaTheme="minorEastAsia"/>
          <w:szCs w:val="21"/>
        </w:rPr>
        <w:fldChar w:fldCharType="separate"/>
      </w:r>
      <w:r>
        <w:rPr>
          <w:rFonts w:hint="default" w:ascii="Arial Black" w:hAnsi="Arial Black" w:eastAsia="黑体"/>
        </w:rPr>
        <w:t xml:space="preserve">2.2.10 </w:t>
      </w:r>
      <w:r>
        <w:rPr>
          <w:rFonts w:hint="eastAsia"/>
        </w:rPr>
        <w:t>风险监测中心</w:t>
      </w:r>
      <w:r>
        <w:tab/>
      </w:r>
      <w:r>
        <w:fldChar w:fldCharType="begin"/>
      </w:r>
      <w:r>
        <w:instrText xml:space="preserve"> PAGEREF _Toc29288 \h </w:instrText>
      </w:r>
      <w:r>
        <w:fldChar w:fldCharType="separate"/>
      </w:r>
      <w:r>
        <w:t>10</w:t>
      </w:r>
      <w:r>
        <w:fldChar w:fldCharType="end"/>
      </w:r>
      <w:r>
        <w:rPr>
          <w:rFonts w:asciiTheme="minorEastAsia" w:hAnsiTheme="minorEastAsia" w:eastAsiaTheme="minorEastAsia"/>
          <w:szCs w:val="21"/>
        </w:rPr>
        <w:fldChar w:fldCharType="end"/>
      </w:r>
    </w:p>
    <w:p w14:paraId="3F5F8380">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_Toc13492 </w:instrText>
      </w:r>
      <w:r>
        <w:rPr>
          <w:rFonts w:asciiTheme="minorEastAsia" w:hAnsiTheme="minorEastAsia" w:eastAsiaTheme="minorEastAsia"/>
          <w:szCs w:val="21"/>
        </w:rPr>
        <w:fldChar w:fldCharType="separate"/>
      </w:r>
      <w:r>
        <w:rPr>
          <w:rFonts w:hint="default" w:ascii="Arial Black" w:hAnsi="Arial Black" w:eastAsia="黑体"/>
        </w:rPr>
        <w:t xml:space="preserve">2.2.11 </w:t>
      </w:r>
      <w:r>
        <w:rPr>
          <w:rFonts w:hint="eastAsia"/>
        </w:rPr>
        <w:t>信贷作业中心</w:t>
      </w:r>
      <w:r>
        <w:tab/>
      </w:r>
      <w:r>
        <w:fldChar w:fldCharType="begin"/>
      </w:r>
      <w:r>
        <w:instrText xml:space="preserve"> PAGEREF _Toc13492 \h </w:instrText>
      </w:r>
      <w:r>
        <w:fldChar w:fldCharType="separate"/>
      </w:r>
      <w:r>
        <w:t>10</w:t>
      </w:r>
      <w:r>
        <w:fldChar w:fldCharType="end"/>
      </w:r>
      <w:r>
        <w:rPr>
          <w:rFonts w:asciiTheme="minorEastAsia" w:hAnsiTheme="minorEastAsia" w:eastAsiaTheme="minorEastAsia"/>
          <w:szCs w:val="21"/>
        </w:rPr>
        <w:fldChar w:fldCharType="end"/>
      </w:r>
    </w:p>
    <w:p w14:paraId="65AD6318">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_Toc24008 </w:instrText>
      </w:r>
      <w:r>
        <w:rPr>
          <w:rFonts w:asciiTheme="minorEastAsia" w:hAnsiTheme="minorEastAsia" w:eastAsiaTheme="minorEastAsia"/>
          <w:szCs w:val="21"/>
        </w:rPr>
        <w:fldChar w:fldCharType="separate"/>
      </w:r>
      <w:r>
        <w:rPr>
          <w:rFonts w:hint="default" w:ascii="Arial Black" w:hAnsi="Arial Black" w:eastAsia="黑体"/>
        </w:rPr>
        <w:t xml:space="preserve">2.2.12 </w:t>
      </w:r>
      <w:r>
        <w:rPr>
          <w:rFonts w:hint="eastAsia"/>
        </w:rPr>
        <w:t>客户中心</w:t>
      </w:r>
      <w:r>
        <w:tab/>
      </w:r>
      <w:r>
        <w:fldChar w:fldCharType="begin"/>
      </w:r>
      <w:r>
        <w:instrText xml:space="preserve"> PAGEREF _Toc24008 \h </w:instrText>
      </w:r>
      <w:r>
        <w:fldChar w:fldCharType="separate"/>
      </w:r>
      <w:r>
        <w:t>11</w:t>
      </w:r>
      <w:r>
        <w:fldChar w:fldCharType="end"/>
      </w:r>
      <w:r>
        <w:rPr>
          <w:rFonts w:asciiTheme="minorEastAsia" w:hAnsiTheme="minorEastAsia" w:eastAsiaTheme="minorEastAsia"/>
          <w:szCs w:val="21"/>
        </w:rPr>
        <w:fldChar w:fldCharType="end"/>
      </w:r>
    </w:p>
    <w:p w14:paraId="1870289F">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_Toc31321 </w:instrText>
      </w:r>
      <w:r>
        <w:rPr>
          <w:rFonts w:asciiTheme="minorEastAsia" w:hAnsiTheme="minorEastAsia" w:eastAsiaTheme="minorEastAsia"/>
          <w:szCs w:val="21"/>
        </w:rPr>
        <w:fldChar w:fldCharType="separate"/>
      </w:r>
      <w:r>
        <w:rPr>
          <w:rFonts w:hint="default" w:ascii="Arial Black" w:hAnsi="Arial Black" w:eastAsia="黑体"/>
        </w:rPr>
        <w:t xml:space="preserve">2.2.13 </w:t>
      </w:r>
      <w:r>
        <w:rPr>
          <w:rFonts w:hint="eastAsia"/>
        </w:rPr>
        <w:t>额度中心</w:t>
      </w:r>
      <w:r>
        <w:tab/>
      </w:r>
      <w:r>
        <w:fldChar w:fldCharType="begin"/>
      </w:r>
      <w:r>
        <w:instrText xml:space="preserve"> PAGEREF _Toc31321 \h </w:instrText>
      </w:r>
      <w:r>
        <w:fldChar w:fldCharType="separate"/>
      </w:r>
      <w:r>
        <w:t>11</w:t>
      </w:r>
      <w:r>
        <w:fldChar w:fldCharType="end"/>
      </w:r>
      <w:r>
        <w:rPr>
          <w:rFonts w:asciiTheme="minorEastAsia" w:hAnsiTheme="minorEastAsia" w:eastAsiaTheme="minorEastAsia"/>
          <w:szCs w:val="21"/>
        </w:rPr>
        <w:fldChar w:fldCharType="end"/>
      </w:r>
    </w:p>
    <w:p w14:paraId="08EF84C0">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_Toc26158 </w:instrText>
      </w:r>
      <w:r>
        <w:rPr>
          <w:rFonts w:asciiTheme="minorEastAsia" w:hAnsiTheme="minorEastAsia" w:eastAsiaTheme="minorEastAsia"/>
          <w:szCs w:val="21"/>
        </w:rPr>
        <w:fldChar w:fldCharType="separate"/>
      </w:r>
      <w:r>
        <w:rPr>
          <w:rFonts w:hint="default" w:ascii="Arial Black" w:hAnsi="Arial Black" w:eastAsia="黑体"/>
        </w:rPr>
        <w:t xml:space="preserve">2.2.14 </w:t>
      </w:r>
      <w:r>
        <w:rPr>
          <w:rFonts w:hint="eastAsia"/>
        </w:rPr>
        <w:t>押品中心</w:t>
      </w:r>
      <w:r>
        <w:tab/>
      </w:r>
      <w:r>
        <w:fldChar w:fldCharType="begin"/>
      </w:r>
      <w:r>
        <w:instrText xml:space="preserve"> PAGEREF _Toc26158 \h </w:instrText>
      </w:r>
      <w:r>
        <w:fldChar w:fldCharType="separate"/>
      </w:r>
      <w:r>
        <w:t>12</w:t>
      </w:r>
      <w:r>
        <w:fldChar w:fldCharType="end"/>
      </w:r>
      <w:r>
        <w:rPr>
          <w:rFonts w:asciiTheme="minorEastAsia" w:hAnsiTheme="minorEastAsia" w:eastAsiaTheme="minorEastAsia"/>
          <w:szCs w:val="21"/>
        </w:rPr>
        <w:fldChar w:fldCharType="end"/>
      </w:r>
    </w:p>
    <w:p w14:paraId="1EC5D17B">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_Toc839 </w:instrText>
      </w:r>
      <w:r>
        <w:rPr>
          <w:rFonts w:asciiTheme="minorEastAsia" w:hAnsiTheme="minorEastAsia" w:eastAsiaTheme="minorEastAsia"/>
          <w:szCs w:val="21"/>
        </w:rPr>
        <w:fldChar w:fldCharType="separate"/>
      </w:r>
      <w:r>
        <w:rPr>
          <w:rFonts w:hint="default" w:ascii="Arial Black" w:hAnsi="Arial Black" w:eastAsia="黑体"/>
        </w:rPr>
        <w:t xml:space="preserve">2.2.15 </w:t>
      </w:r>
      <w:r>
        <w:rPr>
          <w:rFonts w:hint="eastAsia"/>
        </w:rPr>
        <w:t>产品中心</w:t>
      </w:r>
      <w:r>
        <w:tab/>
      </w:r>
      <w:r>
        <w:fldChar w:fldCharType="begin"/>
      </w:r>
      <w:r>
        <w:instrText xml:space="preserve"> PAGEREF _Toc839 \h </w:instrText>
      </w:r>
      <w:r>
        <w:fldChar w:fldCharType="separate"/>
      </w:r>
      <w:r>
        <w:t>12</w:t>
      </w:r>
      <w:r>
        <w:fldChar w:fldCharType="end"/>
      </w:r>
      <w:r>
        <w:rPr>
          <w:rFonts w:asciiTheme="minorEastAsia" w:hAnsiTheme="minorEastAsia" w:eastAsiaTheme="minorEastAsia"/>
          <w:szCs w:val="21"/>
        </w:rPr>
        <w:fldChar w:fldCharType="end"/>
      </w:r>
    </w:p>
    <w:p w14:paraId="75998559">
      <w:pPr>
        <w:pStyle w:val="3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_Toc23198 </w:instrText>
      </w:r>
      <w:r>
        <w:rPr>
          <w:rFonts w:asciiTheme="minorEastAsia" w:hAnsiTheme="minorEastAsia" w:eastAsiaTheme="minorEastAsia"/>
          <w:szCs w:val="21"/>
        </w:rPr>
        <w:fldChar w:fldCharType="separate"/>
      </w:r>
      <w:r>
        <w:rPr>
          <w:rFonts w:hint="default" w:ascii="Arial Black" w:hAnsi="Arial Black" w:eastAsia="仿宋"/>
        </w:rPr>
        <w:t xml:space="preserve">2.3 </w:t>
      </w:r>
      <w:r>
        <w:rPr>
          <w:rFonts w:hint="eastAsia"/>
        </w:rPr>
        <w:t>测试案例</w:t>
      </w:r>
      <w:r>
        <w:tab/>
      </w:r>
      <w:r>
        <w:fldChar w:fldCharType="begin"/>
      </w:r>
      <w:r>
        <w:instrText xml:space="preserve"> PAGEREF _Toc23198 \h </w:instrText>
      </w:r>
      <w:r>
        <w:fldChar w:fldCharType="separate"/>
      </w:r>
      <w:r>
        <w:t>13</w:t>
      </w:r>
      <w:r>
        <w:fldChar w:fldCharType="end"/>
      </w:r>
      <w:r>
        <w:rPr>
          <w:rFonts w:asciiTheme="minorEastAsia" w:hAnsiTheme="minorEastAsia" w:eastAsiaTheme="minorEastAsia"/>
          <w:szCs w:val="21"/>
        </w:rPr>
        <w:fldChar w:fldCharType="end"/>
      </w:r>
    </w:p>
    <w:p w14:paraId="74F9BDDA">
      <w:pPr>
        <w:pStyle w:val="23"/>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_Toc5982 </w:instrText>
      </w:r>
      <w:r>
        <w:rPr>
          <w:rFonts w:asciiTheme="minorEastAsia" w:hAnsiTheme="minorEastAsia" w:eastAsiaTheme="minorEastAsia"/>
          <w:szCs w:val="21"/>
        </w:rPr>
        <w:fldChar w:fldCharType="separate"/>
      </w:r>
      <w:r>
        <w:rPr>
          <w:rFonts w:hint="default" w:ascii="Arial Black" w:hAnsi="Arial Black" w:eastAsia="黑体"/>
        </w:rPr>
        <w:t xml:space="preserve">2.3.1 </w:t>
      </w:r>
      <w:r>
        <w:rPr>
          <w:rFonts w:hint="eastAsia"/>
        </w:rPr>
        <w:t>业务测试案例</w:t>
      </w:r>
      <w:r>
        <w:tab/>
      </w:r>
      <w:r>
        <w:fldChar w:fldCharType="begin"/>
      </w:r>
      <w:r>
        <w:instrText xml:space="preserve"> PAGEREF _Toc5982 \h </w:instrText>
      </w:r>
      <w:r>
        <w:fldChar w:fldCharType="separate"/>
      </w:r>
      <w:r>
        <w:t>13</w:t>
      </w:r>
      <w:r>
        <w:fldChar w:fldCharType="end"/>
      </w:r>
      <w:r>
        <w:rPr>
          <w:rFonts w:asciiTheme="minorEastAsia" w:hAnsiTheme="minorEastAsia" w:eastAsiaTheme="minorEastAsia"/>
          <w:szCs w:val="21"/>
        </w:rPr>
        <w:fldChar w:fldCharType="end"/>
      </w:r>
    </w:p>
    <w:p w14:paraId="186A1B8D">
      <w:pPr>
        <w:pStyle w:val="31"/>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_Toc27844 </w:instrText>
      </w:r>
      <w:r>
        <w:rPr>
          <w:rFonts w:asciiTheme="minorEastAsia" w:hAnsiTheme="minorEastAsia" w:eastAsiaTheme="minorEastAsia"/>
          <w:szCs w:val="21"/>
        </w:rPr>
        <w:fldChar w:fldCharType="separate"/>
      </w:r>
      <w:r>
        <w:rPr>
          <w:rFonts w:hint="default"/>
        </w:rPr>
        <w:t xml:space="preserve">1) </w:t>
      </w:r>
      <w:r>
        <w:rPr>
          <w:rFonts w:hint="eastAsia" w:ascii="仿宋" w:hAnsi="仿宋" w:eastAsia="仿宋" w:cs="仿宋"/>
          <w:bCs w:val="0"/>
          <w:szCs w:val="28"/>
        </w:rPr>
        <w:t>案例1-新产品全流程办理案例</w:t>
      </w:r>
      <w:r>
        <w:tab/>
      </w:r>
      <w:r>
        <w:fldChar w:fldCharType="begin"/>
      </w:r>
      <w:r>
        <w:instrText xml:space="preserve"> PAGEREF _Toc27844 \h </w:instrText>
      </w:r>
      <w:r>
        <w:fldChar w:fldCharType="separate"/>
      </w:r>
      <w:r>
        <w:t>13</w:t>
      </w:r>
      <w:r>
        <w:fldChar w:fldCharType="end"/>
      </w:r>
      <w:r>
        <w:rPr>
          <w:rFonts w:asciiTheme="minorEastAsia" w:hAnsiTheme="minorEastAsia" w:eastAsiaTheme="minorEastAsia"/>
          <w:szCs w:val="21"/>
        </w:rPr>
        <w:fldChar w:fldCharType="end"/>
      </w:r>
    </w:p>
    <w:p w14:paraId="7D2D204A">
      <w:pPr>
        <w:pStyle w:val="31"/>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_Toc3544 </w:instrText>
      </w:r>
      <w:r>
        <w:rPr>
          <w:rFonts w:asciiTheme="minorEastAsia" w:hAnsiTheme="minorEastAsia" w:eastAsiaTheme="minorEastAsia"/>
          <w:szCs w:val="21"/>
        </w:rPr>
        <w:fldChar w:fldCharType="separate"/>
      </w:r>
      <w:r>
        <w:rPr>
          <w:rFonts w:hint="default" w:ascii="仿宋" w:hAnsi="仿宋" w:eastAsia="仿宋" w:cs="仿宋"/>
          <w:bCs w:val="0"/>
          <w:szCs w:val="28"/>
        </w:rPr>
        <w:t xml:space="preserve">2) </w:t>
      </w:r>
      <w:r>
        <w:rPr>
          <w:rFonts w:hint="eastAsia" w:ascii="仿宋" w:hAnsi="仿宋" w:eastAsia="仿宋" w:cs="仿宋"/>
          <w:bCs w:val="0"/>
          <w:szCs w:val="28"/>
        </w:rPr>
        <w:t>案例2-流程配置案例</w:t>
      </w:r>
      <w:r>
        <w:tab/>
      </w:r>
      <w:r>
        <w:fldChar w:fldCharType="begin"/>
      </w:r>
      <w:r>
        <w:instrText xml:space="preserve"> PAGEREF _Toc3544 \h </w:instrText>
      </w:r>
      <w:r>
        <w:fldChar w:fldCharType="separate"/>
      </w:r>
      <w:r>
        <w:t>14</w:t>
      </w:r>
      <w:r>
        <w:fldChar w:fldCharType="end"/>
      </w:r>
      <w:r>
        <w:rPr>
          <w:rFonts w:asciiTheme="minorEastAsia" w:hAnsiTheme="minorEastAsia" w:eastAsiaTheme="minorEastAsia"/>
          <w:szCs w:val="21"/>
        </w:rPr>
        <w:fldChar w:fldCharType="end"/>
      </w:r>
    </w:p>
    <w:p w14:paraId="11E2155C">
      <w:pPr>
        <w:pStyle w:val="31"/>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_Toc14905 </w:instrText>
      </w:r>
      <w:r>
        <w:rPr>
          <w:rFonts w:asciiTheme="minorEastAsia" w:hAnsiTheme="minorEastAsia" w:eastAsiaTheme="minorEastAsia"/>
          <w:szCs w:val="21"/>
        </w:rPr>
        <w:fldChar w:fldCharType="separate"/>
      </w:r>
      <w:r>
        <w:rPr>
          <w:rFonts w:hint="default" w:ascii="仿宋" w:hAnsi="仿宋" w:eastAsia="仿宋" w:cs="仿宋"/>
          <w:bCs w:val="0"/>
          <w:szCs w:val="28"/>
          <w:lang w:eastAsia="zh-Hans"/>
        </w:rPr>
        <w:t xml:space="preserve">3) </w:t>
      </w:r>
      <w:r>
        <w:rPr>
          <w:rFonts w:hint="eastAsia" w:ascii="仿宋" w:hAnsi="仿宋" w:eastAsia="仿宋" w:cs="仿宋"/>
          <w:bCs w:val="0"/>
          <w:szCs w:val="28"/>
          <w:lang w:eastAsia="zh-Hans"/>
        </w:rPr>
        <w:t>案例</w:t>
      </w:r>
      <w:r>
        <w:rPr>
          <w:rFonts w:ascii="仿宋" w:hAnsi="仿宋" w:eastAsia="仿宋" w:cs="仿宋"/>
          <w:bCs w:val="0"/>
          <w:szCs w:val="28"/>
          <w:lang w:eastAsia="zh-Hans"/>
        </w:rPr>
        <w:t>3</w:t>
      </w:r>
      <w:r>
        <w:rPr>
          <w:rFonts w:hint="eastAsia" w:ascii="仿宋" w:hAnsi="仿宋" w:eastAsia="仿宋" w:cs="仿宋"/>
          <w:bCs w:val="0"/>
          <w:szCs w:val="28"/>
        </w:rPr>
        <w:t>-</w:t>
      </w:r>
      <w:r>
        <w:rPr>
          <w:rFonts w:hint="eastAsia" w:ascii="仿宋" w:hAnsi="仿宋" w:eastAsia="仿宋" w:cs="仿宋"/>
          <w:bCs w:val="0"/>
          <w:szCs w:val="28"/>
          <w:lang w:eastAsia="zh-Hans"/>
        </w:rPr>
        <w:t>系统配置报表生成案例</w:t>
      </w:r>
      <w:r>
        <w:tab/>
      </w:r>
      <w:r>
        <w:fldChar w:fldCharType="begin"/>
      </w:r>
      <w:r>
        <w:instrText xml:space="preserve"> PAGEREF _Toc14905 \h </w:instrText>
      </w:r>
      <w:r>
        <w:fldChar w:fldCharType="separate"/>
      </w:r>
      <w:r>
        <w:t>15</w:t>
      </w:r>
      <w:r>
        <w:fldChar w:fldCharType="end"/>
      </w:r>
      <w:r>
        <w:rPr>
          <w:rFonts w:asciiTheme="minorEastAsia" w:hAnsiTheme="minorEastAsia" w:eastAsiaTheme="minorEastAsia"/>
          <w:szCs w:val="21"/>
        </w:rPr>
        <w:fldChar w:fldCharType="end"/>
      </w:r>
    </w:p>
    <w:p w14:paraId="08B41076">
      <w:pPr>
        <w:pStyle w:val="30"/>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_Toc27628 </w:instrText>
      </w:r>
      <w:r>
        <w:rPr>
          <w:rFonts w:asciiTheme="minorEastAsia" w:hAnsiTheme="minorEastAsia" w:eastAsiaTheme="minorEastAsia"/>
          <w:szCs w:val="21"/>
        </w:rPr>
        <w:fldChar w:fldCharType="separate"/>
      </w:r>
      <w:r>
        <w:rPr>
          <w:rFonts w:hint="default" w:ascii="Arial Black" w:hAnsi="Arial Black"/>
        </w:rPr>
        <w:t xml:space="preserve">3 </w:t>
      </w:r>
      <w:r>
        <w:rPr>
          <w:rFonts w:hint="eastAsia"/>
        </w:rPr>
        <w:t>评分规则</w:t>
      </w:r>
      <w:r>
        <w:tab/>
      </w:r>
      <w:r>
        <w:fldChar w:fldCharType="begin"/>
      </w:r>
      <w:r>
        <w:instrText xml:space="preserve"> PAGEREF _Toc27628 \h </w:instrText>
      </w:r>
      <w:r>
        <w:fldChar w:fldCharType="separate"/>
      </w:r>
      <w:r>
        <w:t>15</w:t>
      </w:r>
      <w:r>
        <w:fldChar w:fldCharType="end"/>
      </w:r>
      <w:r>
        <w:rPr>
          <w:rFonts w:asciiTheme="minorEastAsia" w:hAnsiTheme="minorEastAsia" w:eastAsiaTheme="minorEastAsia"/>
          <w:szCs w:val="21"/>
        </w:rPr>
        <w:fldChar w:fldCharType="end"/>
      </w:r>
    </w:p>
    <w:p w14:paraId="4578175D">
      <w:pPr>
        <w:pStyle w:val="30"/>
        <w:tabs>
          <w:tab w:val="right" w:leader="dot" w:pos="8312"/>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HYPERLINK \l _Toc16703 </w:instrText>
      </w:r>
      <w:r>
        <w:rPr>
          <w:rFonts w:asciiTheme="minorEastAsia" w:hAnsiTheme="minorEastAsia" w:eastAsiaTheme="minorEastAsia"/>
          <w:szCs w:val="21"/>
        </w:rPr>
        <w:fldChar w:fldCharType="separate"/>
      </w:r>
      <w:r>
        <w:rPr>
          <w:rFonts w:hint="default" w:ascii="Arial Black" w:hAnsi="Arial Black"/>
        </w:rPr>
        <w:t xml:space="preserve">4 </w:t>
      </w:r>
      <w:r>
        <w:rPr>
          <w:rFonts w:hint="eastAsia"/>
        </w:rPr>
        <w:t>测评方式</w:t>
      </w:r>
      <w:r>
        <w:tab/>
      </w:r>
      <w:r>
        <w:fldChar w:fldCharType="begin"/>
      </w:r>
      <w:r>
        <w:instrText xml:space="preserve"> PAGEREF _Toc16703 \h </w:instrText>
      </w:r>
      <w:r>
        <w:fldChar w:fldCharType="separate"/>
      </w:r>
      <w:r>
        <w:t>15</w:t>
      </w:r>
      <w:r>
        <w:fldChar w:fldCharType="end"/>
      </w:r>
      <w:r>
        <w:rPr>
          <w:rFonts w:asciiTheme="minorEastAsia" w:hAnsiTheme="minorEastAsia" w:eastAsiaTheme="minorEastAsia"/>
          <w:szCs w:val="21"/>
        </w:rPr>
        <w:fldChar w:fldCharType="end"/>
      </w:r>
    </w:p>
    <w:p w14:paraId="17B5A5B0">
      <w:pPr>
        <w:pStyle w:val="30"/>
        <w:tabs>
          <w:tab w:val="left" w:pos="1260"/>
          <w:tab w:val="right" w:leader="dot" w:pos="8302"/>
        </w:tabs>
        <w:rPr>
          <w:rFonts w:asciiTheme="minorEastAsia" w:hAnsiTheme="minorEastAsia" w:eastAsiaTheme="minorEastAsia"/>
          <w:szCs w:val="21"/>
        </w:rPr>
      </w:pPr>
      <w:r>
        <w:rPr>
          <w:rFonts w:asciiTheme="minorEastAsia" w:hAnsiTheme="minorEastAsia" w:eastAsiaTheme="minorEastAsia"/>
          <w:szCs w:val="21"/>
        </w:rPr>
        <w:fldChar w:fldCharType="end"/>
      </w:r>
    </w:p>
    <w:p w14:paraId="706B3F27">
      <w:pPr>
        <w:pStyle w:val="3"/>
        <w:sectPr>
          <w:headerReference r:id="rId3" w:type="default"/>
          <w:pgSz w:w="11906" w:h="16838"/>
          <w:pgMar w:top="1440" w:right="1797" w:bottom="1440" w:left="1797" w:header="851" w:footer="992" w:gutter="0"/>
          <w:cols w:space="425" w:num="1"/>
          <w:docGrid w:type="lines" w:linePitch="312" w:charSpace="0"/>
        </w:sectPr>
      </w:pPr>
    </w:p>
    <w:p w14:paraId="59F13C1F">
      <w:pPr>
        <w:pStyle w:val="3"/>
      </w:pPr>
      <w:bookmarkStart w:id="0" w:name="_Toc24419"/>
      <w:bookmarkStart w:id="1" w:name="_Toc25882"/>
      <w:bookmarkStart w:id="2" w:name="_Toc886"/>
      <w:bookmarkStart w:id="3" w:name="_Toc29566"/>
      <w:bookmarkStart w:id="4" w:name="_Toc16672673"/>
      <w:r>
        <w:rPr>
          <w:rFonts w:hint="eastAsia"/>
        </w:rPr>
        <w:t>概述</w:t>
      </w:r>
      <w:bookmarkEnd w:id="0"/>
      <w:bookmarkEnd w:id="1"/>
      <w:bookmarkEnd w:id="2"/>
      <w:bookmarkEnd w:id="3"/>
    </w:p>
    <w:bookmarkEnd w:id="4"/>
    <w:p w14:paraId="43D35D77">
      <w:pPr>
        <w:pStyle w:val="4"/>
      </w:pPr>
      <w:bookmarkStart w:id="5" w:name="_Toc16672674"/>
      <w:bookmarkStart w:id="6" w:name="_Toc31283"/>
      <w:bookmarkStart w:id="7" w:name="_Toc30799"/>
      <w:bookmarkStart w:id="8" w:name="_Toc28852"/>
      <w:bookmarkStart w:id="9" w:name="_Toc23079"/>
      <w:r>
        <w:rPr>
          <w:rFonts w:hint="eastAsia"/>
        </w:rPr>
        <w:t>测评目的</w:t>
      </w:r>
      <w:bookmarkEnd w:id="5"/>
      <w:bookmarkEnd w:id="6"/>
      <w:bookmarkEnd w:id="7"/>
      <w:bookmarkEnd w:id="8"/>
      <w:bookmarkEnd w:id="9"/>
    </w:p>
    <w:p w14:paraId="50F313AC">
      <w:pPr>
        <w:pStyle w:val="20"/>
        <w:ind w:firstLine="560"/>
      </w:pPr>
      <w:bookmarkStart w:id="10" w:name="_Toc299356606"/>
      <w:r>
        <w:rPr>
          <w:rFonts w:hint="eastAsia"/>
        </w:rPr>
        <w:t>本次POC针对我行</w:t>
      </w:r>
      <w:r>
        <w:rPr>
          <w:rFonts w:hint="eastAsia"/>
          <w:lang w:eastAsia="zh-CN"/>
        </w:rPr>
        <w:t>新信贷系统项目群（信贷系统建设）</w:t>
      </w:r>
      <w:r>
        <w:rPr>
          <w:rFonts w:hint="eastAsia"/>
        </w:rPr>
        <w:t>项目(以下简称“新信贷项目”)的核心需求，重点验证意向供应商</w:t>
      </w:r>
      <w:bookmarkEnd w:id="10"/>
      <w:r>
        <w:rPr>
          <w:rFonts w:hint="eastAsia"/>
        </w:rPr>
        <w:t>（以下简称“厂商”）同类产品的成熟度和适用性，考察新信贷系统建设的业务能力、技术能力和实施能力。</w:t>
      </w:r>
    </w:p>
    <w:p w14:paraId="37AC23A0">
      <w:pPr>
        <w:pStyle w:val="4"/>
      </w:pPr>
      <w:bookmarkStart w:id="11" w:name="_Toc15246"/>
      <w:bookmarkStart w:id="12" w:name="_Toc5054"/>
      <w:bookmarkStart w:id="13" w:name="_Toc3078"/>
      <w:bookmarkStart w:id="14" w:name="_Toc16672675"/>
      <w:bookmarkStart w:id="15" w:name="_Toc25264"/>
      <w:r>
        <w:rPr>
          <w:rFonts w:hint="eastAsia"/>
        </w:rPr>
        <w:t>测评内容概述</w:t>
      </w:r>
      <w:bookmarkEnd w:id="11"/>
      <w:bookmarkEnd w:id="12"/>
      <w:bookmarkEnd w:id="13"/>
      <w:bookmarkEnd w:id="14"/>
      <w:bookmarkEnd w:id="15"/>
    </w:p>
    <w:p w14:paraId="5C06DB2F">
      <w:pPr>
        <w:pStyle w:val="20"/>
        <w:ind w:firstLine="560"/>
      </w:pPr>
      <w:bookmarkStart w:id="16" w:name="_Toc418023750"/>
      <w:r>
        <w:rPr>
          <w:rFonts w:hint="eastAsia"/>
        </w:rPr>
        <w:t>本项目测评内容将从业务需求满足度、关键功能模块需求满足度、非功能性需求的满足度等多个维度进行测评。</w:t>
      </w:r>
    </w:p>
    <w:p w14:paraId="2FD06081">
      <w:pPr>
        <w:pStyle w:val="20"/>
        <w:numPr>
          <w:ilvl w:val="0"/>
          <w:numId w:val="7"/>
        </w:numPr>
        <w:ind w:firstLine="560"/>
      </w:pPr>
      <w:r>
        <w:rPr>
          <w:rFonts w:hint="eastAsia"/>
        </w:rPr>
        <w:t>业务需求满足度：产品及实施方案是否覆盖我行业务场景；</w:t>
      </w:r>
    </w:p>
    <w:p w14:paraId="5695C25C">
      <w:pPr>
        <w:pStyle w:val="20"/>
        <w:numPr>
          <w:ilvl w:val="0"/>
          <w:numId w:val="7"/>
        </w:numPr>
        <w:ind w:firstLine="560"/>
      </w:pPr>
      <w:r>
        <w:rPr>
          <w:rFonts w:hint="eastAsia"/>
        </w:rPr>
        <w:t>关键功能模块需求满足度：对统一信贷门户、信贷作业中心、客户中心、额度中心、押品中心、产品中心、流程中心等关键功能模块的功能等进行评测，是否满足我行未来中长期信贷业务开展的需要；</w:t>
      </w:r>
    </w:p>
    <w:p w14:paraId="09CDAC2C">
      <w:pPr>
        <w:pStyle w:val="20"/>
        <w:numPr>
          <w:ilvl w:val="0"/>
          <w:numId w:val="7"/>
        </w:numPr>
        <w:ind w:firstLine="560"/>
      </w:pPr>
      <w:r>
        <w:rPr>
          <w:rFonts w:hint="eastAsia"/>
        </w:rPr>
        <w:t>非功能需求满足度：平台架构、扩展性、可运维可管理等方面是否符合我行要求。</w:t>
      </w:r>
    </w:p>
    <w:p w14:paraId="6E5CFCF3">
      <w:pPr>
        <w:pStyle w:val="4"/>
      </w:pPr>
      <w:bookmarkStart w:id="17" w:name="_Toc489365175"/>
      <w:bookmarkStart w:id="18" w:name="_Toc16672688"/>
      <w:bookmarkStart w:id="19" w:name="_Toc8961"/>
      <w:bookmarkStart w:id="20" w:name="_Toc28000"/>
      <w:bookmarkStart w:id="21" w:name="_Toc11594"/>
      <w:bookmarkStart w:id="22" w:name="_Toc12209"/>
      <w:r>
        <w:rPr>
          <w:rFonts w:hint="eastAsia"/>
        </w:rPr>
        <w:t>测</w:t>
      </w:r>
      <w:bookmarkEnd w:id="17"/>
      <w:bookmarkEnd w:id="18"/>
      <w:r>
        <w:rPr>
          <w:rFonts w:hint="eastAsia"/>
        </w:rPr>
        <w:t>评原则</w:t>
      </w:r>
      <w:bookmarkEnd w:id="19"/>
      <w:bookmarkEnd w:id="20"/>
      <w:bookmarkEnd w:id="21"/>
      <w:bookmarkEnd w:id="22"/>
    </w:p>
    <w:p w14:paraId="3C32D4D2">
      <w:pPr>
        <w:pStyle w:val="5"/>
      </w:pPr>
      <w:bookmarkStart w:id="23" w:name="_Toc16599"/>
      <w:bookmarkStart w:id="24" w:name="_Toc21521"/>
      <w:bookmarkStart w:id="25" w:name="_Toc9807"/>
      <w:bookmarkStart w:id="26" w:name="_Toc17080"/>
      <w:r>
        <w:rPr>
          <w:rFonts w:hint="eastAsia"/>
        </w:rPr>
        <w:t>公正要求</w:t>
      </w:r>
      <w:bookmarkEnd w:id="23"/>
      <w:bookmarkEnd w:id="24"/>
      <w:bookmarkEnd w:id="25"/>
      <w:bookmarkEnd w:id="26"/>
    </w:p>
    <w:p w14:paraId="52CF4C5F">
      <w:pPr>
        <w:pStyle w:val="20"/>
        <w:ind w:firstLine="560"/>
      </w:pPr>
      <w:r>
        <w:rPr>
          <w:rFonts w:hint="eastAsia"/>
        </w:rPr>
        <w:t>整个测评过程体现公平、公正、严密、严谨、严肃的原则；</w:t>
      </w:r>
    </w:p>
    <w:p w14:paraId="536CF354">
      <w:pPr>
        <w:pStyle w:val="20"/>
        <w:ind w:firstLine="560"/>
      </w:pPr>
      <w:r>
        <w:rPr>
          <w:rFonts w:hint="eastAsia"/>
        </w:rPr>
        <w:t>测评评价合理性原则，制定合理的测评内容及关注点，以客观事实为依据、实事求是表达测评结果。</w:t>
      </w:r>
    </w:p>
    <w:p w14:paraId="6A14E457">
      <w:pPr>
        <w:pStyle w:val="5"/>
      </w:pPr>
      <w:bookmarkStart w:id="27" w:name="_Toc16316"/>
      <w:bookmarkStart w:id="28" w:name="_Toc24173"/>
      <w:bookmarkStart w:id="29" w:name="_Toc3876"/>
      <w:bookmarkStart w:id="30" w:name="_Toc11146"/>
      <w:r>
        <w:rPr>
          <w:rFonts w:hint="eastAsia"/>
        </w:rPr>
        <w:t>时间要求</w:t>
      </w:r>
      <w:bookmarkEnd w:id="27"/>
      <w:bookmarkEnd w:id="28"/>
      <w:bookmarkEnd w:id="29"/>
      <w:bookmarkEnd w:id="30"/>
    </w:p>
    <w:p w14:paraId="20CA829C">
      <w:pPr>
        <w:ind w:firstLine="560" w:firstLineChars="200"/>
        <w:rPr>
          <w:rFonts w:ascii="仿宋" w:hAnsi="仿宋" w:eastAsia="仿宋" w:cs="仿宋"/>
          <w:sz w:val="28"/>
          <w:szCs w:val="28"/>
        </w:rPr>
      </w:pPr>
      <w:r>
        <w:rPr>
          <w:rFonts w:hint="eastAsia" w:ascii="仿宋" w:hAnsi="仿宋" w:eastAsia="仿宋" w:cs="仿宋"/>
          <w:sz w:val="28"/>
          <w:szCs w:val="28"/>
        </w:rPr>
        <w:t>本次POC时间以</w:t>
      </w:r>
      <w:r>
        <w:rPr>
          <w:rStyle w:val="68"/>
          <w:rFonts w:hint="eastAsia"/>
        </w:rPr>
        <w:t>测</w:t>
      </w:r>
      <w:r>
        <w:rPr>
          <w:rFonts w:hint="eastAsia" w:ascii="仿宋" w:hAnsi="仿宋" w:eastAsia="仿宋" w:cs="仿宋"/>
          <w:sz w:val="28"/>
          <w:szCs w:val="28"/>
        </w:rPr>
        <w:t>评时间要求为准，参测厂商不得以任何理由延长测评时间或中途暂停，如果参测厂商提前准备好测评环境，则提前进入测评阶段。</w:t>
      </w:r>
    </w:p>
    <w:p w14:paraId="5273A3A2">
      <w:pPr>
        <w:pStyle w:val="5"/>
      </w:pPr>
      <w:bookmarkStart w:id="31" w:name="_Toc21818"/>
      <w:bookmarkStart w:id="32" w:name="_Toc1089"/>
      <w:bookmarkStart w:id="33" w:name="_Toc32686"/>
      <w:bookmarkStart w:id="34" w:name="_Toc3990"/>
      <w:r>
        <w:rPr>
          <w:rFonts w:hint="eastAsia"/>
        </w:rPr>
        <w:t>保密要求</w:t>
      </w:r>
      <w:bookmarkEnd w:id="31"/>
      <w:bookmarkEnd w:id="32"/>
      <w:bookmarkEnd w:id="33"/>
      <w:bookmarkEnd w:id="34"/>
    </w:p>
    <w:p w14:paraId="3152C6AE">
      <w:pPr>
        <w:ind w:firstLine="560" w:firstLineChars="200"/>
        <w:rPr>
          <w:rFonts w:ascii="仿宋" w:hAnsi="仿宋" w:eastAsia="仿宋" w:cs="仿宋"/>
          <w:sz w:val="28"/>
          <w:szCs w:val="28"/>
        </w:rPr>
      </w:pPr>
      <w:r>
        <w:rPr>
          <w:rFonts w:hint="eastAsia" w:ascii="仿宋" w:hAnsi="仿宋" w:eastAsia="仿宋" w:cs="仿宋"/>
          <w:sz w:val="28"/>
          <w:szCs w:val="28"/>
        </w:rPr>
        <w:t>POC测评期间不得以任何形式（包括电子邮件、即时聊天工具、U盘和工作人员笔记本电脑等）将我行相关信息、文件或数据泄露,并在离场前由行方人员监督销毁。</w:t>
      </w:r>
    </w:p>
    <w:p w14:paraId="6687D238">
      <w:pPr>
        <w:ind w:firstLine="560" w:firstLineChars="200"/>
        <w:rPr>
          <w:rFonts w:ascii="仿宋" w:hAnsi="仿宋" w:eastAsia="仿宋" w:cs="仿宋"/>
          <w:sz w:val="28"/>
          <w:szCs w:val="28"/>
        </w:rPr>
      </w:pPr>
      <w:r>
        <w:rPr>
          <w:rFonts w:hint="eastAsia" w:ascii="仿宋" w:hAnsi="仿宋" w:eastAsia="仿宋" w:cs="仿宋"/>
          <w:sz w:val="28"/>
          <w:szCs w:val="28"/>
        </w:rPr>
        <w:t>POC测评结束后，参测厂商必须将本行提供的相关信息、文件或数据从测评设备及测评人员工作设备(包括电脑、移动介质和网盘等)中全部清除。</w:t>
      </w:r>
    </w:p>
    <w:p w14:paraId="605A77AA">
      <w:pPr>
        <w:ind w:firstLine="560" w:firstLineChars="200"/>
        <w:rPr>
          <w:rFonts w:ascii="仿宋" w:hAnsi="仿宋" w:eastAsia="仿宋" w:cs="仿宋"/>
          <w:sz w:val="28"/>
          <w:szCs w:val="28"/>
        </w:rPr>
      </w:pPr>
      <w:r>
        <w:rPr>
          <w:rFonts w:hint="eastAsia" w:ascii="仿宋" w:hAnsi="仿宋" w:eastAsia="仿宋" w:cs="仿宋"/>
          <w:sz w:val="28"/>
          <w:szCs w:val="28"/>
        </w:rPr>
        <w:t>如参测厂商安装任何带有知识产权的软件产品、数据模型等，银行方保证不复制，不外传，在调研完成后应将其从POC测评环境中删除；</w:t>
      </w:r>
    </w:p>
    <w:p w14:paraId="4A71D0BD">
      <w:pPr>
        <w:pStyle w:val="5"/>
      </w:pPr>
      <w:bookmarkStart w:id="35" w:name="_Toc9247"/>
      <w:bookmarkStart w:id="36" w:name="_Toc14771"/>
      <w:bookmarkStart w:id="37" w:name="_Toc25785"/>
      <w:bookmarkStart w:id="38" w:name="_Toc16665"/>
      <w:r>
        <w:rPr>
          <w:rFonts w:hint="eastAsia"/>
        </w:rPr>
        <w:t>诚信要求</w:t>
      </w:r>
      <w:bookmarkEnd w:id="35"/>
      <w:bookmarkEnd w:id="36"/>
      <w:bookmarkEnd w:id="37"/>
      <w:bookmarkEnd w:id="38"/>
    </w:p>
    <w:p w14:paraId="4065D200">
      <w:pPr>
        <w:ind w:firstLine="560" w:firstLineChars="200"/>
        <w:rPr>
          <w:rFonts w:ascii="仿宋" w:hAnsi="仿宋" w:eastAsia="仿宋" w:cs="仿宋"/>
          <w:sz w:val="28"/>
          <w:szCs w:val="28"/>
        </w:rPr>
      </w:pPr>
      <w:r>
        <w:rPr>
          <w:rFonts w:hint="eastAsia" w:ascii="仿宋" w:hAnsi="仿宋" w:eastAsia="仿宋" w:cs="仿宋"/>
          <w:sz w:val="28"/>
          <w:szCs w:val="28"/>
        </w:rPr>
        <w:t>本次测评过程中，各参测厂商需要在系统处理关键点记录日志，以备查询。如在系统请求接收，到处理返回接收点都必须记录相关时间日志，打印请求的处理耗时。测评完成后日志打包存档，以备后查。厂商在测评过程中一旦发现作弊情况，将取消测评资格，成绩作废。</w:t>
      </w:r>
    </w:p>
    <w:p w14:paraId="534A41B0">
      <w:pPr>
        <w:pStyle w:val="5"/>
      </w:pPr>
      <w:bookmarkStart w:id="39" w:name="_Toc11075"/>
      <w:bookmarkStart w:id="40" w:name="_Toc24427"/>
      <w:bookmarkStart w:id="41" w:name="_Toc29705"/>
      <w:bookmarkStart w:id="42" w:name="_Toc20200"/>
      <w:r>
        <w:rPr>
          <w:rFonts w:hint="eastAsia"/>
        </w:rPr>
        <w:t>其它要求</w:t>
      </w:r>
      <w:bookmarkEnd w:id="39"/>
      <w:bookmarkEnd w:id="40"/>
      <w:bookmarkEnd w:id="41"/>
      <w:bookmarkEnd w:id="42"/>
    </w:p>
    <w:p w14:paraId="37F11E0F">
      <w:pPr>
        <w:ind w:firstLine="560" w:firstLineChars="200"/>
        <w:rPr>
          <w:rFonts w:ascii="仿宋" w:hAnsi="仿宋" w:eastAsia="仿宋" w:cs="仿宋"/>
          <w:sz w:val="28"/>
          <w:szCs w:val="28"/>
        </w:rPr>
      </w:pPr>
      <w:r>
        <w:rPr>
          <w:rFonts w:hint="eastAsia" w:ascii="仿宋" w:hAnsi="仿宋" w:eastAsia="仿宋" w:cs="仿宋"/>
          <w:sz w:val="28"/>
          <w:szCs w:val="28"/>
        </w:rPr>
        <w:t>参测厂商应保证在测评期间遵守本行的各项规定；其它未尽事宜或临时调整，由本行POC测评小组解释执行。</w:t>
      </w:r>
      <w:r>
        <w:rPr>
          <w:rFonts w:hint="eastAsia" w:ascii="仿宋" w:hAnsi="仿宋" w:eastAsia="仿宋" w:cs="仿宋"/>
          <w:b/>
          <w:bCs/>
          <w:sz w:val="28"/>
          <w:szCs w:val="28"/>
        </w:rPr>
        <w:t>评测时请现场提供《法定代表人授权委托书》（见附录），不提供则视为放弃评测。</w:t>
      </w:r>
    </w:p>
    <w:bookmarkEnd w:id="16"/>
    <w:p w14:paraId="1B56999B">
      <w:pPr>
        <w:pStyle w:val="4"/>
      </w:pPr>
      <w:bookmarkStart w:id="43" w:name="_Toc18226"/>
      <w:bookmarkStart w:id="44" w:name="_Toc382"/>
      <w:bookmarkStart w:id="45" w:name="_Toc5268"/>
      <w:bookmarkStart w:id="46" w:name="_Toc21229"/>
      <w:bookmarkStart w:id="47" w:name="_Toc16672678"/>
      <w:bookmarkStart w:id="48" w:name="_Toc418023751"/>
      <w:r>
        <w:rPr>
          <w:rFonts w:hint="eastAsia"/>
        </w:rPr>
        <w:t>评测小组</w:t>
      </w:r>
      <w:bookmarkEnd w:id="43"/>
      <w:bookmarkEnd w:id="44"/>
      <w:bookmarkEnd w:id="45"/>
      <w:bookmarkEnd w:id="46"/>
    </w:p>
    <w:p w14:paraId="208C1FAE">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本项目评测小组由风险管理部、授信管理部、授信审批部、普惠贷款管理部、公司市场部、交易银行部、</w:t>
      </w:r>
      <w:r>
        <w:rPr>
          <w:rFonts w:hint="eastAsia" w:ascii="仿宋" w:hAnsi="仿宋" w:eastAsia="仿宋" w:cs="仿宋"/>
          <w:sz w:val="28"/>
          <w:szCs w:val="28"/>
          <w:highlight w:val="none"/>
          <w:lang w:val="en-US" w:eastAsia="zh-CN"/>
        </w:rPr>
        <w:t>信息科技部、南沙分行、广州分行的</w:t>
      </w:r>
      <w:r>
        <w:rPr>
          <w:rFonts w:hint="eastAsia" w:ascii="仿宋" w:hAnsi="仿宋" w:eastAsia="仿宋" w:cs="仿宋"/>
          <w:sz w:val="28"/>
          <w:szCs w:val="28"/>
          <w:highlight w:val="none"/>
        </w:rPr>
        <w:t>相关骨干组成。小组成员间、小组成员与厂商间应相互尊重、充分沟通，秉承公平、公正、严密、严谨、严肃的原则进行评测。</w:t>
      </w:r>
    </w:p>
    <w:p w14:paraId="4A2C64D0">
      <w:pPr>
        <w:pStyle w:val="4"/>
      </w:pPr>
      <w:bookmarkStart w:id="49" w:name="_Toc5030"/>
      <w:bookmarkStart w:id="50" w:name="_Toc32319"/>
      <w:bookmarkStart w:id="51" w:name="_Toc3542"/>
      <w:bookmarkStart w:id="52" w:name="_Toc30134"/>
      <w:r>
        <w:rPr>
          <w:rFonts w:hint="eastAsia"/>
        </w:rPr>
        <w:t>测评计划</w:t>
      </w:r>
      <w:bookmarkEnd w:id="49"/>
      <w:bookmarkEnd w:id="50"/>
      <w:bookmarkEnd w:id="51"/>
      <w:bookmarkEnd w:id="52"/>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006"/>
        <w:gridCol w:w="7094"/>
      </w:tblGrid>
      <w:tr w14:paraId="1BB7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trPr>
        <w:tc>
          <w:tcPr>
            <w:tcW w:w="5000" w:type="pct"/>
            <w:gridSpan w:val="2"/>
            <w:vAlign w:val="center"/>
          </w:tcPr>
          <w:p w14:paraId="32BD7EA7">
            <w:pPr>
              <w:rPr>
                <w:rFonts w:ascii="华文仿宋" w:hAnsi="华文仿宋" w:eastAsia="华文仿宋" w:cs="华文仿宋"/>
                <w:sz w:val="24"/>
              </w:rPr>
            </w:pPr>
            <w:r>
              <w:rPr>
                <w:rFonts w:hint="eastAsia" w:ascii="华文仿宋" w:hAnsi="华文仿宋" w:eastAsia="华文仿宋" w:cs="华文仿宋"/>
                <w:sz w:val="24"/>
              </w:rPr>
              <w:t>以报名时间截至后第1个自然日为T日</w:t>
            </w:r>
            <w:r>
              <w:rPr>
                <w:rFonts w:hint="eastAsia" w:ascii="华文仿宋" w:hAnsi="华文仿宋" w:eastAsia="华文仿宋" w:cs="华文仿宋"/>
                <w:sz w:val="24"/>
                <w:lang w:eastAsia="zh-CN"/>
              </w:rPr>
              <w:t>，</w:t>
            </w:r>
            <w:r>
              <w:rPr>
                <w:rFonts w:hint="eastAsia" w:ascii="华文仿宋" w:hAnsi="华文仿宋" w:eastAsia="华文仿宋" w:cs="华文仿宋"/>
                <w:sz w:val="24"/>
                <w:lang w:val="en-US" w:eastAsia="zh-CN"/>
              </w:rPr>
              <w:t>以下日期均按照自然日计算</w:t>
            </w:r>
            <w:r>
              <w:rPr>
                <w:rFonts w:hint="eastAsia" w:ascii="华文仿宋" w:hAnsi="华文仿宋" w:eastAsia="华文仿宋" w:cs="华文仿宋"/>
                <w:sz w:val="24"/>
              </w:rPr>
              <w:t>。</w:t>
            </w:r>
          </w:p>
        </w:tc>
      </w:tr>
      <w:tr w14:paraId="572E4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38068598">
            <w:pPr>
              <w:jc w:val="center"/>
              <w:textAlignment w:val="center"/>
              <w:rPr>
                <w:rFonts w:ascii="华文仿宋" w:hAnsi="华文仿宋" w:eastAsia="华文仿宋" w:cs="华文仿宋"/>
                <w:kern w:val="0"/>
                <w:sz w:val="24"/>
                <w:lang w:bidi="ar"/>
              </w:rPr>
            </w:pPr>
            <w:r>
              <w:rPr>
                <w:rFonts w:hint="eastAsia" w:ascii="华文仿宋" w:hAnsi="华文仿宋" w:eastAsia="华文仿宋" w:cs="华文仿宋"/>
                <w:kern w:val="0"/>
                <w:sz w:val="24"/>
                <w:lang w:eastAsia="zh-CN" w:bidi="ar"/>
              </w:rPr>
              <w:t>T+0</w:t>
            </w:r>
            <w:r>
              <w:rPr>
                <w:rFonts w:hint="eastAsia" w:ascii="华文仿宋" w:hAnsi="华文仿宋" w:eastAsia="华文仿宋" w:cs="华文仿宋"/>
                <w:kern w:val="0"/>
                <w:sz w:val="24"/>
                <w:lang w:bidi="ar"/>
              </w:rPr>
              <w:t>日</w:t>
            </w:r>
          </w:p>
        </w:tc>
        <w:tc>
          <w:tcPr>
            <w:tcW w:w="3897" w:type="pct"/>
            <w:vAlign w:val="center"/>
          </w:tcPr>
          <w:p w14:paraId="4E47F603">
            <w:pPr>
              <w:numPr>
                <w:ilvl w:val="0"/>
                <w:numId w:val="8"/>
              </w:numPr>
              <w:rPr>
                <w:rFonts w:ascii="华文仿宋" w:hAnsi="华文仿宋" w:eastAsia="华文仿宋" w:cs="华文仿宋"/>
                <w:kern w:val="0"/>
                <w:sz w:val="24"/>
                <w:lang w:bidi="ar"/>
              </w:rPr>
            </w:pPr>
            <w:r>
              <w:rPr>
                <w:rFonts w:hint="eastAsia" w:ascii="华文仿宋" w:hAnsi="华文仿宋" w:eastAsia="华文仿宋" w:cs="华文仿宋"/>
                <w:sz w:val="24"/>
              </w:rPr>
              <w:t>评测小组对参测</w:t>
            </w:r>
            <w:r>
              <w:rPr>
                <w:rFonts w:hint="eastAsia" w:ascii="华文仿宋" w:hAnsi="华文仿宋" w:eastAsia="华文仿宋" w:cs="华文仿宋"/>
                <w:kern w:val="0"/>
                <w:sz w:val="24"/>
                <w:lang w:bidi="ar"/>
              </w:rPr>
              <w:t>厂商按报名顺序逐一进行POC测评方案解答（线上方式）；</w:t>
            </w:r>
          </w:p>
          <w:p w14:paraId="34B105E6">
            <w:pPr>
              <w:pStyle w:val="83"/>
              <w:widowControl/>
              <w:numPr>
                <w:ilvl w:val="255"/>
                <w:numId w:val="0"/>
              </w:numPr>
              <w:tabs>
                <w:tab w:val="left" w:pos="392"/>
              </w:tabs>
              <w:spacing w:after="0" w:line="240" w:lineRule="auto"/>
              <w:jc w:val="left"/>
              <w:textAlignment w:val="center"/>
              <w:rPr>
                <w:rFonts w:ascii="华文仿宋" w:hAnsi="华文仿宋" w:eastAsia="华文仿宋" w:cs="华文仿宋"/>
                <w:sz w:val="24"/>
                <w:szCs w:val="24"/>
              </w:rPr>
            </w:pPr>
            <w:r>
              <w:rPr>
                <w:rFonts w:hint="eastAsia" w:ascii="华文仿宋" w:hAnsi="华文仿宋" w:eastAsia="华文仿宋" w:cs="华文仿宋"/>
                <w:kern w:val="0"/>
                <w:sz w:val="24"/>
                <w:szCs w:val="24"/>
                <w:lang w:bidi="ar"/>
              </w:rPr>
              <w:t>2、报名顺序即为测评顺序。</w:t>
            </w:r>
          </w:p>
        </w:tc>
      </w:tr>
      <w:tr w14:paraId="3D538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37F06A61">
            <w:pPr>
              <w:jc w:val="center"/>
              <w:textAlignment w:val="center"/>
              <w:rPr>
                <w:rFonts w:ascii="华文仿宋" w:hAnsi="华文仿宋" w:eastAsia="华文仿宋" w:cs="华文仿宋"/>
                <w:sz w:val="24"/>
                <w:highlight w:val="none"/>
              </w:rPr>
            </w:pPr>
            <w:r>
              <w:rPr>
                <w:rFonts w:hint="eastAsia" w:ascii="华文仿宋" w:hAnsi="华文仿宋" w:eastAsia="华文仿宋" w:cs="华文仿宋"/>
                <w:kern w:val="0"/>
                <w:sz w:val="24"/>
                <w:highlight w:val="none"/>
                <w:lang w:bidi="ar"/>
              </w:rPr>
              <w:t>T+1日至T+5日</w:t>
            </w:r>
          </w:p>
        </w:tc>
        <w:tc>
          <w:tcPr>
            <w:tcW w:w="3897" w:type="pct"/>
            <w:vAlign w:val="center"/>
          </w:tcPr>
          <w:p w14:paraId="67565790">
            <w:pPr>
              <w:textAlignment w:val="center"/>
              <w:rPr>
                <w:rFonts w:ascii="华文仿宋" w:hAnsi="华文仿宋" w:eastAsia="华文仿宋" w:cs="华文仿宋"/>
                <w:sz w:val="24"/>
                <w:highlight w:val="none"/>
              </w:rPr>
            </w:pPr>
            <w:r>
              <w:rPr>
                <w:rFonts w:hint="eastAsia" w:ascii="华文仿宋" w:hAnsi="华文仿宋" w:eastAsia="华文仿宋" w:cs="华文仿宋"/>
                <w:kern w:val="0"/>
                <w:sz w:val="24"/>
                <w:highlight w:val="none"/>
                <w:lang w:bidi="ar"/>
              </w:rPr>
              <w:t>各个厂商自行准备测评环境，根据测评方案准备测评案例，包括业务应用场景数据准备、数据加工、系统配置、系统功能全流程演示案例准备等。</w:t>
            </w:r>
          </w:p>
        </w:tc>
      </w:tr>
      <w:tr w14:paraId="37930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2A368344">
            <w:pPr>
              <w:jc w:val="center"/>
              <w:textAlignment w:val="center"/>
              <w:rPr>
                <w:rFonts w:ascii="华文仿宋" w:hAnsi="华文仿宋" w:eastAsia="华文仿宋" w:cs="华文仿宋"/>
                <w:kern w:val="0"/>
                <w:sz w:val="24"/>
                <w:lang w:bidi="ar"/>
              </w:rPr>
            </w:pPr>
            <w:r>
              <w:rPr>
                <w:rFonts w:hint="eastAsia" w:ascii="华文仿宋" w:hAnsi="华文仿宋" w:eastAsia="华文仿宋" w:cs="华文仿宋"/>
                <w:kern w:val="0"/>
                <w:sz w:val="24"/>
                <w:lang w:bidi="ar"/>
              </w:rPr>
              <w:t>T+5日</w:t>
            </w:r>
          </w:p>
        </w:tc>
        <w:tc>
          <w:tcPr>
            <w:tcW w:w="3897" w:type="pct"/>
            <w:vAlign w:val="center"/>
          </w:tcPr>
          <w:p w14:paraId="2E4818D7">
            <w:pPr>
              <w:textAlignment w:val="center"/>
              <w:rPr>
                <w:rFonts w:ascii="华文仿宋" w:hAnsi="华文仿宋" w:eastAsia="华文仿宋" w:cs="华文仿宋"/>
                <w:kern w:val="0"/>
                <w:sz w:val="24"/>
                <w:lang w:bidi="ar"/>
              </w:rPr>
            </w:pPr>
            <w:r>
              <w:rPr>
                <w:rFonts w:hint="eastAsia" w:ascii="华文仿宋" w:hAnsi="华文仿宋" w:eastAsia="华文仿宋" w:cs="华文仿宋"/>
                <w:kern w:val="0"/>
                <w:sz w:val="24"/>
                <w:lang w:bidi="ar"/>
              </w:rPr>
              <w:t>所有参测厂商于T+5日下午16:00前提交POC测评报告及佐证材料。</w:t>
            </w:r>
          </w:p>
        </w:tc>
      </w:tr>
      <w:tr w14:paraId="385B5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8" w:hRule="atLeast"/>
        </w:trPr>
        <w:tc>
          <w:tcPr>
            <w:tcW w:w="1102" w:type="pct"/>
            <w:vAlign w:val="center"/>
          </w:tcPr>
          <w:p w14:paraId="240551FB">
            <w:pPr>
              <w:jc w:val="center"/>
              <w:textAlignment w:val="center"/>
              <w:rPr>
                <w:rFonts w:hint="eastAsia" w:ascii="华文仿宋" w:hAnsi="华文仿宋" w:eastAsia="华文仿宋" w:cs="华文仿宋"/>
                <w:kern w:val="0"/>
                <w:sz w:val="24"/>
                <w:highlight w:val="none"/>
                <w:lang w:eastAsia="zh-CN" w:bidi="ar"/>
              </w:rPr>
            </w:pPr>
            <w:r>
              <w:rPr>
                <w:rFonts w:hint="eastAsia" w:ascii="华文仿宋" w:hAnsi="华文仿宋" w:eastAsia="华文仿宋" w:cs="华文仿宋"/>
                <w:kern w:val="0"/>
                <w:sz w:val="24"/>
                <w:highlight w:val="none"/>
                <w:lang w:val="en-US" w:eastAsia="zh-CN" w:bidi="ar"/>
              </w:rPr>
              <w:t>T+6到</w:t>
            </w:r>
            <w:r>
              <w:rPr>
                <w:rFonts w:hint="eastAsia" w:ascii="华文仿宋" w:hAnsi="华文仿宋" w:eastAsia="华文仿宋" w:cs="华文仿宋"/>
                <w:kern w:val="0"/>
                <w:sz w:val="24"/>
                <w:highlight w:val="none"/>
                <w:lang w:eastAsia="zh-CN" w:bidi="ar"/>
              </w:rPr>
              <w:t>T+</w:t>
            </w:r>
            <w:r>
              <w:rPr>
                <w:rFonts w:hint="eastAsia" w:ascii="华文仿宋" w:hAnsi="华文仿宋" w:eastAsia="华文仿宋" w:cs="华文仿宋"/>
                <w:kern w:val="0"/>
                <w:sz w:val="24"/>
                <w:highlight w:val="none"/>
                <w:lang w:val="en-US" w:eastAsia="zh-CN" w:bidi="ar"/>
              </w:rPr>
              <w:t>20</w:t>
            </w:r>
          </w:p>
        </w:tc>
        <w:tc>
          <w:tcPr>
            <w:tcW w:w="3897" w:type="pct"/>
            <w:vAlign w:val="center"/>
          </w:tcPr>
          <w:p w14:paraId="22B2DFDB">
            <w:pPr>
              <w:textAlignment w:val="center"/>
              <w:rPr>
                <w:rFonts w:ascii="华文仿宋" w:hAnsi="华文仿宋" w:eastAsia="华文仿宋" w:cs="华文仿宋"/>
                <w:kern w:val="0"/>
                <w:sz w:val="24"/>
                <w:highlight w:val="none"/>
                <w:lang w:bidi="ar"/>
              </w:rPr>
            </w:pPr>
            <w:r>
              <w:rPr>
                <w:rFonts w:hint="eastAsia" w:ascii="华文仿宋" w:hAnsi="华文仿宋" w:eastAsia="华文仿宋" w:cs="华文仿宋"/>
                <w:kern w:val="0"/>
                <w:sz w:val="24"/>
                <w:highlight w:val="none"/>
                <w:lang w:bidi="ar"/>
              </w:rPr>
              <w:t>按厂商测评顺序进行测评，每家参测厂商不超过3天。</w:t>
            </w:r>
          </w:p>
        </w:tc>
      </w:tr>
      <w:tr w14:paraId="5DB2C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1" w:hRule="atLeast"/>
        </w:trPr>
        <w:tc>
          <w:tcPr>
            <w:tcW w:w="1102" w:type="pct"/>
            <w:vAlign w:val="center"/>
          </w:tcPr>
          <w:p w14:paraId="5B609DDB">
            <w:pPr>
              <w:jc w:val="center"/>
              <w:textAlignment w:val="center"/>
              <w:rPr>
                <w:rFonts w:hint="default" w:ascii="华文仿宋" w:hAnsi="华文仿宋" w:eastAsia="华文仿宋" w:cs="华文仿宋"/>
                <w:kern w:val="0"/>
                <w:sz w:val="24"/>
                <w:highlight w:val="none"/>
                <w:lang w:val="en-US" w:eastAsia="zh-CN" w:bidi="ar"/>
              </w:rPr>
            </w:pPr>
            <w:r>
              <w:rPr>
                <w:rFonts w:hint="eastAsia" w:ascii="华文仿宋" w:hAnsi="华文仿宋" w:eastAsia="华文仿宋" w:cs="华文仿宋"/>
                <w:kern w:val="0"/>
                <w:sz w:val="24"/>
                <w:highlight w:val="none"/>
                <w:lang w:eastAsia="zh-CN" w:bidi="ar"/>
              </w:rPr>
              <w:t>T+2</w:t>
            </w:r>
            <w:r>
              <w:rPr>
                <w:rFonts w:hint="eastAsia" w:ascii="华文仿宋" w:hAnsi="华文仿宋" w:eastAsia="华文仿宋" w:cs="华文仿宋"/>
                <w:kern w:val="0"/>
                <w:sz w:val="24"/>
                <w:highlight w:val="none"/>
                <w:lang w:val="en-US" w:eastAsia="zh-CN" w:bidi="ar"/>
              </w:rPr>
              <w:t>1</w:t>
            </w:r>
          </w:p>
        </w:tc>
        <w:tc>
          <w:tcPr>
            <w:tcW w:w="3897" w:type="pct"/>
            <w:vAlign w:val="center"/>
          </w:tcPr>
          <w:p w14:paraId="1443918A">
            <w:pPr>
              <w:textAlignment w:val="center"/>
              <w:rPr>
                <w:rFonts w:ascii="华文仿宋" w:hAnsi="华文仿宋" w:eastAsia="华文仿宋" w:cs="华文仿宋"/>
                <w:kern w:val="0"/>
                <w:sz w:val="24"/>
                <w:highlight w:val="none"/>
                <w:lang w:bidi="ar"/>
              </w:rPr>
            </w:pPr>
            <w:r>
              <w:rPr>
                <w:rFonts w:hint="eastAsia" w:ascii="华文仿宋" w:hAnsi="华文仿宋" w:eastAsia="华文仿宋" w:cs="华文仿宋"/>
                <w:sz w:val="24"/>
                <w:highlight w:val="none"/>
              </w:rPr>
              <w:t>本行评测小组</w:t>
            </w:r>
            <w:r>
              <w:rPr>
                <w:rFonts w:hint="eastAsia" w:ascii="华文仿宋" w:hAnsi="华文仿宋" w:eastAsia="华文仿宋" w:cs="华文仿宋"/>
                <w:kern w:val="0"/>
                <w:sz w:val="24"/>
                <w:highlight w:val="none"/>
                <w:lang w:bidi="ar"/>
              </w:rPr>
              <w:t>完成推荐供应商POC测评报</w:t>
            </w:r>
            <w:bookmarkStart w:id="100" w:name="_GoBack"/>
            <w:bookmarkEnd w:id="100"/>
            <w:r>
              <w:rPr>
                <w:rFonts w:hint="eastAsia" w:ascii="华文仿宋" w:hAnsi="华文仿宋" w:eastAsia="华文仿宋" w:cs="华文仿宋"/>
                <w:kern w:val="0"/>
                <w:sz w:val="24"/>
                <w:highlight w:val="none"/>
                <w:lang w:bidi="ar"/>
              </w:rPr>
              <w:t>告</w:t>
            </w:r>
            <w:r>
              <w:rPr>
                <w:rFonts w:hint="eastAsia" w:ascii="仿宋" w:hAnsi="仿宋" w:eastAsia="仿宋" w:cs="仿宋"/>
                <w:sz w:val="24"/>
                <w:szCs w:val="32"/>
                <w:highlight w:val="none"/>
              </w:rPr>
              <w:t>整理</w:t>
            </w:r>
            <w:r>
              <w:rPr>
                <w:rFonts w:hint="eastAsia" w:ascii="华文仿宋" w:hAnsi="华文仿宋" w:eastAsia="华文仿宋" w:cs="华文仿宋"/>
                <w:kern w:val="0"/>
                <w:sz w:val="24"/>
                <w:highlight w:val="none"/>
                <w:lang w:bidi="ar"/>
              </w:rPr>
              <w:t>。包括测评报告正文、POC得分。</w:t>
            </w:r>
          </w:p>
        </w:tc>
      </w:tr>
      <w:bookmarkEnd w:id="47"/>
      <w:bookmarkEnd w:id="48"/>
    </w:tbl>
    <w:p w14:paraId="3E9C4C4C">
      <w:pPr>
        <w:pStyle w:val="3"/>
      </w:pPr>
      <w:bookmarkStart w:id="53" w:name="_Toc25613"/>
      <w:bookmarkStart w:id="54" w:name="_Toc12364"/>
      <w:bookmarkStart w:id="55" w:name="_Toc4301"/>
      <w:bookmarkStart w:id="56" w:name="_Toc11802"/>
      <w:bookmarkStart w:id="57" w:name="_Toc418023753"/>
      <w:r>
        <w:rPr>
          <w:rFonts w:hint="eastAsia"/>
        </w:rPr>
        <w:t>评测案例</w:t>
      </w:r>
      <w:bookmarkEnd w:id="53"/>
      <w:bookmarkEnd w:id="54"/>
      <w:bookmarkEnd w:id="55"/>
      <w:bookmarkEnd w:id="56"/>
    </w:p>
    <w:p w14:paraId="08998BA9">
      <w:pPr>
        <w:pStyle w:val="4"/>
      </w:pPr>
      <w:bookmarkStart w:id="58" w:name="_Toc26143"/>
      <w:bookmarkStart w:id="59" w:name="_Toc1813"/>
      <w:bookmarkStart w:id="60" w:name="_Toc5669"/>
      <w:bookmarkStart w:id="61" w:name="_Toc4174"/>
      <w:r>
        <w:rPr>
          <w:rFonts w:hint="eastAsia"/>
        </w:rPr>
        <w:t>业务方案评测</w:t>
      </w:r>
      <w:bookmarkEnd w:id="58"/>
      <w:bookmarkEnd w:id="59"/>
      <w:bookmarkEnd w:id="60"/>
      <w:bookmarkEnd w:id="61"/>
    </w:p>
    <w:p w14:paraId="415831BC">
      <w:pPr>
        <w:pStyle w:val="5"/>
      </w:pPr>
      <w:bookmarkStart w:id="62" w:name="_Toc31952"/>
      <w:r>
        <w:rPr>
          <w:rFonts w:hint="eastAsia"/>
        </w:rPr>
        <w:t>统一信贷门户</w:t>
      </w:r>
      <w:bookmarkEnd w:id="62"/>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13A2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2B54DDF5">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0FCD1AA0">
            <w:pPr>
              <w:pStyle w:val="107"/>
              <w:ind w:firstLine="0" w:firstLineChars="0"/>
              <w:rPr>
                <w:rFonts w:ascii="宋体" w:hAnsi="宋体"/>
                <w:szCs w:val="21"/>
              </w:rPr>
            </w:pPr>
            <w:r>
              <w:rPr>
                <w:rFonts w:hint="eastAsia" w:ascii="宋体" w:hAnsi="宋体"/>
                <w:szCs w:val="21"/>
              </w:rPr>
              <w:t>信贷门户</w:t>
            </w:r>
          </w:p>
        </w:tc>
      </w:tr>
      <w:tr w14:paraId="4A33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7F7586B3">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4A7D763D">
            <w:pPr>
              <w:pStyle w:val="107"/>
              <w:ind w:firstLine="0" w:firstLineChars="0"/>
              <w:rPr>
                <w:rFonts w:ascii="宋体" w:hAnsi="宋体"/>
                <w:szCs w:val="21"/>
              </w:rPr>
            </w:pPr>
            <w:r>
              <w:rPr>
                <w:rFonts w:hint="eastAsia" w:ascii="宋体" w:hAnsi="宋体"/>
                <w:szCs w:val="21"/>
              </w:rPr>
              <w:t>展示信贷门户的内容</w:t>
            </w:r>
          </w:p>
        </w:tc>
      </w:tr>
      <w:tr w14:paraId="0727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2E3E96E5">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432D53B5">
            <w:pPr>
              <w:pStyle w:val="107"/>
              <w:ind w:firstLine="0" w:firstLineChars="0"/>
              <w:rPr>
                <w:rFonts w:ascii="宋体" w:hAnsi="宋体"/>
                <w:szCs w:val="21"/>
              </w:rPr>
            </w:pPr>
            <w:r>
              <w:rPr>
                <w:rFonts w:hint="eastAsia" w:ascii="宋体" w:hAnsi="宋体"/>
                <w:szCs w:val="21"/>
              </w:rPr>
              <w:t>测试</w:t>
            </w:r>
            <w:r>
              <w:rPr>
                <w:rFonts w:ascii="宋体" w:hAnsi="宋体"/>
                <w:szCs w:val="21"/>
              </w:rPr>
              <w:t>如下功能：</w:t>
            </w:r>
          </w:p>
          <w:p w14:paraId="1C969F03">
            <w:pPr>
              <w:pStyle w:val="107"/>
              <w:numPr>
                <w:ilvl w:val="0"/>
                <w:numId w:val="9"/>
              </w:numPr>
              <w:ind w:firstLineChars="0"/>
              <w:rPr>
                <w:rFonts w:ascii="宋体" w:hAnsi="宋体"/>
                <w:szCs w:val="21"/>
              </w:rPr>
            </w:pPr>
            <w:r>
              <w:rPr>
                <w:rFonts w:ascii="宋体" w:hAnsi="宋体"/>
                <w:szCs w:val="21"/>
              </w:rPr>
              <w:t>用户登陆管理</w:t>
            </w:r>
          </w:p>
          <w:p w14:paraId="65A767AA">
            <w:pPr>
              <w:pStyle w:val="107"/>
              <w:numPr>
                <w:ilvl w:val="0"/>
                <w:numId w:val="9"/>
              </w:numPr>
              <w:ind w:firstLineChars="0"/>
              <w:rPr>
                <w:rFonts w:ascii="宋体" w:hAnsi="宋体"/>
                <w:szCs w:val="21"/>
              </w:rPr>
            </w:pPr>
            <w:r>
              <w:rPr>
                <w:rFonts w:hint="eastAsia" w:ascii="宋体" w:hAnsi="宋体"/>
                <w:szCs w:val="21"/>
              </w:rPr>
              <w:t>不同用户个性化界面配置</w:t>
            </w:r>
          </w:p>
          <w:p w14:paraId="4A116047">
            <w:pPr>
              <w:pStyle w:val="107"/>
              <w:numPr>
                <w:ilvl w:val="0"/>
                <w:numId w:val="9"/>
              </w:numPr>
              <w:ind w:firstLineChars="0"/>
              <w:rPr>
                <w:rFonts w:ascii="宋体" w:hAnsi="宋体"/>
                <w:szCs w:val="21"/>
              </w:rPr>
            </w:pPr>
            <w:r>
              <w:rPr>
                <w:rFonts w:hint="eastAsia" w:ascii="宋体" w:hAnsi="宋体"/>
                <w:szCs w:val="21"/>
                <w:lang w:val="en-US" w:eastAsia="zh-CN"/>
              </w:rPr>
              <w:t>作业</w:t>
            </w:r>
            <w:r>
              <w:rPr>
                <w:rFonts w:hint="eastAsia" w:ascii="宋体" w:hAnsi="宋体"/>
                <w:szCs w:val="21"/>
              </w:rPr>
              <w:t>提醒、待办事项通知和处理</w:t>
            </w:r>
          </w:p>
          <w:p w14:paraId="15E23407">
            <w:pPr>
              <w:pStyle w:val="107"/>
              <w:numPr>
                <w:ilvl w:val="0"/>
                <w:numId w:val="9"/>
              </w:numPr>
              <w:ind w:firstLineChars="0"/>
              <w:rPr>
                <w:rFonts w:ascii="宋体" w:hAnsi="宋体"/>
                <w:szCs w:val="21"/>
              </w:rPr>
            </w:pPr>
            <w:r>
              <w:rPr>
                <w:rFonts w:hint="eastAsia" w:ascii="宋体" w:hAnsi="宋体"/>
                <w:szCs w:val="21"/>
              </w:rPr>
              <w:t>业务导航、多窗口作业</w:t>
            </w:r>
          </w:p>
          <w:p w14:paraId="3217EB22">
            <w:pPr>
              <w:pStyle w:val="107"/>
              <w:numPr>
                <w:ilvl w:val="0"/>
                <w:numId w:val="9"/>
              </w:numPr>
              <w:ind w:firstLineChars="0"/>
              <w:rPr>
                <w:rFonts w:ascii="宋体" w:hAnsi="宋体"/>
                <w:szCs w:val="21"/>
              </w:rPr>
            </w:pPr>
            <w:r>
              <w:rPr>
                <w:rFonts w:hint="eastAsia" w:ascii="宋体" w:hAnsi="宋体"/>
                <w:szCs w:val="21"/>
              </w:rPr>
              <w:t>系统工具箱功能</w:t>
            </w:r>
          </w:p>
          <w:p w14:paraId="3034472D">
            <w:pPr>
              <w:pStyle w:val="107"/>
              <w:numPr>
                <w:ilvl w:val="0"/>
                <w:numId w:val="9"/>
              </w:numPr>
              <w:ind w:firstLineChars="0"/>
              <w:rPr>
                <w:rFonts w:ascii="宋体" w:hAnsi="宋体"/>
                <w:szCs w:val="21"/>
              </w:rPr>
            </w:pPr>
            <w:r>
              <w:rPr>
                <w:rFonts w:ascii="宋体" w:hAnsi="宋体"/>
                <w:szCs w:val="21"/>
              </w:rPr>
              <w:t>管理驾驶舱</w:t>
            </w:r>
            <w:r>
              <w:rPr>
                <w:rFonts w:hint="eastAsia" w:ascii="宋体" w:hAnsi="宋体"/>
                <w:szCs w:val="21"/>
                <w:lang w:val="en-US" w:eastAsia="zh-CN"/>
              </w:rPr>
              <w:t>功能</w:t>
            </w:r>
          </w:p>
        </w:tc>
      </w:tr>
    </w:tbl>
    <w:p w14:paraId="6A806D4F">
      <w:pPr>
        <w:pStyle w:val="20"/>
        <w:ind w:firstLine="0" w:firstLineChars="0"/>
      </w:pPr>
    </w:p>
    <w:p w14:paraId="0F3C69D5">
      <w:pPr>
        <w:pStyle w:val="4"/>
      </w:pPr>
      <w:bookmarkStart w:id="63" w:name="_Toc17638"/>
      <w:bookmarkStart w:id="64" w:name="_Toc15158"/>
      <w:bookmarkStart w:id="65" w:name="_Toc29266"/>
      <w:bookmarkStart w:id="66" w:name="_Toc8434"/>
      <w:r>
        <w:rPr>
          <w:rFonts w:hint="eastAsia"/>
        </w:rPr>
        <w:t>技术方案评测</w:t>
      </w:r>
      <w:bookmarkEnd w:id="63"/>
      <w:bookmarkEnd w:id="64"/>
      <w:bookmarkEnd w:id="65"/>
      <w:bookmarkEnd w:id="66"/>
    </w:p>
    <w:p w14:paraId="508CDCC3">
      <w:pPr>
        <w:pStyle w:val="5"/>
        <w:tabs>
          <w:tab w:val="clear" w:pos="709"/>
        </w:tabs>
      </w:pPr>
      <w:bookmarkStart w:id="67" w:name="_Toc20124"/>
      <w:r>
        <w:rPr>
          <w:rFonts w:hint="eastAsia"/>
        </w:rPr>
        <w:t>微服务架构</w:t>
      </w:r>
      <w:bookmarkEnd w:id="67"/>
    </w:p>
    <w:p w14:paraId="0D26EDFA">
      <w:pPr>
        <w:ind w:firstLine="420"/>
        <w:rPr>
          <w:rFonts w:ascii="仿宋" w:hAnsi="仿宋" w:eastAsia="仿宋" w:cs="仿宋"/>
          <w:sz w:val="28"/>
          <w:szCs w:val="28"/>
        </w:rPr>
      </w:pPr>
      <w:r>
        <w:rPr>
          <w:rFonts w:hint="eastAsia" w:ascii="仿宋" w:hAnsi="仿宋" w:eastAsia="仿宋" w:cs="仿宋"/>
          <w:sz w:val="28"/>
          <w:szCs w:val="28"/>
        </w:rPr>
        <w:t>（1）架构设计</w:t>
      </w:r>
    </w:p>
    <w:p w14:paraId="4048EE1B">
      <w:pPr>
        <w:ind w:firstLine="420"/>
        <w:rPr>
          <w:rFonts w:ascii="仿宋" w:hAnsi="仿宋" w:eastAsia="仿宋" w:cs="仿宋"/>
          <w:sz w:val="28"/>
          <w:szCs w:val="28"/>
        </w:rPr>
      </w:pPr>
      <w:r>
        <w:rPr>
          <w:rFonts w:hint="eastAsia" w:ascii="仿宋" w:hAnsi="仿宋" w:eastAsia="仿宋" w:cs="仿宋"/>
          <w:sz w:val="28"/>
          <w:szCs w:val="28"/>
        </w:rPr>
        <w:t>1.提供微服务清单及各服务的职责说明、服务间依赖关系、服务划分说明。</w:t>
      </w:r>
    </w:p>
    <w:p w14:paraId="332A2DE6">
      <w:pPr>
        <w:ind w:firstLine="420"/>
        <w:rPr>
          <w:rFonts w:ascii="仿宋" w:hAnsi="仿宋" w:eastAsia="仿宋" w:cs="仿宋"/>
          <w:sz w:val="28"/>
          <w:szCs w:val="28"/>
        </w:rPr>
      </w:pPr>
      <w:r>
        <w:rPr>
          <w:rFonts w:hint="eastAsia" w:ascii="仿宋" w:hAnsi="仿宋" w:eastAsia="仿宋" w:cs="仿宋"/>
          <w:sz w:val="28"/>
          <w:szCs w:val="28"/>
        </w:rPr>
        <w:t>2.提供中间件及职责说明清单。</w:t>
      </w:r>
    </w:p>
    <w:p w14:paraId="085C265A">
      <w:pPr>
        <w:ind w:firstLine="420"/>
        <w:rPr>
          <w:rFonts w:ascii="仿宋" w:hAnsi="仿宋" w:eastAsia="仿宋" w:cs="仿宋"/>
          <w:sz w:val="28"/>
          <w:szCs w:val="28"/>
        </w:rPr>
      </w:pPr>
      <w:r>
        <w:rPr>
          <w:rFonts w:hint="eastAsia" w:ascii="仿宋" w:hAnsi="仿宋" w:eastAsia="仿宋" w:cs="仿宋"/>
          <w:sz w:val="28"/>
          <w:szCs w:val="28"/>
        </w:rPr>
        <w:t>3.提供完整的数据架构说明。</w:t>
      </w:r>
    </w:p>
    <w:p w14:paraId="7C9AE3C2">
      <w:pPr>
        <w:numPr>
          <w:ilvl w:val="0"/>
          <w:numId w:val="10"/>
        </w:numPr>
        <w:ind w:firstLine="420"/>
        <w:rPr>
          <w:rFonts w:ascii="仿宋" w:hAnsi="仿宋" w:eastAsia="仿宋" w:cs="仿宋"/>
          <w:sz w:val="28"/>
          <w:szCs w:val="28"/>
        </w:rPr>
      </w:pPr>
      <w:r>
        <w:rPr>
          <w:rFonts w:hint="eastAsia" w:ascii="仿宋" w:hAnsi="仿宋" w:eastAsia="仿宋" w:cs="仿宋"/>
          <w:sz w:val="28"/>
          <w:szCs w:val="28"/>
        </w:rPr>
        <w:t>服务治理</w:t>
      </w:r>
    </w:p>
    <w:p w14:paraId="287759CF">
      <w:pPr>
        <w:numPr>
          <w:ilvl w:val="0"/>
          <w:numId w:val="11"/>
        </w:numPr>
        <w:ind w:firstLine="420"/>
        <w:rPr>
          <w:rFonts w:ascii="仿宋" w:hAnsi="仿宋" w:eastAsia="仿宋" w:cs="仿宋"/>
          <w:sz w:val="28"/>
          <w:szCs w:val="28"/>
        </w:rPr>
      </w:pPr>
      <w:r>
        <w:rPr>
          <w:rFonts w:hint="eastAsia" w:ascii="仿宋" w:hAnsi="仿宋" w:eastAsia="仿宋" w:cs="仿宋"/>
          <w:sz w:val="28"/>
          <w:szCs w:val="28"/>
        </w:rPr>
        <w:t>演示统一的微服务管理平台，监控服务运行情况及服务调用，能够正确显示请求调用量、调用成功率；</w:t>
      </w:r>
    </w:p>
    <w:p w14:paraId="4340921C">
      <w:pPr>
        <w:numPr>
          <w:ilvl w:val="0"/>
          <w:numId w:val="11"/>
        </w:numPr>
        <w:ind w:firstLine="420"/>
        <w:rPr>
          <w:rFonts w:ascii="仿宋" w:hAnsi="仿宋" w:eastAsia="仿宋" w:cs="仿宋"/>
          <w:sz w:val="28"/>
          <w:szCs w:val="28"/>
        </w:rPr>
      </w:pPr>
      <w:r>
        <w:rPr>
          <w:rFonts w:hint="eastAsia" w:ascii="仿宋" w:hAnsi="仿宋" w:eastAsia="仿宋" w:cs="仿宋"/>
          <w:sz w:val="28"/>
          <w:szCs w:val="28"/>
        </w:rPr>
        <w:t>演示线上应用服务发布，针对单个微服务对多个实例进行运行参数修改并进行发布更新；</w:t>
      </w:r>
    </w:p>
    <w:p w14:paraId="30146A7D">
      <w:pPr>
        <w:numPr>
          <w:ilvl w:val="0"/>
          <w:numId w:val="11"/>
        </w:numPr>
        <w:ind w:firstLine="420"/>
        <w:rPr>
          <w:rFonts w:ascii="仿宋" w:hAnsi="仿宋" w:eastAsia="仿宋" w:cs="仿宋"/>
          <w:sz w:val="28"/>
          <w:szCs w:val="28"/>
        </w:rPr>
      </w:pPr>
      <w:r>
        <w:rPr>
          <w:rFonts w:hint="eastAsia" w:ascii="仿宋" w:hAnsi="仿宋" w:eastAsia="仿宋" w:cs="仿宋"/>
          <w:sz w:val="28"/>
          <w:szCs w:val="28"/>
        </w:rPr>
        <w:t>演示灰度发布。</w:t>
      </w:r>
    </w:p>
    <w:p w14:paraId="17BE0FC7">
      <w:pPr>
        <w:numPr>
          <w:ilvl w:val="0"/>
          <w:numId w:val="11"/>
        </w:numPr>
        <w:ind w:firstLine="420"/>
        <w:rPr>
          <w:rFonts w:ascii="仿宋" w:hAnsi="仿宋" w:eastAsia="仿宋" w:cs="仿宋"/>
          <w:sz w:val="28"/>
          <w:szCs w:val="28"/>
        </w:rPr>
      </w:pPr>
      <w:r>
        <w:rPr>
          <w:rFonts w:hint="eastAsia" w:ascii="仿宋" w:hAnsi="仿宋" w:eastAsia="仿宋" w:cs="仿宋"/>
          <w:sz w:val="28"/>
          <w:szCs w:val="28"/>
        </w:rPr>
        <w:t>演示服务熔断、降级、限流、流量分发、服务权限调整。</w:t>
      </w:r>
    </w:p>
    <w:p w14:paraId="6BBAEC8A">
      <w:pPr>
        <w:numPr>
          <w:ilvl w:val="0"/>
          <w:numId w:val="11"/>
        </w:numPr>
        <w:ind w:firstLine="420"/>
        <w:rPr>
          <w:rFonts w:ascii="仿宋" w:hAnsi="仿宋" w:eastAsia="仿宋" w:cs="仿宋"/>
          <w:sz w:val="28"/>
          <w:szCs w:val="28"/>
        </w:rPr>
      </w:pPr>
      <w:r>
        <w:rPr>
          <w:rFonts w:hint="eastAsia" w:ascii="仿宋" w:hAnsi="仿宋" w:eastAsia="仿宋" w:cs="仿宋"/>
          <w:sz w:val="28"/>
          <w:szCs w:val="28"/>
        </w:rPr>
        <w:t>演示服务的弹性伸缩，通过设置相关指标，对单个微服务进行动态扩容及缩容。</w:t>
      </w:r>
    </w:p>
    <w:p w14:paraId="61C406BB">
      <w:pPr>
        <w:numPr>
          <w:ilvl w:val="255"/>
          <w:numId w:val="0"/>
        </w:numPr>
        <w:ind w:firstLine="420"/>
        <w:rPr>
          <w:rFonts w:ascii="仿宋" w:hAnsi="仿宋" w:eastAsia="仿宋" w:cs="仿宋"/>
          <w:sz w:val="28"/>
          <w:szCs w:val="28"/>
        </w:rPr>
      </w:pPr>
      <w:r>
        <w:rPr>
          <w:rFonts w:hint="eastAsia" w:ascii="仿宋" w:hAnsi="仿宋" w:eastAsia="仿宋" w:cs="仿宋"/>
          <w:sz w:val="28"/>
          <w:szCs w:val="28"/>
        </w:rPr>
        <w:t>（3）作业调度中心</w:t>
      </w:r>
    </w:p>
    <w:p w14:paraId="6F0586E2">
      <w:pPr>
        <w:numPr>
          <w:ilvl w:val="255"/>
          <w:numId w:val="0"/>
        </w:numPr>
        <w:ind w:firstLine="420"/>
        <w:rPr>
          <w:rFonts w:ascii="仿宋" w:hAnsi="仿宋" w:eastAsia="仿宋" w:cs="仿宋"/>
          <w:sz w:val="28"/>
          <w:szCs w:val="28"/>
        </w:rPr>
      </w:pPr>
      <w:r>
        <w:rPr>
          <w:rFonts w:hint="eastAsia" w:ascii="仿宋" w:hAnsi="仿宋" w:eastAsia="仿宋" w:cs="仿宋"/>
          <w:sz w:val="28"/>
          <w:szCs w:val="28"/>
        </w:rPr>
        <w:t>1. 演示复杂作业流的创建，包含条件分支、并行执行、失败重试等逻辑控制。</w:t>
      </w:r>
    </w:p>
    <w:p w14:paraId="38D8CDF5">
      <w:pPr>
        <w:numPr>
          <w:ilvl w:val="255"/>
          <w:numId w:val="0"/>
        </w:numPr>
        <w:ind w:firstLine="420"/>
        <w:rPr>
          <w:rFonts w:ascii="仿宋" w:hAnsi="仿宋" w:eastAsia="仿宋" w:cs="仿宋"/>
          <w:sz w:val="28"/>
          <w:szCs w:val="28"/>
        </w:rPr>
      </w:pPr>
      <w:r>
        <w:rPr>
          <w:rFonts w:hint="eastAsia" w:ascii="仿宋" w:hAnsi="仿宋" w:eastAsia="仿宋" w:cs="仿宋"/>
          <w:sz w:val="28"/>
          <w:szCs w:val="28"/>
        </w:rPr>
        <w:t>2.演示断点恢复后作业流自动续跑、从任意节点继续执行未完成的任务，确保作业流的连续性与稳定性；</w:t>
      </w:r>
    </w:p>
    <w:p w14:paraId="612325D6">
      <w:pPr>
        <w:numPr>
          <w:ilvl w:val="255"/>
          <w:numId w:val="0"/>
        </w:numPr>
        <w:ind w:firstLine="420"/>
        <w:rPr>
          <w:rFonts w:ascii="仿宋" w:hAnsi="仿宋" w:eastAsia="仿宋" w:cs="仿宋"/>
          <w:sz w:val="28"/>
          <w:szCs w:val="28"/>
        </w:rPr>
      </w:pPr>
      <w:r>
        <w:rPr>
          <w:rFonts w:hint="eastAsia" w:ascii="仿宋" w:hAnsi="仿宋" w:eastAsia="仿宋" w:cs="仿宋"/>
          <w:sz w:val="28"/>
          <w:szCs w:val="28"/>
        </w:rPr>
        <w:t>3.演示作业调度任务的监控与管理，支持实时查看任务执行状态、执行日志及异常告警；</w:t>
      </w:r>
    </w:p>
    <w:p w14:paraId="5DE31ED7">
      <w:pPr>
        <w:numPr>
          <w:ilvl w:val="255"/>
          <w:numId w:val="0"/>
        </w:numPr>
        <w:ind w:firstLine="420"/>
        <w:rPr>
          <w:rFonts w:ascii="仿宋" w:hAnsi="仿宋" w:eastAsia="仿宋" w:cs="仿宋"/>
          <w:sz w:val="28"/>
          <w:szCs w:val="28"/>
        </w:rPr>
      </w:pPr>
      <w:r>
        <w:rPr>
          <w:rFonts w:hint="eastAsia" w:ascii="仿宋" w:hAnsi="仿宋" w:eastAsia="仿宋" w:cs="仿宋"/>
          <w:sz w:val="28"/>
          <w:szCs w:val="28"/>
        </w:rPr>
        <w:t>（4）统一配置中心</w:t>
      </w:r>
    </w:p>
    <w:p w14:paraId="28F1427F">
      <w:pPr>
        <w:numPr>
          <w:ilvl w:val="255"/>
          <w:numId w:val="0"/>
        </w:numPr>
        <w:ind w:firstLine="420"/>
        <w:rPr>
          <w:rFonts w:ascii="仿宋" w:hAnsi="仿宋" w:eastAsia="仿宋" w:cs="仿宋"/>
          <w:sz w:val="28"/>
          <w:szCs w:val="28"/>
        </w:rPr>
      </w:pPr>
      <w:r>
        <w:rPr>
          <w:rFonts w:hint="eastAsia" w:ascii="仿宋" w:hAnsi="仿宋" w:eastAsia="仿宋" w:cs="仿宋"/>
          <w:sz w:val="28"/>
          <w:szCs w:val="28"/>
        </w:rPr>
        <w:t xml:space="preserve">1. 演示配置的动态更新，支持不同环境（开发、测试、生产）和集群的配置隔离，实现配置变更实时生效且无需重启服务；  </w:t>
      </w:r>
    </w:p>
    <w:p w14:paraId="4CC55FE4">
      <w:pPr>
        <w:numPr>
          <w:ilvl w:val="255"/>
          <w:numId w:val="0"/>
        </w:numPr>
        <w:ind w:firstLine="420"/>
        <w:rPr>
          <w:rFonts w:ascii="仿宋" w:hAnsi="仿宋" w:eastAsia="仿宋" w:cs="仿宋"/>
          <w:sz w:val="28"/>
          <w:szCs w:val="28"/>
        </w:rPr>
      </w:pPr>
      <w:r>
        <w:rPr>
          <w:rFonts w:hint="eastAsia" w:ascii="仿宋" w:hAnsi="仿宋" w:eastAsia="仿宋" w:cs="仿宋"/>
          <w:sz w:val="28"/>
          <w:szCs w:val="28"/>
        </w:rPr>
        <w:t xml:space="preserve">2. 演示配置版本管理与回滚功能，确保配置修改可追溯、异常时快速恢复；  </w:t>
      </w:r>
    </w:p>
    <w:p w14:paraId="1A4B62FA">
      <w:pPr>
        <w:numPr>
          <w:ilvl w:val="255"/>
          <w:numId w:val="0"/>
        </w:numPr>
        <w:ind w:firstLine="420"/>
        <w:rPr>
          <w:rFonts w:ascii="仿宋" w:hAnsi="仿宋" w:eastAsia="仿宋" w:cs="仿宋"/>
          <w:sz w:val="28"/>
          <w:szCs w:val="28"/>
        </w:rPr>
      </w:pPr>
      <w:r>
        <w:rPr>
          <w:rFonts w:hint="eastAsia" w:ascii="仿宋" w:hAnsi="仿宋" w:eastAsia="仿宋" w:cs="仿宋"/>
          <w:sz w:val="28"/>
          <w:szCs w:val="28"/>
        </w:rPr>
        <w:t>3. 提供配置项审计日志，记录操作人员、时间及内容。</w:t>
      </w:r>
    </w:p>
    <w:p w14:paraId="0E0A1387">
      <w:pPr>
        <w:pStyle w:val="5"/>
        <w:tabs>
          <w:tab w:val="clear" w:pos="709"/>
        </w:tabs>
      </w:pPr>
      <w:bookmarkStart w:id="68" w:name="_Toc16219"/>
      <w:r>
        <w:rPr>
          <w:rFonts w:hint="eastAsia" w:ascii="仿宋" w:hAnsi="仿宋" w:cs="仿宋"/>
        </w:rPr>
        <w:t>开发平台</w:t>
      </w:r>
      <w:bookmarkEnd w:id="68"/>
    </w:p>
    <w:p w14:paraId="593434E5">
      <w:pPr>
        <w:numPr>
          <w:ilvl w:val="0"/>
          <w:numId w:val="12"/>
        </w:numPr>
        <w:ind w:firstLine="420"/>
        <w:rPr>
          <w:rFonts w:ascii="仿宋" w:hAnsi="仿宋" w:eastAsia="仿宋" w:cs="仿宋"/>
          <w:sz w:val="28"/>
          <w:szCs w:val="28"/>
        </w:rPr>
      </w:pPr>
      <w:r>
        <w:rPr>
          <w:rFonts w:hint="eastAsia" w:ascii="仿宋" w:hAnsi="仿宋" w:eastAsia="仿宋" w:cs="仿宋"/>
          <w:sz w:val="28"/>
          <w:szCs w:val="28"/>
        </w:rPr>
        <w:t>自动化开发支持能力。</w:t>
      </w:r>
    </w:p>
    <w:p w14:paraId="51682B8D">
      <w:pPr>
        <w:numPr>
          <w:ilvl w:val="0"/>
          <w:numId w:val="13"/>
        </w:numPr>
        <w:ind w:firstLine="420"/>
        <w:rPr>
          <w:rFonts w:ascii="仿宋" w:hAnsi="仿宋" w:eastAsia="仿宋" w:cs="仿宋"/>
          <w:sz w:val="28"/>
          <w:szCs w:val="28"/>
        </w:rPr>
      </w:pPr>
      <w:r>
        <w:rPr>
          <w:rFonts w:hint="eastAsia" w:ascii="仿宋" w:hAnsi="仿宋" w:eastAsia="仿宋" w:cs="仿宋"/>
          <w:sz w:val="28"/>
          <w:szCs w:val="28"/>
        </w:rPr>
        <w:t>演示前端代码可视化编程，通过拖拽组件、配置属性等方式快速生成前端页面（如Vue/React代码）。</w:t>
      </w:r>
    </w:p>
    <w:p w14:paraId="2133CA5A">
      <w:pPr>
        <w:numPr>
          <w:ilvl w:val="0"/>
          <w:numId w:val="13"/>
        </w:numPr>
        <w:ind w:firstLine="420"/>
        <w:rPr>
          <w:rFonts w:ascii="仿宋" w:hAnsi="仿宋" w:eastAsia="仿宋" w:cs="仿宋"/>
          <w:sz w:val="28"/>
          <w:szCs w:val="28"/>
        </w:rPr>
      </w:pPr>
      <w:r>
        <w:rPr>
          <w:rFonts w:hint="eastAsia" w:ascii="仿宋" w:hAnsi="仿宋" w:eastAsia="仿宋" w:cs="仿宋"/>
          <w:sz w:val="28"/>
          <w:szCs w:val="28"/>
        </w:rPr>
        <w:t>演示后端代码快速生成，根据表设计信息生成业务后端代码。</w:t>
      </w:r>
    </w:p>
    <w:p w14:paraId="6AE4D713">
      <w:pPr>
        <w:numPr>
          <w:ilvl w:val="0"/>
          <w:numId w:val="13"/>
        </w:numPr>
        <w:ind w:firstLine="420"/>
        <w:rPr>
          <w:rFonts w:ascii="仿宋" w:hAnsi="仿宋" w:eastAsia="仿宋" w:cs="仿宋"/>
          <w:sz w:val="28"/>
          <w:szCs w:val="28"/>
        </w:rPr>
      </w:pPr>
      <w:r>
        <w:rPr>
          <w:rFonts w:hint="eastAsia" w:ascii="仿宋" w:hAnsi="仿宋" w:eastAsia="仿宋" w:cs="仿宋"/>
          <w:sz w:val="28"/>
          <w:szCs w:val="28"/>
        </w:rPr>
        <w:t>演示</w:t>
      </w:r>
      <w:r>
        <w:rPr>
          <w:rFonts w:ascii="仿宋" w:hAnsi="仿宋" w:eastAsia="仿宋" w:cs="仿宋"/>
          <w:sz w:val="28"/>
          <w:szCs w:val="28"/>
        </w:rPr>
        <w:t>通过配置快速完成报表、图表。</w:t>
      </w:r>
    </w:p>
    <w:p w14:paraId="5535FEB3">
      <w:pPr>
        <w:numPr>
          <w:ilvl w:val="0"/>
          <w:numId w:val="13"/>
        </w:numPr>
        <w:ind w:firstLine="420"/>
        <w:rPr>
          <w:rFonts w:ascii="仿宋" w:hAnsi="仿宋" w:eastAsia="仿宋" w:cs="仿宋"/>
          <w:sz w:val="28"/>
          <w:szCs w:val="28"/>
        </w:rPr>
      </w:pPr>
      <w:r>
        <w:rPr>
          <w:rFonts w:hint="eastAsia" w:ascii="仿宋" w:hAnsi="仿宋" w:eastAsia="仿宋" w:cs="仿宋"/>
          <w:sz w:val="28"/>
          <w:szCs w:val="28"/>
        </w:rPr>
        <w:t>演示从代码提交、自动构建、测试到一键部署至目标环境的完整自动化流水线，并验证部署结果的可观测性与回滚机制的可靠性。</w:t>
      </w:r>
    </w:p>
    <w:p w14:paraId="108F9ADE">
      <w:pPr>
        <w:numPr>
          <w:ilvl w:val="0"/>
          <w:numId w:val="12"/>
        </w:numPr>
        <w:ind w:firstLine="420"/>
        <w:rPr>
          <w:rFonts w:ascii="仿宋" w:hAnsi="仿宋" w:eastAsia="仿宋" w:cs="仿宋"/>
          <w:sz w:val="28"/>
          <w:szCs w:val="28"/>
        </w:rPr>
      </w:pPr>
      <w:r>
        <w:rPr>
          <w:rFonts w:hint="eastAsia" w:ascii="仿宋" w:hAnsi="仿宋" w:eastAsia="仿宋" w:cs="仿宋"/>
          <w:sz w:val="28"/>
          <w:szCs w:val="28"/>
        </w:rPr>
        <w:t>规则引擎</w:t>
      </w:r>
    </w:p>
    <w:p w14:paraId="2E63DC9E">
      <w:pPr>
        <w:ind w:firstLine="420"/>
        <w:rPr>
          <w:rFonts w:ascii="仿宋" w:hAnsi="仿宋" w:eastAsia="仿宋" w:cs="仿宋"/>
          <w:sz w:val="28"/>
          <w:szCs w:val="28"/>
        </w:rPr>
      </w:pPr>
      <w:r>
        <w:rPr>
          <w:rFonts w:hint="eastAsia" w:ascii="仿宋" w:hAnsi="仿宋" w:eastAsia="仿宋" w:cs="仿宋"/>
          <w:sz w:val="28"/>
          <w:szCs w:val="28"/>
        </w:rPr>
        <w:t>演示通过可视化操作定义一条业务规则，进行表达式编辑与函数等组件配置；演示规则在交易场景中的应用；</w:t>
      </w:r>
    </w:p>
    <w:p w14:paraId="6FEBB845">
      <w:pPr>
        <w:numPr>
          <w:ilvl w:val="0"/>
          <w:numId w:val="12"/>
        </w:numPr>
        <w:ind w:firstLine="420"/>
        <w:rPr>
          <w:rFonts w:ascii="仿宋" w:hAnsi="仿宋" w:eastAsia="仿宋" w:cs="仿宋"/>
          <w:sz w:val="28"/>
          <w:szCs w:val="28"/>
        </w:rPr>
      </w:pPr>
      <w:r>
        <w:rPr>
          <w:rFonts w:hint="eastAsia" w:ascii="仿宋" w:hAnsi="仿宋" w:eastAsia="仿宋" w:cs="仿宋"/>
          <w:sz w:val="28"/>
          <w:szCs w:val="28"/>
        </w:rPr>
        <w:t>流程引擎</w:t>
      </w:r>
    </w:p>
    <w:p w14:paraId="7349C58E">
      <w:pPr>
        <w:ind w:firstLine="420"/>
        <w:rPr>
          <w:rFonts w:ascii="仿宋" w:hAnsi="仿宋" w:eastAsia="仿宋" w:cs="仿宋"/>
          <w:sz w:val="28"/>
          <w:szCs w:val="28"/>
        </w:rPr>
      </w:pPr>
      <w:r>
        <w:rPr>
          <w:rFonts w:hint="eastAsia" w:ascii="仿宋" w:hAnsi="仿宋" w:eastAsia="仿宋" w:cs="仿宋"/>
          <w:sz w:val="28"/>
          <w:szCs w:val="28"/>
        </w:rPr>
        <w:t>演示通过可视化操作定义一条新流程，展示包含多个审批节点、条件分支及并行处理路径的复杂业务流程。</w:t>
      </w:r>
    </w:p>
    <w:p w14:paraId="5600A065">
      <w:pPr>
        <w:numPr>
          <w:ilvl w:val="0"/>
          <w:numId w:val="12"/>
        </w:numPr>
        <w:ind w:firstLine="420"/>
        <w:rPr>
          <w:rFonts w:ascii="仿宋" w:hAnsi="仿宋" w:eastAsia="仿宋" w:cs="仿宋"/>
          <w:sz w:val="28"/>
          <w:szCs w:val="28"/>
        </w:rPr>
      </w:pPr>
      <w:r>
        <w:rPr>
          <w:rFonts w:hint="eastAsia" w:ascii="仿宋" w:hAnsi="仿宋" w:eastAsia="仿宋" w:cs="仿宋"/>
          <w:sz w:val="28"/>
          <w:szCs w:val="28"/>
        </w:rPr>
        <w:t>格式化报告</w:t>
      </w:r>
    </w:p>
    <w:p w14:paraId="57141EA7">
      <w:pPr>
        <w:ind w:firstLine="420"/>
        <w:rPr>
          <w:rFonts w:ascii="仿宋" w:hAnsi="仿宋" w:eastAsia="仿宋" w:cs="仿宋"/>
          <w:sz w:val="28"/>
          <w:szCs w:val="28"/>
        </w:rPr>
      </w:pPr>
      <w:r>
        <w:rPr>
          <w:rFonts w:hint="eastAsia" w:ascii="仿宋" w:hAnsi="仿宋" w:eastAsia="仿宋" w:cs="仿宋"/>
          <w:sz w:val="28"/>
          <w:szCs w:val="28"/>
        </w:rPr>
        <w:t>演示格式化报告功能，通过拖拽方式设计报告模板，支持文本、表格、图表、图片等元素的自由布局；配置数据源并绑定至模板字段，实现报告内容的动态生成；支持多种格式（Word、Pdf）导出，支持报告模板多版本的管理。</w:t>
      </w:r>
    </w:p>
    <w:p w14:paraId="5BCF1068">
      <w:pPr>
        <w:pStyle w:val="5"/>
        <w:tabs>
          <w:tab w:val="clear" w:pos="709"/>
        </w:tabs>
      </w:pPr>
      <w:bookmarkStart w:id="69" w:name="_Toc26649"/>
      <w:r>
        <w:rPr>
          <w:rFonts w:hint="eastAsia"/>
        </w:rPr>
        <w:t>运维支撑</w:t>
      </w:r>
      <w:bookmarkEnd w:id="69"/>
    </w:p>
    <w:p w14:paraId="05C62235">
      <w:pPr>
        <w:numPr>
          <w:ilvl w:val="0"/>
          <w:numId w:val="14"/>
        </w:numPr>
        <w:ind w:firstLine="420"/>
        <w:rPr>
          <w:rFonts w:ascii="仿宋" w:hAnsi="仿宋" w:eastAsia="仿宋" w:cs="仿宋"/>
          <w:sz w:val="28"/>
          <w:szCs w:val="28"/>
        </w:rPr>
      </w:pPr>
      <w:r>
        <w:rPr>
          <w:rFonts w:hint="eastAsia" w:ascii="仿宋" w:hAnsi="仿宋" w:eastAsia="仿宋" w:cs="仿宋"/>
          <w:sz w:val="28"/>
          <w:szCs w:val="28"/>
        </w:rPr>
        <w:t>日志系统</w:t>
      </w:r>
    </w:p>
    <w:p w14:paraId="1FAC0546">
      <w:pPr>
        <w:numPr>
          <w:ilvl w:val="255"/>
          <w:numId w:val="0"/>
        </w:numPr>
        <w:ind w:firstLine="420"/>
        <w:rPr>
          <w:rFonts w:ascii="仿宋" w:hAnsi="仿宋" w:eastAsia="仿宋" w:cs="仿宋"/>
          <w:sz w:val="28"/>
          <w:szCs w:val="28"/>
        </w:rPr>
      </w:pPr>
      <w:r>
        <w:rPr>
          <w:rFonts w:hint="eastAsia" w:ascii="仿宋" w:hAnsi="仿宋" w:eastAsia="仿宋" w:cs="仿宋"/>
          <w:sz w:val="28"/>
          <w:szCs w:val="28"/>
        </w:rPr>
        <w:t>演示统一日志管理功能，展示基于分布式的日志集中采集功能，支持基于链路追踪、多视角、多维度的日志查询与分析。</w:t>
      </w:r>
    </w:p>
    <w:p w14:paraId="0534D4B2">
      <w:pPr>
        <w:numPr>
          <w:ilvl w:val="0"/>
          <w:numId w:val="14"/>
        </w:numPr>
        <w:ind w:firstLine="420"/>
        <w:rPr>
          <w:rFonts w:ascii="仿宋" w:hAnsi="仿宋" w:eastAsia="仿宋" w:cs="仿宋"/>
          <w:sz w:val="28"/>
          <w:szCs w:val="28"/>
        </w:rPr>
      </w:pPr>
      <w:r>
        <w:rPr>
          <w:rFonts w:hint="eastAsia" w:ascii="仿宋" w:hAnsi="仿宋" w:eastAsia="仿宋" w:cs="仿宋"/>
          <w:sz w:val="28"/>
          <w:szCs w:val="28"/>
        </w:rPr>
        <w:t>基础资源监控</w:t>
      </w:r>
    </w:p>
    <w:p w14:paraId="60A6583E">
      <w:pPr>
        <w:numPr>
          <w:ilvl w:val="0"/>
          <w:numId w:val="15"/>
        </w:numPr>
        <w:ind w:firstLine="420"/>
        <w:rPr>
          <w:rFonts w:ascii="仿宋" w:hAnsi="仿宋" w:eastAsia="仿宋" w:cs="仿宋"/>
          <w:sz w:val="28"/>
          <w:szCs w:val="28"/>
        </w:rPr>
      </w:pPr>
      <w:r>
        <w:rPr>
          <w:rFonts w:hint="eastAsia" w:ascii="仿宋" w:hAnsi="仿宋" w:eastAsia="仿宋" w:cs="仿宋"/>
          <w:sz w:val="28"/>
          <w:szCs w:val="28"/>
        </w:rPr>
        <w:t>演示</w:t>
      </w:r>
      <w:r>
        <w:rPr>
          <w:rFonts w:ascii="仿宋" w:hAnsi="仿宋" w:eastAsia="仿宋" w:cs="仿宋"/>
          <w:sz w:val="28"/>
          <w:szCs w:val="28"/>
        </w:rPr>
        <w:t>服务器CPU、内存、存储</w:t>
      </w:r>
      <w:r>
        <w:rPr>
          <w:rFonts w:hint="eastAsia" w:ascii="仿宋" w:hAnsi="仿宋" w:eastAsia="仿宋" w:cs="仿宋"/>
          <w:sz w:val="28"/>
          <w:szCs w:val="28"/>
        </w:rPr>
        <w:t>空间</w:t>
      </w:r>
      <w:r>
        <w:rPr>
          <w:rFonts w:ascii="仿宋" w:hAnsi="仿宋" w:eastAsia="仿宋" w:cs="仿宋"/>
          <w:sz w:val="28"/>
          <w:szCs w:val="28"/>
        </w:rPr>
        <w:t>、JVM（内存、线程、GC）等核心资源的实时采集与图形化监控</w:t>
      </w:r>
      <w:r>
        <w:rPr>
          <w:rFonts w:hint="eastAsia" w:ascii="仿宋" w:hAnsi="仿宋" w:eastAsia="仿宋" w:cs="仿宋"/>
          <w:sz w:val="28"/>
          <w:szCs w:val="28"/>
        </w:rPr>
        <w:t>；</w:t>
      </w:r>
    </w:p>
    <w:p w14:paraId="16608B6B">
      <w:pPr>
        <w:numPr>
          <w:ilvl w:val="0"/>
          <w:numId w:val="15"/>
        </w:numPr>
        <w:ind w:firstLine="420"/>
        <w:rPr>
          <w:rFonts w:ascii="仿宋" w:hAnsi="仿宋" w:eastAsia="仿宋" w:cs="仿宋"/>
          <w:sz w:val="28"/>
          <w:szCs w:val="28"/>
        </w:rPr>
      </w:pPr>
      <w:r>
        <w:rPr>
          <w:rFonts w:hint="eastAsia" w:ascii="仿宋" w:hAnsi="仿宋" w:eastAsia="仿宋" w:cs="仿宋"/>
          <w:sz w:val="28"/>
          <w:szCs w:val="28"/>
        </w:rPr>
        <w:t>提供</w:t>
      </w:r>
      <w:r>
        <w:rPr>
          <w:rFonts w:ascii="仿宋" w:hAnsi="仿宋" w:eastAsia="仿宋" w:cs="仿宋"/>
          <w:sz w:val="28"/>
          <w:szCs w:val="28"/>
        </w:rPr>
        <w:t>对集群及微服务间的网络流量监控，支持图形化分析与查看</w:t>
      </w:r>
      <w:r>
        <w:rPr>
          <w:rFonts w:hint="eastAsia" w:ascii="仿宋" w:hAnsi="仿宋" w:eastAsia="仿宋" w:cs="仿宋"/>
          <w:sz w:val="28"/>
          <w:szCs w:val="28"/>
        </w:rPr>
        <w:t>；提供业务流量、请求耗时、成功率等关键指标的采集与可视化分析。</w:t>
      </w:r>
    </w:p>
    <w:p w14:paraId="6D3BF4A3">
      <w:pPr>
        <w:numPr>
          <w:ilvl w:val="0"/>
          <w:numId w:val="15"/>
        </w:numPr>
        <w:ind w:firstLine="420"/>
        <w:rPr>
          <w:rFonts w:ascii="仿宋" w:hAnsi="仿宋" w:eastAsia="仿宋" w:cs="仿宋"/>
          <w:sz w:val="28"/>
          <w:szCs w:val="28"/>
        </w:rPr>
      </w:pPr>
      <w:r>
        <w:rPr>
          <w:rFonts w:hint="eastAsia" w:ascii="仿宋" w:hAnsi="仿宋" w:eastAsia="仿宋" w:cs="仿宋"/>
          <w:sz w:val="28"/>
          <w:szCs w:val="28"/>
        </w:rPr>
        <w:t>演示</w:t>
      </w:r>
      <w:r>
        <w:rPr>
          <w:rFonts w:ascii="仿宋" w:hAnsi="仿宋" w:eastAsia="仿宋" w:cs="仿宋"/>
          <w:sz w:val="28"/>
          <w:szCs w:val="28"/>
        </w:rPr>
        <w:t>系统异常与指标阈值的实时检测与多通道告警通知功能。</w:t>
      </w:r>
    </w:p>
    <w:p w14:paraId="64A4C80D">
      <w:pPr>
        <w:numPr>
          <w:ilvl w:val="0"/>
          <w:numId w:val="14"/>
        </w:numPr>
        <w:ind w:firstLine="420"/>
        <w:rPr>
          <w:rFonts w:ascii="仿宋" w:hAnsi="仿宋" w:eastAsia="仿宋" w:cs="仿宋"/>
          <w:sz w:val="28"/>
          <w:szCs w:val="28"/>
        </w:rPr>
      </w:pPr>
      <w:r>
        <w:rPr>
          <w:rFonts w:hint="eastAsia" w:ascii="仿宋" w:hAnsi="仿宋" w:eastAsia="仿宋" w:cs="仿宋"/>
          <w:sz w:val="28"/>
          <w:szCs w:val="28"/>
        </w:rPr>
        <w:t>效率监控</w:t>
      </w:r>
    </w:p>
    <w:p w14:paraId="51674E7E">
      <w:pPr>
        <w:rPr>
          <w:rFonts w:ascii="仿宋" w:hAnsi="仿宋" w:eastAsia="仿宋" w:cs="仿宋"/>
          <w:sz w:val="28"/>
          <w:szCs w:val="28"/>
        </w:rPr>
      </w:pPr>
      <w:r>
        <w:rPr>
          <w:rFonts w:hint="eastAsia" w:ascii="仿宋" w:hAnsi="仿宋" w:eastAsia="仿宋" w:cs="仿宋"/>
          <w:sz w:val="28"/>
          <w:szCs w:val="28"/>
        </w:rPr>
        <w:t>演示对于指定的系统功能设置埋点或探针对用户行为进行记录，以及对用户操作行为效率的统计分析；</w:t>
      </w:r>
    </w:p>
    <w:p w14:paraId="54EF079A">
      <w:pPr>
        <w:rPr>
          <w:rFonts w:ascii="仿宋" w:hAnsi="仿宋" w:eastAsia="仿宋" w:cs="仿宋"/>
          <w:sz w:val="28"/>
          <w:szCs w:val="28"/>
        </w:rPr>
      </w:pPr>
    </w:p>
    <w:p w14:paraId="2782ACB1">
      <w:pPr>
        <w:pStyle w:val="5"/>
        <w:tabs>
          <w:tab w:val="clear" w:pos="709"/>
        </w:tabs>
      </w:pPr>
      <w:bookmarkStart w:id="70" w:name="_Toc1117"/>
      <w:r>
        <w:rPr>
          <w:rFonts w:hint="eastAsia"/>
        </w:rPr>
        <w:t>技术规范</w:t>
      </w:r>
      <w:bookmarkEnd w:id="70"/>
    </w:p>
    <w:p w14:paraId="0F0953C9">
      <w:pPr>
        <w:numPr>
          <w:ilvl w:val="255"/>
          <w:numId w:val="0"/>
        </w:numPr>
        <w:ind w:firstLine="420"/>
        <w:rPr>
          <w:rFonts w:ascii="仿宋" w:hAnsi="仿宋" w:eastAsia="仿宋" w:cs="仿宋"/>
          <w:sz w:val="28"/>
          <w:szCs w:val="28"/>
        </w:rPr>
      </w:pPr>
      <w:r>
        <w:rPr>
          <w:rFonts w:hint="eastAsia" w:ascii="仿宋" w:hAnsi="仿宋" w:eastAsia="仿宋" w:cs="仿宋"/>
          <w:sz w:val="28"/>
          <w:szCs w:val="28"/>
        </w:rPr>
        <w:t>（1）技术文档</w:t>
      </w:r>
    </w:p>
    <w:p w14:paraId="55C269EB">
      <w:pPr>
        <w:numPr>
          <w:ilvl w:val="255"/>
          <w:numId w:val="0"/>
        </w:numPr>
        <w:ind w:firstLine="420"/>
        <w:rPr>
          <w:rFonts w:ascii="仿宋" w:hAnsi="仿宋" w:eastAsia="仿宋" w:cs="仿宋"/>
          <w:sz w:val="28"/>
          <w:szCs w:val="28"/>
        </w:rPr>
      </w:pPr>
      <w:r>
        <w:rPr>
          <w:rFonts w:hint="eastAsia" w:ascii="仿宋" w:hAnsi="仿宋" w:eastAsia="仿宋" w:cs="仿宋"/>
          <w:sz w:val="28"/>
          <w:szCs w:val="28"/>
        </w:rPr>
        <w:t>提供完善清晰有效的说明文档、API文档、操作文档等，包括但不限于如下相关或等效文档：技术接口规范/说明、API说明文档、系统架构详细说明、开发规范、数据库设计说明、数据库详细说明书、详细设计说明书。</w:t>
      </w:r>
    </w:p>
    <w:p w14:paraId="60873C40">
      <w:pPr>
        <w:numPr>
          <w:ilvl w:val="255"/>
          <w:numId w:val="0"/>
        </w:numPr>
        <w:ind w:firstLine="420"/>
        <w:rPr>
          <w:rFonts w:ascii="仿宋" w:hAnsi="仿宋" w:eastAsia="仿宋" w:cs="仿宋"/>
          <w:sz w:val="28"/>
          <w:szCs w:val="28"/>
        </w:rPr>
      </w:pPr>
      <w:r>
        <w:rPr>
          <w:rFonts w:hint="eastAsia" w:ascii="仿宋" w:hAnsi="仿宋" w:eastAsia="仿宋" w:cs="仿宋"/>
          <w:sz w:val="28"/>
          <w:szCs w:val="28"/>
        </w:rPr>
        <w:t>（2）开发规范</w:t>
      </w:r>
    </w:p>
    <w:p w14:paraId="69C05123">
      <w:pPr>
        <w:numPr>
          <w:ilvl w:val="255"/>
          <w:numId w:val="0"/>
        </w:numPr>
        <w:ind w:firstLine="420"/>
        <w:rPr>
          <w:rFonts w:ascii="仿宋" w:hAnsi="仿宋" w:eastAsia="仿宋" w:cs="仿宋"/>
          <w:sz w:val="28"/>
          <w:szCs w:val="28"/>
        </w:rPr>
      </w:pPr>
      <w:r>
        <w:rPr>
          <w:rFonts w:hint="eastAsia" w:ascii="仿宋" w:hAnsi="仿宋" w:eastAsia="仿宋" w:cs="仿宋"/>
          <w:sz w:val="28"/>
          <w:szCs w:val="28"/>
        </w:rPr>
        <w:t>提供统一的二次开发规范标准，演示代码规范性扫描。</w:t>
      </w:r>
    </w:p>
    <w:p w14:paraId="5C2D8404">
      <w:pPr>
        <w:pStyle w:val="5"/>
        <w:tabs>
          <w:tab w:val="clear" w:pos="709"/>
        </w:tabs>
      </w:pPr>
      <w:bookmarkStart w:id="71" w:name="_Toc5574"/>
      <w:r>
        <w:rPr>
          <w:rFonts w:hint="eastAsia"/>
        </w:rPr>
        <w:t>安全性保障</w:t>
      </w:r>
      <w:bookmarkEnd w:id="71"/>
    </w:p>
    <w:p w14:paraId="187E0F5B">
      <w:pPr>
        <w:pStyle w:val="20"/>
        <w:ind w:firstLineChars="0"/>
        <w:rPr>
          <w:rFonts w:ascii="仿宋" w:hAnsi="仿宋" w:cs="仿宋"/>
          <w:szCs w:val="28"/>
        </w:rPr>
      </w:pPr>
      <w:r>
        <w:rPr>
          <w:rFonts w:hint="eastAsia" w:ascii="仿宋" w:hAnsi="仿宋" w:cs="仿宋"/>
          <w:szCs w:val="28"/>
        </w:rPr>
        <w:t>（1）敏感数据保护</w:t>
      </w:r>
    </w:p>
    <w:p w14:paraId="07D5E7B3">
      <w:pPr>
        <w:pStyle w:val="20"/>
        <w:ind w:firstLine="560"/>
        <w:rPr>
          <w:rFonts w:ascii="仿宋" w:hAnsi="仿宋" w:cs="仿宋"/>
          <w:szCs w:val="28"/>
        </w:rPr>
      </w:pPr>
      <w:r>
        <w:rPr>
          <w:rFonts w:hint="eastAsia" w:ascii="仿宋" w:hAnsi="仿宋" w:cs="仿宋"/>
          <w:szCs w:val="28"/>
        </w:rPr>
        <w:t>演示通过配置对敏感字段进行动态脱敏，对客户信息诸如联系方式等敏感信息进行加密存储、脱敏展示。</w:t>
      </w:r>
    </w:p>
    <w:p w14:paraId="5CACD2F6">
      <w:pPr>
        <w:pStyle w:val="20"/>
        <w:numPr>
          <w:ilvl w:val="255"/>
          <w:numId w:val="0"/>
        </w:numPr>
        <w:ind w:firstLine="420"/>
        <w:rPr>
          <w:rFonts w:ascii="仿宋" w:hAnsi="仿宋" w:cs="仿宋"/>
          <w:szCs w:val="28"/>
        </w:rPr>
      </w:pPr>
      <w:r>
        <w:rPr>
          <w:rFonts w:hint="eastAsia" w:ascii="仿宋" w:hAnsi="仿宋" w:cs="仿宋"/>
          <w:szCs w:val="28"/>
        </w:rPr>
        <w:t>（2）安全审计</w:t>
      </w:r>
    </w:p>
    <w:p w14:paraId="17BA8288">
      <w:pPr>
        <w:pStyle w:val="20"/>
        <w:numPr>
          <w:ilvl w:val="255"/>
          <w:numId w:val="0"/>
        </w:numPr>
        <w:ind w:firstLine="420"/>
        <w:rPr>
          <w:rFonts w:ascii="仿宋" w:hAnsi="仿宋" w:cs="仿宋"/>
          <w:szCs w:val="28"/>
        </w:rPr>
      </w:pPr>
      <w:r>
        <w:rPr>
          <w:rFonts w:hint="eastAsia" w:ascii="仿宋" w:hAnsi="仿宋" w:cs="仿宋"/>
          <w:szCs w:val="28"/>
        </w:rPr>
        <w:t>演示系统审计功能，展示用户登录、数据访问、权限变更、关键业务操作等敏感操作日志，提供完整的操作溯源功能。支持按时间、用户、操作类型等多维度检索。</w:t>
      </w:r>
    </w:p>
    <w:p w14:paraId="3BC28459">
      <w:pPr>
        <w:pStyle w:val="20"/>
        <w:numPr>
          <w:ilvl w:val="0"/>
          <w:numId w:val="14"/>
        </w:numPr>
        <w:ind w:firstLineChars="0"/>
        <w:rPr>
          <w:rFonts w:ascii="仿宋" w:hAnsi="仿宋" w:cs="仿宋"/>
          <w:szCs w:val="28"/>
        </w:rPr>
      </w:pPr>
      <w:r>
        <w:rPr>
          <w:rFonts w:hint="eastAsia" w:ascii="仿宋" w:hAnsi="仿宋" w:cs="仿宋"/>
          <w:szCs w:val="28"/>
        </w:rPr>
        <w:t>应用安全</w:t>
      </w:r>
    </w:p>
    <w:p w14:paraId="16E42040">
      <w:pPr>
        <w:pStyle w:val="20"/>
        <w:ind w:firstLine="0" w:firstLineChars="0"/>
        <w:rPr>
          <w:rFonts w:ascii="仿宋" w:hAnsi="仿宋" w:cs="仿宋"/>
          <w:szCs w:val="28"/>
        </w:rPr>
      </w:pPr>
      <w:r>
        <w:rPr>
          <w:rFonts w:hint="eastAsia" w:ascii="仿宋" w:hAnsi="仿宋" w:cs="仿宋"/>
          <w:szCs w:val="28"/>
        </w:rPr>
        <w:t xml:space="preserve"> 演示页面数据校验、越权访问控制、统一账号登录人数限制、浏览器不存敏感信息、cookie信息检查、用户会话安全等场景。</w:t>
      </w:r>
    </w:p>
    <w:p w14:paraId="7F82BAF2">
      <w:pPr>
        <w:pStyle w:val="21"/>
        <w:rPr>
          <w:color w:val="auto"/>
          <w:szCs w:val="28"/>
        </w:rPr>
      </w:pPr>
    </w:p>
    <w:p w14:paraId="2D2028DF">
      <w:pPr>
        <w:pStyle w:val="21"/>
        <w:rPr>
          <w:color w:val="auto"/>
          <w:szCs w:val="28"/>
          <w:highlight w:val="none"/>
        </w:rPr>
      </w:pPr>
    </w:p>
    <w:p w14:paraId="3D72306D">
      <w:pPr>
        <w:pStyle w:val="5"/>
        <w:rPr>
          <w:highlight w:val="none"/>
        </w:rPr>
      </w:pPr>
      <w:bookmarkStart w:id="72" w:name="_Toc29151"/>
      <w:r>
        <w:rPr>
          <w:rFonts w:hint="eastAsia"/>
          <w:highlight w:val="none"/>
          <w:lang w:val="en-US" w:eastAsia="zh-CN"/>
        </w:rPr>
        <w:t>模板管理中心</w:t>
      </w:r>
      <w:bookmarkEnd w:id="72"/>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32B17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6F01A70A">
            <w:pPr>
              <w:pStyle w:val="107"/>
              <w:ind w:firstLine="0" w:firstLineChars="0"/>
              <w:rPr>
                <w:rFonts w:ascii="宋体" w:hAnsi="宋体"/>
                <w:szCs w:val="21"/>
                <w:highlight w:val="none"/>
              </w:rPr>
            </w:pPr>
            <w:r>
              <w:rPr>
                <w:rFonts w:hint="eastAsia" w:ascii="宋体" w:hAnsi="宋体"/>
                <w:szCs w:val="21"/>
                <w:highlight w:val="none"/>
              </w:rPr>
              <w:t>测试名称</w:t>
            </w:r>
          </w:p>
        </w:tc>
        <w:tc>
          <w:tcPr>
            <w:tcW w:w="8436" w:type="dxa"/>
            <w:vAlign w:val="center"/>
          </w:tcPr>
          <w:p w14:paraId="5AF331E9">
            <w:pPr>
              <w:pStyle w:val="107"/>
              <w:ind w:firstLine="0" w:firstLineChars="0"/>
              <w:rPr>
                <w:rFonts w:ascii="宋体" w:hAnsi="宋体"/>
                <w:szCs w:val="21"/>
                <w:highlight w:val="none"/>
              </w:rPr>
            </w:pPr>
            <w:r>
              <w:rPr>
                <w:rFonts w:hint="eastAsia" w:ascii="宋体" w:hAnsi="宋体"/>
                <w:szCs w:val="21"/>
                <w:highlight w:val="none"/>
              </w:rPr>
              <w:t>模板管理中心</w:t>
            </w:r>
          </w:p>
        </w:tc>
      </w:tr>
      <w:tr w14:paraId="7937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2C89344F">
            <w:pPr>
              <w:pStyle w:val="107"/>
              <w:ind w:firstLine="0" w:firstLineChars="0"/>
              <w:rPr>
                <w:rFonts w:ascii="宋体" w:hAnsi="宋体"/>
                <w:szCs w:val="21"/>
                <w:highlight w:val="none"/>
              </w:rPr>
            </w:pPr>
            <w:r>
              <w:rPr>
                <w:rFonts w:hint="eastAsia" w:ascii="宋体" w:hAnsi="宋体"/>
                <w:szCs w:val="21"/>
                <w:highlight w:val="none"/>
              </w:rPr>
              <w:t>测试目的</w:t>
            </w:r>
          </w:p>
        </w:tc>
        <w:tc>
          <w:tcPr>
            <w:tcW w:w="8436" w:type="dxa"/>
            <w:vAlign w:val="center"/>
          </w:tcPr>
          <w:p w14:paraId="27E41582">
            <w:pPr>
              <w:pStyle w:val="107"/>
              <w:ind w:firstLine="0" w:firstLineChars="0"/>
              <w:rPr>
                <w:rFonts w:ascii="宋体" w:hAnsi="宋体"/>
                <w:szCs w:val="21"/>
                <w:highlight w:val="none"/>
              </w:rPr>
            </w:pPr>
            <w:r>
              <w:rPr>
                <w:rFonts w:hint="eastAsia" w:ascii="宋体" w:hAnsi="宋体"/>
                <w:szCs w:val="21"/>
                <w:highlight w:val="none"/>
              </w:rPr>
              <w:t>展示</w:t>
            </w:r>
            <w:r>
              <w:rPr>
                <w:rFonts w:hint="eastAsia" w:ascii="宋体" w:hAnsi="宋体"/>
                <w:szCs w:val="21"/>
                <w:highlight w:val="none"/>
                <w:lang w:val="en-US" w:eastAsia="zh-CN"/>
              </w:rPr>
              <w:t>模板</w:t>
            </w:r>
            <w:r>
              <w:rPr>
                <w:rFonts w:hint="eastAsia" w:ascii="宋体" w:hAnsi="宋体"/>
                <w:szCs w:val="21"/>
                <w:highlight w:val="none"/>
              </w:rPr>
              <w:t>管理功能</w:t>
            </w:r>
          </w:p>
        </w:tc>
      </w:tr>
      <w:tr w14:paraId="690B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34D90E74">
            <w:pPr>
              <w:pStyle w:val="107"/>
              <w:ind w:firstLine="0" w:firstLineChars="0"/>
              <w:rPr>
                <w:rFonts w:ascii="宋体" w:hAnsi="宋体"/>
                <w:szCs w:val="21"/>
                <w:highlight w:val="none"/>
              </w:rPr>
            </w:pPr>
            <w:r>
              <w:rPr>
                <w:rFonts w:hint="eastAsia" w:ascii="宋体" w:hAnsi="宋体"/>
                <w:szCs w:val="21"/>
                <w:highlight w:val="none"/>
              </w:rPr>
              <w:t>测试场景</w:t>
            </w:r>
          </w:p>
        </w:tc>
        <w:tc>
          <w:tcPr>
            <w:tcW w:w="8436" w:type="dxa"/>
            <w:vAlign w:val="center"/>
          </w:tcPr>
          <w:p w14:paraId="717CFF92">
            <w:pPr>
              <w:pStyle w:val="107"/>
              <w:ind w:firstLine="0" w:firstLineChars="0"/>
              <w:rPr>
                <w:rFonts w:ascii="宋体" w:hAnsi="宋体"/>
                <w:szCs w:val="21"/>
                <w:highlight w:val="none"/>
              </w:rPr>
            </w:pPr>
            <w:r>
              <w:rPr>
                <w:rFonts w:ascii="宋体" w:hAnsi="宋体"/>
                <w:szCs w:val="21"/>
                <w:highlight w:val="none"/>
              </w:rPr>
              <w:t>实现如下功能：</w:t>
            </w:r>
          </w:p>
          <w:p w14:paraId="1BA530E3">
            <w:pPr>
              <w:pStyle w:val="107"/>
              <w:spacing w:after="0"/>
              <w:ind w:firstLine="0" w:firstLineChars="0"/>
              <w:rPr>
                <w:rFonts w:ascii="宋体" w:hAnsi="宋体"/>
                <w:szCs w:val="21"/>
                <w:highlight w:val="none"/>
              </w:rPr>
            </w:pPr>
            <w:r>
              <w:rPr>
                <w:rFonts w:hint="eastAsia" w:ascii="宋体" w:hAnsi="宋体"/>
                <w:szCs w:val="21"/>
                <w:highlight w:val="none"/>
              </w:rPr>
              <w:t>1、支持</w:t>
            </w:r>
            <w:r>
              <w:rPr>
                <w:rFonts w:hint="eastAsia" w:ascii="宋体" w:hAnsi="宋体"/>
                <w:szCs w:val="21"/>
                <w:highlight w:val="none"/>
                <w:lang w:val="en-US" w:eastAsia="zh-CN"/>
              </w:rPr>
              <w:t>模板</w:t>
            </w:r>
            <w:r>
              <w:rPr>
                <w:rFonts w:hint="eastAsia" w:ascii="宋体" w:hAnsi="宋体"/>
                <w:szCs w:val="21"/>
                <w:highlight w:val="none"/>
              </w:rPr>
              <w:t>目录层级的多级配置</w:t>
            </w:r>
          </w:p>
          <w:p w14:paraId="2DA44A8C">
            <w:pPr>
              <w:pStyle w:val="107"/>
              <w:spacing w:after="0"/>
              <w:ind w:firstLine="0" w:firstLineChars="0"/>
              <w:rPr>
                <w:rFonts w:ascii="宋体" w:hAnsi="宋体"/>
                <w:szCs w:val="21"/>
                <w:highlight w:val="none"/>
              </w:rPr>
            </w:pPr>
            <w:r>
              <w:rPr>
                <w:rFonts w:hint="eastAsia" w:ascii="宋体" w:hAnsi="宋体"/>
                <w:szCs w:val="21"/>
                <w:highlight w:val="none"/>
              </w:rPr>
              <w:t>2、支持各类模板（包括尽调报告、审查报告等）的格式化配置，及模板要素取值规则的配置</w:t>
            </w:r>
          </w:p>
          <w:p w14:paraId="2592FD9A">
            <w:pPr>
              <w:pStyle w:val="107"/>
              <w:spacing w:after="0"/>
              <w:ind w:firstLine="0" w:firstLineChars="0"/>
              <w:rPr>
                <w:rFonts w:ascii="宋体" w:hAnsi="宋体"/>
                <w:szCs w:val="21"/>
                <w:highlight w:val="none"/>
              </w:rPr>
            </w:pPr>
            <w:r>
              <w:rPr>
                <w:rFonts w:hint="eastAsia" w:ascii="宋体" w:hAnsi="宋体"/>
                <w:szCs w:val="21"/>
                <w:highlight w:val="none"/>
              </w:rPr>
              <w:t>3、支持</w:t>
            </w:r>
            <w:r>
              <w:rPr>
                <w:rFonts w:hint="eastAsia" w:ascii="宋体" w:hAnsi="宋体"/>
                <w:szCs w:val="21"/>
                <w:highlight w:val="none"/>
                <w:lang w:val="en-US" w:eastAsia="zh-CN"/>
              </w:rPr>
              <w:t>各类</w:t>
            </w:r>
            <w:r>
              <w:rPr>
                <w:rFonts w:hint="eastAsia" w:ascii="宋体" w:hAnsi="宋体"/>
                <w:szCs w:val="21"/>
                <w:highlight w:val="none"/>
              </w:rPr>
              <w:t>模板的版本管理</w:t>
            </w:r>
          </w:p>
          <w:p w14:paraId="48E0B7E2">
            <w:pPr>
              <w:pStyle w:val="107"/>
              <w:spacing w:after="0"/>
              <w:ind w:firstLine="0" w:firstLineChars="0"/>
              <w:rPr>
                <w:rFonts w:ascii="宋体" w:hAnsi="宋体"/>
                <w:szCs w:val="21"/>
                <w:highlight w:val="none"/>
              </w:rPr>
            </w:pPr>
            <w:r>
              <w:rPr>
                <w:rFonts w:hint="eastAsia" w:ascii="宋体" w:hAnsi="宋体"/>
                <w:szCs w:val="21"/>
                <w:highlight w:val="none"/>
              </w:rPr>
              <w:t>4、支持</w:t>
            </w:r>
            <w:r>
              <w:rPr>
                <w:rFonts w:hint="eastAsia" w:ascii="宋体" w:hAnsi="宋体"/>
                <w:szCs w:val="21"/>
                <w:highlight w:val="none"/>
                <w:lang w:val="en-US" w:eastAsia="zh-CN"/>
              </w:rPr>
              <w:t>各类</w:t>
            </w:r>
            <w:r>
              <w:rPr>
                <w:rFonts w:hint="eastAsia" w:ascii="宋体" w:hAnsi="宋体"/>
                <w:szCs w:val="21"/>
                <w:highlight w:val="none"/>
              </w:rPr>
              <w:t>模板的导入导出</w:t>
            </w:r>
          </w:p>
        </w:tc>
      </w:tr>
    </w:tbl>
    <w:p w14:paraId="4B536E20">
      <w:pPr>
        <w:pStyle w:val="5"/>
        <w:rPr>
          <w:highlight w:val="none"/>
        </w:rPr>
      </w:pPr>
      <w:bookmarkStart w:id="73" w:name="_Toc9160"/>
      <w:r>
        <w:rPr>
          <w:rFonts w:hint="eastAsia"/>
          <w:highlight w:val="none"/>
        </w:rPr>
        <w:t>授权中心</w:t>
      </w:r>
      <w:bookmarkEnd w:id="73"/>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0395C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51C8A50F">
            <w:pPr>
              <w:pStyle w:val="107"/>
              <w:ind w:firstLine="0" w:firstLineChars="0"/>
              <w:rPr>
                <w:rFonts w:ascii="宋体" w:hAnsi="宋体"/>
                <w:szCs w:val="21"/>
                <w:highlight w:val="none"/>
              </w:rPr>
            </w:pPr>
            <w:r>
              <w:rPr>
                <w:rFonts w:hint="eastAsia" w:ascii="宋体" w:hAnsi="宋体"/>
                <w:szCs w:val="21"/>
                <w:highlight w:val="none"/>
              </w:rPr>
              <w:t>测试名称</w:t>
            </w:r>
          </w:p>
        </w:tc>
        <w:tc>
          <w:tcPr>
            <w:tcW w:w="8436" w:type="dxa"/>
            <w:vAlign w:val="center"/>
          </w:tcPr>
          <w:p w14:paraId="4A6BAD4A">
            <w:pPr>
              <w:pStyle w:val="107"/>
              <w:ind w:firstLine="0" w:firstLineChars="0"/>
              <w:rPr>
                <w:rFonts w:ascii="宋体" w:hAnsi="宋体"/>
                <w:szCs w:val="21"/>
                <w:highlight w:val="none"/>
              </w:rPr>
            </w:pPr>
            <w:r>
              <w:rPr>
                <w:rFonts w:hint="eastAsia" w:ascii="宋体" w:hAnsi="宋体"/>
                <w:szCs w:val="21"/>
                <w:highlight w:val="none"/>
              </w:rPr>
              <w:t>授权中心</w:t>
            </w:r>
          </w:p>
        </w:tc>
      </w:tr>
      <w:tr w14:paraId="71F4B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464E46A8">
            <w:pPr>
              <w:pStyle w:val="107"/>
              <w:ind w:firstLine="0" w:firstLineChars="0"/>
              <w:rPr>
                <w:rFonts w:ascii="宋体" w:hAnsi="宋体"/>
                <w:szCs w:val="21"/>
                <w:highlight w:val="none"/>
              </w:rPr>
            </w:pPr>
            <w:r>
              <w:rPr>
                <w:rFonts w:hint="eastAsia" w:ascii="宋体" w:hAnsi="宋体"/>
                <w:szCs w:val="21"/>
                <w:highlight w:val="none"/>
              </w:rPr>
              <w:t>测试目的</w:t>
            </w:r>
          </w:p>
        </w:tc>
        <w:tc>
          <w:tcPr>
            <w:tcW w:w="8436" w:type="dxa"/>
            <w:vAlign w:val="center"/>
          </w:tcPr>
          <w:p w14:paraId="3685D05C">
            <w:pPr>
              <w:pStyle w:val="107"/>
              <w:ind w:firstLine="0" w:firstLineChars="0"/>
              <w:rPr>
                <w:rFonts w:ascii="宋体" w:hAnsi="宋体"/>
                <w:szCs w:val="21"/>
                <w:highlight w:val="none"/>
              </w:rPr>
            </w:pPr>
            <w:r>
              <w:rPr>
                <w:rFonts w:hint="eastAsia" w:ascii="宋体" w:hAnsi="宋体"/>
                <w:szCs w:val="21"/>
                <w:highlight w:val="none"/>
              </w:rPr>
              <w:t>展示授权中心功能</w:t>
            </w:r>
          </w:p>
        </w:tc>
      </w:tr>
      <w:tr w14:paraId="74926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74086E3A">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1DF006E6">
            <w:pPr>
              <w:pStyle w:val="107"/>
              <w:ind w:firstLine="0" w:firstLineChars="0"/>
              <w:rPr>
                <w:rFonts w:ascii="宋体" w:hAnsi="宋体"/>
                <w:szCs w:val="21"/>
              </w:rPr>
            </w:pPr>
            <w:r>
              <w:rPr>
                <w:rFonts w:ascii="宋体" w:hAnsi="宋体"/>
                <w:szCs w:val="21"/>
              </w:rPr>
              <w:t>实现如下功能：</w:t>
            </w:r>
          </w:p>
          <w:p w14:paraId="219C14A7">
            <w:pPr>
              <w:pStyle w:val="107"/>
              <w:spacing w:after="0"/>
              <w:ind w:firstLine="0" w:firstLineChars="0"/>
              <w:rPr>
                <w:rFonts w:ascii="宋体" w:hAnsi="宋体"/>
                <w:szCs w:val="21"/>
              </w:rPr>
            </w:pPr>
            <w:r>
              <w:rPr>
                <w:rFonts w:hint="eastAsia" w:ascii="宋体" w:hAnsi="宋体"/>
                <w:szCs w:val="21"/>
              </w:rPr>
              <w:t>1、支持灵活配置授权维度，并提供新增、编辑、删除等操作功能</w:t>
            </w:r>
          </w:p>
          <w:p w14:paraId="00BB2412">
            <w:pPr>
              <w:pStyle w:val="107"/>
              <w:spacing w:after="0"/>
              <w:ind w:firstLine="0" w:firstLineChars="0"/>
              <w:rPr>
                <w:rFonts w:ascii="宋体" w:hAnsi="宋体"/>
                <w:szCs w:val="21"/>
              </w:rPr>
            </w:pPr>
            <w:r>
              <w:rPr>
                <w:rFonts w:hint="eastAsia" w:ascii="宋体" w:hAnsi="宋体"/>
                <w:szCs w:val="21"/>
              </w:rPr>
              <w:t>2、支持各类授权、转授权模板的配置</w:t>
            </w:r>
          </w:p>
          <w:p w14:paraId="782C12AD">
            <w:pPr>
              <w:pStyle w:val="107"/>
              <w:spacing w:after="0"/>
              <w:ind w:firstLine="0" w:firstLineChars="0"/>
              <w:rPr>
                <w:rFonts w:ascii="宋体" w:hAnsi="宋体"/>
                <w:szCs w:val="21"/>
              </w:rPr>
            </w:pPr>
            <w:r>
              <w:rPr>
                <w:rFonts w:hint="eastAsia" w:ascii="宋体" w:hAnsi="宋体"/>
                <w:szCs w:val="21"/>
              </w:rPr>
              <w:t>3、支持授权、转授权方案的权限管理</w:t>
            </w:r>
          </w:p>
          <w:p w14:paraId="1D6BA93A">
            <w:pPr>
              <w:pStyle w:val="107"/>
              <w:spacing w:after="0"/>
              <w:ind w:firstLine="0" w:firstLineChars="0"/>
              <w:rPr>
                <w:rFonts w:ascii="宋体" w:hAnsi="宋体"/>
                <w:szCs w:val="21"/>
              </w:rPr>
            </w:pPr>
            <w:r>
              <w:rPr>
                <w:rFonts w:hint="eastAsia" w:ascii="宋体" w:hAnsi="宋体"/>
                <w:szCs w:val="21"/>
              </w:rPr>
              <w:t>4、支持授权方案与规则引擎的联动</w:t>
            </w:r>
          </w:p>
          <w:p w14:paraId="002F4EEE">
            <w:pPr>
              <w:pStyle w:val="107"/>
              <w:spacing w:after="0"/>
              <w:ind w:firstLine="0" w:firstLineChars="0"/>
              <w:rPr>
                <w:rFonts w:ascii="宋体" w:hAnsi="宋体"/>
                <w:szCs w:val="21"/>
              </w:rPr>
            </w:pPr>
            <w:r>
              <w:rPr>
                <w:rFonts w:hint="eastAsia" w:ascii="宋体" w:hAnsi="宋体"/>
                <w:szCs w:val="21"/>
              </w:rPr>
              <w:t>5、支持授权方案与工作流引擎的联动</w:t>
            </w:r>
          </w:p>
        </w:tc>
      </w:tr>
    </w:tbl>
    <w:p w14:paraId="111D160E"/>
    <w:p w14:paraId="49EB9365"/>
    <w:p w14:paraId="671E797D">
      <w:pPr>
        <w:pStyle w:val="5"/>
      </w:pPr>
      <w:bookmarkStart w:id="74" w:name="_Toc5601"/>
      <w:r>
        <w:rPr>
          <w:rFonts w:hint="eastAsia"/>
        </w:rPr>
        <w:t>流程中心</w:t>
      </w:r>
      <w:bookmarkEnd w:id="74"/>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6BD5F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2065BE94">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4442FC4D">
            <w:pPr>
              <w:pStyle w:val="107"/>
              <w:ind w:firstLine="0" w:firstLineChars="0"/>
              <w:rPr>
                <w:rFonts w:ascii="宋体" w:hAnsi="宋体"/>
                <w:szCs w:val="21"/>
              </w:rPr>
            </w:pPr>
            <w:r>
              <w:rPr>
                <w:rFonts w:hint="eastAsia" w:ascii="宋体" w:hAnsi="宋体"/>
                <w:szCs w:val="21"/>
              </w:rPr>
              <w:t>流程中心</w:t>
            </w:r>
          </w:p>
        </w:tc>
      </w:tr>
      <w:tr w14:paraId="7405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0C7BC98B">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0802AB41">
            <w:pPr>
              <w:pStyle w:val="107"/>
              <w:ind w:firstLine="0" w:firstLineChars="0"/>
              <w:rPr>
                <w:rFonts w:ascii="宋体" w:hAnsi="宋体"/>
                <w:szCs w:val="21"/>
              </w:rPr>
            </w:pPr>
            <w:r>
              <w:rPr>
                <w:rFonts w:hint="eastAsia" w:ascii="宋体" w:hAnsi="宋体"/>
                <w:szCs w:val="21"/>
              </w:rPr>
              <w:t>展示流程中心功能</w:t>
            </w:r>
          </w:p>
        </w:tc>
      </w:tr>
      <w:tr w14:paraId="062FF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7A6008CA">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7492777A">
            <w:pPr>
              <w:pStyle w:val="107"/>
              <w:ind w:firstLine="0" w:firstLineChars="0"/>
              <w:rPr>
                <w:rFonts w:ascii="宋体" w:hAnsi="宋体"/>
                <w:szCs w:val="21"/>
              </w:rPr>
            </w:pPr>
            <w:r>
              <w:rPr>
                <w:rFonts w:ascii="宋体" w:hAnsi="宋体"/>
                <w:szCs w:val="21"/>
              </w:rPr>
              <w:t>实现如下功能：</w:t>
            </w:r>
          </w:p>
          <w:p w14:paraId="48C5E248">
            <w:pPr>
              <w:pStyle w:val="107"/>
              <w:spacing w:after="0"/>
              <w:ind w:firstLine="0" w:firstLineChars="0"/>
              <w:rPr>
                <w:rFonts w:ascii="宋体" w:hAnsi="宋体"/>
                <w:szCs w:val="21"/>
              </w:rPr>
            </w:pPr>
            <w:r>
              <w:rPr>
                <w:rFonts w:hint="eastAsia" w:ascii="宋体" w:hAnsi="宋体"/>
                <w:szCs w:val="21"/>
              </w:rPr>
              <w:t>1、业务全流程管理</w:t>
            </w:r>
          </w:p>
          <w:p w14:paraId="6F597C38">
            <w:pPr>
              <w:pStyle w:val="107"/>
              <w:spacing w:after="0"/>
              <w:ind w:firstLine="0" w:firstLineChars="0"/>
              <w:rPr>
                <w:rFonts w:ascii="宋体" w:hAnsi="宋体"/>
                <w:szCs w:val="21"/>
              </w:rPr>
            </w:pPr>
            <w:r>
              <w:rPr>
                <w:rFonts w:hint="eastAsia" w:ascii="宋体" w:hAnsi="宋体"/>
                <w:szCs w:val="21"/>
              </w:rPr>
              <w:t>2、业务流程灵活配置</w:t>
            </w:r>
          </w:p>
          <w:p w14:paraId="5E16B501">
            <w:pPr>
              <w:pStyle w:val="107"/>
              <w:spacing w:after="0"/>
              <w:ind w:firstLine="0" w:firstLineChars="0"/>
              <w:rPr>
                <w:rFonts w:ascii="宋体" w:hAnsi="宋体"/>
                <w:szCs w:val="21"/>
              </w:rPr>
            </w:pPr>
            <w:r>
              <w:rPr>
                <w:rFonts w:hint="eastAsia" w:ascii="宋体" w:hAnsi="宋体"/>
                <w:szCs w:val="21"/>
              </w:rPr>
              <w:t>3、全流程监测及管控</w:t>
            </w:r>
          </w:p>
        </w:tc>
      </w:tr>
    </w:tbl>
    <w:p w14:paraId="22957141"/>
    <w:p w14:paraId="1DCB5E9E">
      <w:pPr>
        <w:pStyle w:val="5"/>
      </w:pPr>
      <w:bookmarkStart w:id="75" w:name="_Toc22729"/>
      <w:r>
        <w:rPr>
          <w:rFonts w:hint="eastAsia"/>
        </w:rPr>
        <w:t>综合管理中心</w:t>
      </w:r>
      <w:bookmarkEnd w:id="75"/>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6B828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3FF18AAC">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229530BB">
            <w:pPr>
              <w:pStyle w:val="107"/>
              <w:ind w:firstLine="0" w:firstLineChars="0"/>
              <w:rPr>
                <w:rFonts w:ascii="宋体" w:hAnsi="宋体"/>
                <w:szCs w:val="21"/>
              </w:rPr>
            </w:pPr>
            <w:r>
              <w:rPr>
                <w:rFonts w:hint="eastAsia" w:ascii="宋体" w:hAnsi="宋体"/>
                <w:szCs w:val="21"/>
              </w:rPr>
              <w:t>综合管理中心</w:t>
            </w:r>
          </w:p>
        </w:tc>
      </w:tr>
      <w:tr w14:paraId="2034B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67803C9D">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0B83235C">
            <w:pPr>
              <w:pStyle w:val="107"/>
              <w:ind w:firstLine="0" w:firstLineChars="0"/>
              <w:rPr>
                <w:rFonts w:ascii="宋体" w:hAnsi="宋体"/>
                <w:szCs w:val="21"/>
              </w:rPr>
            </w:pPr>
            <w:r>
              <w:rPr>
                <w:rFonts w:hint="eastAsia" w:ascii="宋体" w:hAnsi="宋体"/>
                <w:szCs w:val="21"/>
              </w:rPr>
              <w:t>展示综合管理中心功能</w:t>
            </w:r>
          </w:p>
        </w:tc>
      </w:tr>
      <w:tr w14:paraId="22D4C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208C1723">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1F27FBAD">
            <w:pPr>
              <w:pStyle w:val="107"/>
              <w:ind w:firstLine="0" w:firstLineChars="0"/>
              <w:rPr>
                <w:rFonts w:ascii="宋体" w:hAnsi="宋体"/>
                <w:szCs w:val="21"/>
              </w:rPr>
            </w:pPr>
            <w:r>
              <w:rPr>
                <w:rFonts w:ascii="宋体" w:hAnsi="宋体"/>
                <w:szCs w:val="21"/>
              </w:rPr>
              <w:t>实现如下功能：</w:t>
            </w:r>
          </w:p>
          <w:p w14:paraId="1344BAF8">
            <w:pPr>
              <w:pStyle w:val="107"/>
              <w:spacing w:after="0"/>
              <w:ind w:firstLine="0" w:firstLineChars="0"/>
              <w:rPr>
                <w:rFonts w:hint="eastAsia" w:ascii="宋体" w:hAnsi="宋体"/>
                <w:szCs w:val="21"/>
              </w:rPr>
            </w:pPr>
            <w:r>
              <w:rPr>
                <w:rFonts w:hint="eastAsia" w:ascii="宋体" w:hAnsi="宋体"/>
                <w:szCs w:val="21"/>
                <w:lang w:val="en-US" w:eastAsia="zh-CN"/>
              </w:rPr>
              <w:t>1、</w:t>
            </w:r>
            <w:r>
              <w:rPr>
                <w:rFonts w:hint="eastAsia" w:ascii="宋体" w:hAnsi="宋体"/>
                <w:szCs w:val="21"/>
              </w:rPr>
              <w:t>菜单配置管理</w:t>
            </w:r>
          </w:p>
          <w:p w14:paraId="47E5D711">
            <w:pPr>
              <w:pStyle w:val="107"/>
              <w:numPr>
                <w:ilvl w:val="0"/>
                <w:numId w:val="8"/>
              </w:numPr>
              <w:spacing w:after="0"/>
              <w:ind w:firstLine="0" w:firstLineChars="0"/>
              <w:rPr>
                <w:rFonts w:hint="eastAsia" w:ascii="宋体" w:hAnsi="宋体"/>
                <w:szCs w:val="21"/>
              </w:rPr>
            </w:pPr>
            <w:r>
              <w:rPr>
                <w:rFonts w:hint="eastAsia" w:ascii="宋体" w:hAnsi="宋体"/>
                <w:szCs w:val="21"/>
              </w:rPr>
              <w:t>机构管理</w:t>
            </w:r>
          </w:p>
          <w:p w14:paraId="30AC0349">
            <w:pPr>
              <w:pStyle w:val="107"/>
              <w:spacing w:after="0"/>
              <w:ind w:firstLine="0" w:firstLineChars="0"/>
              <w:rPr>
                <w:rFonts w:hint="eastAsia" w:ascii="宋体" w:hAnsi="宋体"/>
                <w:szCs w:val="21"/>
              </w:rPr>
            </w:pPr>
            <w:r>
              <w:rPr>
                <w:rFonts w:hint="eastAsia" w:ascii="宋体" w:hAnsi="宋体"/>
                <w:szCs w:val="21"/>
                <w:lang w:val="en-US" w:eastAsia="zh-CN"/>
              </w:rPr>
              <w:t>3、</w:t>
            </w:r>
            <w:r>
              <w:rPr>
                <w:rFonts w:hint="eastAsia" w:ascii="宋体" w:hAnsi="宋体"/>
                <w:szCs w:val="21"/>
              </w:rPr>
              <w:t>用户及角色管理</w:t>
            </w:r>
          </w:p>
          <w:p w14:paraId="48314450">
            <w:pPr>
              <w:pStyle w:val="107"/>
              <w:spacing w:after="0"/>
              <w:ind w:firstLine="0" w:firstLineChars="0"/>
              <w:rPr>
                <w:rFonts w:hint="eastAsia" w:ascii="宋体" w:hAnsi="宋体" w:eastAsia="宋体"/>
                <w:szCs w:val="21"/>
                <w:lang w:val="en-US" w:eastAsia="zh-CN"/>
              </w:rPr>
            </w:pPr>
            <w:r>
              <w:rPr>
                <w:rFonts w:hint="eastAsia" w:ascii="宋体" w:hAnsi="宋体"/>
                <w:szCs w:val="21"/>
                <w:lang w:val="en-US" w:eastAsia="zh-CN"/>
              </w:rPr>
              <w:t>4、</w:t>
            </w:r>
            <w:r>
              <w:rPr>
                <w:rFonts w:hint="eastAsia" w:ascii="宋体" w:hAnsi="宋体"/>
                <w:szCs w:val="21"/>
              </w:rPr>
              <w:t>安全审计</w:t>
            </w:r>
            <w:r>
              <w:rPr>
                <w:rFonts w:hint="eastAsia" w:ascii="宋体" w:hAnsi="宋体"/>
                <w:szCs w:val="21"/>
                <w:lang w:val="en-US" w:eastAsia="zh-CN"/>
              </w:rPr>
              <w:t>管理</w:t>
            </w:r>
          </w:p>
          <w:p w14:paraId="4176EB57">
            <w:pPr>
              <w:pStyle w:val="107"/>
              <w:spacing w:after="0"/>
              <w:ind w:firstLine="0" w:firstLineChars="0"/>
              <w:rPr>
                <w:rFonts w:hint="default" w:ascii="宋体" w:hAnsi="宋体"/>
                <w:szCs w:val="21"/>
                <w:lang w:val="en-US" w:eastAsia="zh-CN"/>
              </w:rPr>
            </w:pPr>
            <w:r>
              <w:rPr>
                <w:rFonts w:hint="eastAsia" w:ascii="宋体" w:hAnsi="宋体"/>
                <w:szCs w:val="21"/>
                <w:lang w:val="en-US" w:eastAsia="zh-CN"/>
              </w:rPr>
              <w:t>5、规则引擎管理</w:t>
            </w:r>
          </w:p>
          <w:p w14:paraId="52E4BF91">
            <w:pPr>
              <w:pStyle w:val="107"/>
              <w:spacing w:after="0"/>
              <w:ind w:firstLine="0" w:firstLineChars="0"/>
              <w:rPr>
                <w:rFonts w:ascii="宋体" w:hAnsi="宋体"/>
                <w:szCs w:val="21"/>
              </w:rPr>
            </w:pPr>
            <w:r>
              <w:rPr>
                <w:rFonts w:hint="eastAsia" w:ascii="宋体" w:hAnsi="宋体"/>
                <w:szCs w:val="21"/>
                <w:lang w:val="en-US" w:eastAsia="zh-CN"/>
              </w:rPr>
              <w:t>6、档案管理</w:t>
            </w:r>
          </w:p>
        </w:tc>
      </w:tr>
    </w:tbl>
    <w:p w14:paraId="397A8F11">
      <w:pPr>
        <w:pStyle w:val="20"/>
        <w:ind w:firstLine="0" w:firstLineChars="0"/>
      </w:pPr>
    </w:p>
    <w:p w14:paraId="4E17775D">
      <w:pPr>
        <w:pStyle w:val="5"/>
        <w:rPr>
          <w:rFonts w:hint="eastAsia"/>
        </w:rPr>
      </w:pPr>
      <w:bookmarkStart w:id="76" w:name="_Toc29288"/>
      <w:r>
        <w:rPr>
          <w:rFonts w:hint="eastAsia"/>
        </w:rPr>
        <w:t>风险监测中心</w:t>
      </w:r>
      <w:bookmarkEnd w:id="76"/>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3F7F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46A85BB3">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502CD12D">
            <w:pPr>
              <w:pStyle w:val="107"/>
              <w:ind w:firstLine="0" w:firstLineChars="0"/>
              <w:rPr>
                <w:rFonts w:ascii="宋体" w:hAnsi="宋体"/>
                <w:szCs w:val="21"/>
              </w:rPr>
            </w:pPr>
            <w:r>
              <w:rPr>
                <w:rFonts w:hint="eastAsia" w:ascii="宋体" w:hAnsi="宋体"/>
                <w:szCs w:val="21"/>
              </w:rPr>
              <w:t>风险监测中心</w:t>
            </w:r>
          </w:p>
        </w:tc>
      </w:tr>
      <w:tr w14:paraId="57BA8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7513A14A">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6B978532">
            <w:pPr>
              <w:pStyle w:val="107"/>
              <w:ind w:firstLine="0" w:firstLineChars="0"/>
              <w:rPr>
                <w:rFonts w:ascii="宋体" w:hAnsi="宋体"/>
                <w:szCs w:val="21"/>
              </w:rPr>
            </w:pPr>
            <w:r>
              <w:rPr>
                <w:rFonts w:hint="eastAsia" w:ascii="宋体" w:hAnsi="宋体"/>
                <w:szCs w:val="21"/>
              </w:rPr>
              <w:t>展示风险监测中心功能</w:t>
            </w:r>
          </w:p>
        </w:tc>
      </w:tr>
      <w:tr w14:paraId="1649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25508E3E">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0FA10D77">
            <w:pPr>
              <w:pStyle w:val="107"/>
              <w:ind w:firstLine="0" w:firstLineChars="0"/>
              <w:rPr>
                <w:rFonts w:ascii="宋体" w:hAnsi="宋体"/>
                <w:szCs w:val="21"/>
              </w:rPr>
            </w:pPr>
            <w:r>
              <w:rPr>
                <w:rFonts w:ascii="宋体" w:hAnsi="宋体"/>
                <w:szCs w:val="21"/>
              </w:rPr>
              <w:t>实现如下功能：</w:t>
            </w:r>
          </w:p>
          <w:p w14:paraId="29EAC1DC">
            <w:pPr>
              <w:pStyle w:val="107"/>
              <w:spacing w:after="0"/>
              <w:ind w:firstLine="0" w:firstLineChars="0"/>
              <w:rPr>
                <w:rFonts w:ascii="宋体" w:hAnsi="宋体"/>
                <w:szCs w:val="21"/>
              </w:rPr>
            </w:pPr>
            <w:r>
              <w:rPr>
                <w:rFonts w:hint="eastAsia" w:ascii="宋体" w:hAnsi="宋体"/>
                <w:szCs w:val="21"/>
              </w:rPr>
              <w:t>1、风险集中度监测</w:t>
            </w:r>
          </w:p>
          <w:p w14:paraId="6336E0E4">
            <w:pPr>
              <w:pStyle w:val="107"/>
              <w:spacing w:after="0"/>
              <w:ind w:firstLine="0" w:firstLineChars="0"/>
              <w:rPr>
                <w:rFonts w:ascii="宋体" w:hAnsi="宋体"/>
                <w:szCs w:val="21"/>
              </w:rPr>
            </w:pPr>
            <w:r>
              <w:rPr>
                <w:rFonts w:hint="eastAsia" w:ascii="宋体" w:hAnsi="宋体"/>
                <w:szCs w:val="21"/>
              </w:rPr>
              <w:t>2、资金流向监控</w:t>
            </w:r>
          </w:p>
          <w:p w14:paraId="2DD2A5C1">
            <w:pPr>
              <w:pStyle w:val="107"/>
              <w:spacing w:after="0"/>
              <w:ind w:firstLine="0" w:firstLineChars="0"/>
              <w:rPr>
                <w:rFonts w:ascii="宋体" w:hAnsi="宋体"/>
                <w:szCs w:val="21"/>
              </w:rPr>
            </w:pPr>
            <w:r>
              <w:rPr>
                <w:rFonts w:hint="eastAsia" w:ascii="宋体" w:hAnsi="宋体"/>
                <w:szCs w:val="21"/>
              </w:rPr>
              <w:t>3、自定义重点客户监测</w:t>
            </w:r>
          </w:p>
          <w:p w14:paraId="388E7580">
            <w:pPr>
              <w:pStyle w:val="107"/>
              <w:spacing w:after="0"/>
              <w:ind w:firstLine="0" w:firstLineChars="0"/>
              <w:rPr>
                <w:rFonts w:ascii="宋体" w:hAnsi="宋体"/>
                <w:szCs w:val="21"/>
              </w:rPr>
            </w:pPr>
            <w:r>
              <w:rPr>
                <w:rFonts w:hint="eastAsia" w:ascii="宋体" w:hAnsi="宋体"/>
                <w:szCs w:val="21"/>
              </w:rPr>
              <w:t>4、关联方风险预警</w:t>
            </w:r>
          </w:p>
        </w:tc>
      </w:tr>
    </w:tbl>
    <w:p w14:paraId="52B4CA20">
      <w:pPr>
        <w:pStyle w:val="21"/>
        <w:rPr>
          <w:color w:val="auto"/>
        </w:rPr>
      </w:pPr>
    </w:p>
    <w:p w14:paraId="6AE70E34">
      <w:pPr>
        <w:rPr>
          <w:rFonts w:eastAsia="仿宋"/>
        </w:rPr>
      </w:pPr>
    </w:p>
    <w:p w14:paraId="5D35CA0E">
      <w:pPr>
        <w:pStyle w:val="5"/>
      </w:pPr>
      <w:bookmarkStart w:id="77" w:name="_Toc13492"/>
      <w:r>
        <w:rPr>
          <w:rFonts w:hint="eastAsia"/>
        </w:rPr>
        <w:t>信贷作业中心</w:t>
      </w:r>
      <w:bookmarkEnd w:id="77"/>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74D3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66FC34F4">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2BE2249B">
            <w:pPr>
              <w:pStyle w:val="107"/>
              <w:ind w:firstLine="0" w:firstLineChars="0"/>
              <w:rPr>
                <w:rFonts w:ascii="宋体" w:hAnsi="宋体"/>
                <w:szCs w:val="21"/>
              </w:rPr>
            </w:pPr>
            <w:r>
              <w:rPr>
                <w:rFonts w:hint="eastAsia" w:ascii="宋体" w:hAnsi="宋体"/>
                <w:szCs w:val="21"/>
              </w:rPr>
              <w:t>信贷作业中心</w:t>
            </w:r>
          </w:p>
        </w:tc>
      </w:tr>
      <w:tr w14:paraId="3AB0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3402108B">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3DA6A799">
            <w:pPr>
              <w:pStyle w:val="107"/>
              <w:ind w:firstLine="0" w:firstLineChars="0"/>
              <w:rPr>
                <w:rFonts w:ascii="宋体" w:hAnsi="宋体"/>
                <w:szCs w:val="21"/>
              </w:rPr>
            </w:pPr>
            <w:r>
              <w:rPr>
                <w:rFonts w:hint="eastAsia" w:ascii="宋体" w:hAnsi="宋体"/>
                <w:szCs w:val="21"/>
              </w:rPr>
              <w:t>展示</w:t>
            </w:r>
            <w:r>
              <w:rPr>
                <w:rFonts w:hint="eastAsia" w:ascii="宋体" w:hAnsi="宋体"/>
                <w:szCs w:val="21"/>
                <w:lang w:val="en-US" w:eastAsia="zh-CN"/>
              </w:rPr>
              <w:t>信贷</w:t>
            </w:r>
            <w:r>
              <w:rPr>
                <w:rFonts w:hint="eastAsia" w:ascii="宋体" w:hAnsi="宋体"/>
                <w:color w:val="FF0000"/>
                <w:szCs w:val="21"/>
              </w:rPr>
              <w:t>作业中心</w:t>
            </w:r>
            <w:r>
              <w:rPr>
                <w:rFonts w:hint="eastAsia" w:ascii="宋体" w:hAnsi="宋体"/>
                <w:szCs w:val="21"/>
              </w:rPr>
              <w:t>的功能</w:t>
            </w:r>
          </w:p>
        </w:tc>
      </w:tr>
      <w:tr w14:paraId="49B36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789B2F24">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6990C068">
            <w:pPr>
              <w:pStyle w:val="107"/>
              <w:numPr>
                <w:ilvl w:val="0"/>
                <w:numId w:val="0"/>
              </w:numPr>
              <w:ind w:firstLine="0" w:firstLineChars="0"/>
              <w:rPr>
                <w:rFonts w:ascii="宋体" w:hAnsi="宋体"/>
                <w:szCs w:val="21"/>
              </w:rPr>
            </w:pPr>
            <w:r>
              <w:rPr>
                <w:rFonts w:hint="eastAsia" w:ascii="宋体" w:hAnsi="宋体"/>
                <w:szCs w:val="21"/>
              </w:rPr>
              <w:t>测试</w:t>
            </w:r>
            <w:r>
              <w:rPr>
                <w:rFonts w:ascii="宋体" w:hAnsi="宋体"/>
                <w:szCs w:val="21"/>
              </w:rPr>
              <w:t>如下功能：</w:t>
            </w:r>
          </w:p>
          <w:p w14:paraId="1D07AFA9">
            <w:pPr>
              <w:pStyle w:val="107"/>
              <w:numPr>
                <w:ilvl w:val="0"/>
                <w:numId w:val="0"/>
              </w:numPr>
              <w:ind w:firstLine="0" w:firstLineChars="0"/>
              <w:rPr>
                <w:rFonts w:hint="eastAsia" w:ascii="宋体" w:hAnsi="宋体" w:cs="宋体"/>
                <w:b w:val="0"/>
                <w:bCs w:val="0"/>
                <w:szCs w:val="21"/>
              </w:rPr>
            </w:pPr>
            <w:r>
              <w:rPr>
                <w:rFonts w:hint="eastAsia" w:ascii="宋体" w:hAnsi="宋体" w:cs="宋体"/>
                <w:b w:val="0"/>
                <w:bCs w:val="0"/>
                <w:szCs w:val="21"/>
                <w:lang w:val="en-US" w:eastAsia="zh-CN"/>
              </w:rPr>
              <w:t>1、</w:t>
            </w:r>
            <w:r>
              <w:rPr>
                <w:rFonts w:hint="eastAsia" w:ascii="宋体" w:hAnsi="宋体" w:cs="宋体"/>
                <w:b w:val="0"/>
                <w:bCs w:val="0"/>
                <w:szCs w:val="21"/>
              </w:rPr>
              <w:t>授信</w:t>
            </w:r>
            <w:r>
              <w:rPr>
                <w:rFonts w:hint="eastAsia" w:ascii="宋体" w:hAnsi="宋体" w:cs="宋体"/>
                <w:b w:val="0"/>
                <w:bCs w:val="0"/>
                <w:szCs w:val="21"/>
                <w:lang w:val="en-US" w:eastAsia="zh-CN"/>
              </w:rPr>
              <w:t>业务的申请及审批</w:t>
            </w:r>
            <w:r>
              <w:rPr>
                <w:rFonts w:hint="eastAsia" w:ascii="宋体" w:hAnsi="宋体" w:cs="宋体"/>
                <w:b w:val="0"/>
                <w:bCs w:val="0"/>
                <w:szCs w:val="21"/>
              </w:rPr>
              <w:t>管理</w:t>
            </w:r>
          </w:p>
          <w:p w14:paraId="79A961A7">
            <w:pPr>
              <w:pStyle w:val="107"/>
              <w:numPr>
                <w:ilvl w:val="0"/>
                <w:numId w:val="0"/>
              </w:numPr>
              <w:ind w:firstLine="0" w:firstLineChars="0"/>
              <w:rPr>
                <w:rFonts w:hint="eastAsia" w:ascii="宋体" w:hAnsi="宋体" w:cs="宋体"/>
                <w:szCs w:val="21"/>
              </w:rPr>
            </w:pPr>
            <w:r>
              <w:rPr>
                <w:rFonts w:hint="eastAsia" w:ascii="宋体" w:hAnsi="宋体" w:cs="宋体"/>
                <w:lang w:val="en-US" w:eastAsia="zh-CN"/>
              </w:rPr>
              <w:t>2、授信</w:t>
            </w:r>
            <w:r>
              <w:rPr>
                <w:rFonts w:hint="eastAsia" w:ascii="宋体" w:hAnsi="宋体" w:eastAsia="宋体" w:cs="宋体"/>
                <w:lang w:val="en-US" w:eastAsia="zh-CN"/>
              </w:rPr>
              <w:t>业务</w:t>
            </w:r>
            <w:r>
              <w:rPr>
                <w:rFonts w:hint="eastAsia" w:ascii="宋体" w:hAnsi="宋体" w:cs="宋体"/>
                <w:b w:val="0"/>
                <w:bCs w:val="0"/>
                <w:szCs w:val="21"/>
              </w:rPr>
              <w:t>批复管理</w:t>
            </w:r>
          </w:p>
          <w:p w14:paraId="13C39E14">
            <w:pPr>
              <w:pStyle w:val="107"/>
              <w:numPr>
                <w:ilvl w:val="0"/>
                <w:numId w:val="0"/>
              </w:numPr>
              <w:ind w:firstLine="0" w:firstLineChars="0"/>
              <w:rPr>
                <w:rFonts w:hint="eastAsia" w:ascii="宋体" w:hAnsi="宋体" w:cs="宋体"/>
                <w:b w:val="0"/>
                <w:bCs w:val="0"/>
                <w:szCs w:val="21"/>
              </w:rPr>
            </w:pPr>
            <w:r>
              <w:rPr>
                <w:rFonts w:hint="eastAsia" w:ascii="宋体" w:hAnsi="宋体" w:cs="宋体"/>
                <w:b w:val="0"/>
                <w:bCs w:val="0"/>
                <w:szCs w:val="21"/>
                <w:lang w:val="en-US" w:eastAsia="zh-CN"/>
              </w:rPr>
              <w:t>3、业务</w:t>
            </w:r>
            <w:r>
              <w:rPr>
                <w:rFonts w:hint="eastAsia" w:ascii="宋体" w:hAnsi="宋体" w:cs="宋体"/>
                <w:b w:val="0"/>
                <w:bCs w:val="0"/>
                <w:szCs w:val="21"/>
              </w:rPr>
              <w:t>合同管理</w:t>
            </w:r>
          </w:p>
          <w:p w14:paraId="54AE7368">
            <w:pPr>
              <w:pStyle w:val="107"/>
              <w:numPr>
                <w:ilvl w:val="0"/>
                <w:numId w:val="0"/>
              </w:numPr>
              <w:ind w:firstLine="0" w:firstLineChars="0"/>
              <w:rPr>
                <w:rFonts w:hint="eastAsia" w:ascii="宋体" w:hAnsi="宋体" w:cs="宋体"/>
                <w:szCs w:val="21"/>
                <w:highlight w:val="red"/>
              </w:rPr>
            </w:pPr>
            <w:r>
              <w:rPr>
                <w:rFonts w:hint="eastAsia" w:ascii="宋体" w:hAnsi="宋体" w:cs="宋体"/>
                <w:b w:val="0"/>
                <w:bCs w:val="0"/>
                <w:szCs w:val="21"/>
                <w:lang w:val="en-US" w:eastAsia="zh-CN"/>
              </w:rPr>
              <w:t>4、</w:t>
            </w:r>
            <w:r>
              <w:rPr>
                <w:rFonts w:hint="eastAsia" w:ascii="宋体" w:hAnsi="宋体" w:cs="宋体"/>
                <w:b w:val="0"/>
                <w:bCs w:val="0"/>
                <w:szCs w:val="21"/>
              </w:rPr>
              <w:t>放款管理</w:t>
            </w:r>
          </w:p>
          <w:p w14:paraId="4657BBB1">
            <w:pPr>
              <w:pStyle w:val="107"/>
              <w:numPr>
                <w:ilvl w:val="0"/>
                <w:numId w:val="0"/>
              </w:numPr>
              <w:ind w:firstLine="0" w:firstLineChars="0"/>
              <w:rPr>
                <w:rFonts w:hint="eastAsia" w:ascii="宋体" w:hAnsi="宋体" w:cs="宋体"/>
                <w:b w:val="0"/>
                <w:bCs w:val="0"/>
                <w:szCs w:val="21"/>
              </w:rPr>
            </w:pPr>
            <w:r>
              <w:rPr>
                <w:rFonts w:hint="eastAsia" w:ascii="宋体" w:hAnsi="宋体" w:cs="宋体"/>
                <w:b w:val="0"/>
                <w:bCs w:val="0"/>
                <w:szCs w:val="21"/>
                <w:lang w:val="en-US" w:eastAsia="zh-CN"/>
              </w:rPr>
              <w:t>5、</w:t>
            </w:r>
            <w:r>
              <w:rPr>
                <w:rFonts w:hint="eastAsia" w:ascii="宋体" w:hAnsi="宋体" w:cs="宋体"/>
                <w:b w:val="0"/>
                <w:bCs w:val="0"/>
                <w:szCs w:val="21"/>
              </w:rPr>
              <w:t>贷后管理</w:t>
            </w:r>
          </w:p>
          <w:p w14:paraId="7A9D72F3">
            <w:pPr>
              <w:pStyle w:val="107"/>
              <w:numPr>
                <w:ilvl w:val="0"/>
                <w:numId w:val="0"/>
              </w:numPr>
              <w:ind w:firstLine="0" w:firstLineChars="0"/>
              <w:rPr>
                <w:rFonts w:hint="eastAsia" w:ascii="宋体" w:hAnsi="宋体" w:cs="宋体"/>
                <w:b w:val="0"/>
                <w:bCs w:val="0"/>
                <w:szCs w:val="21"/>
              </w:rPr>
            </w:pPr>
            <w:r>
              <w:rPr>
                <w:rFonts w:hint="eastAsia" w:ascii="宋体" w:hAnsi="宋体" w:cs="宋体"/>
                <w:b w:val="0"/>
                <w:bCs w:val="0"/>
                <w:szCs w:val="21"/>
                <w:lang w:val="en-US" w:eastAsia="zh-CN"/>
              </w:rPr>
              <w:t>6、</w:t>
            </w:r>
            <w:r>
              <w:rPr>
                <w:rFonts w:hint="eastAsia" w:ascii="宋体" w:hAnsi="宋体" w:cs="宋体"/>
                <w:b w:val="0"/>
                <w:bCs w:val="0"/>
                <w:szCs w:val="21"/>
              </w:rPr>
              <w:t>资产风险分类</w:t>
            </w:r>
          </w:p>
          <w:p w14:paraId="0DA6218B">
            <w:pPr>
              <w:pStyle w:val="107"/>
              <w:numPr>
                <w:ilvl w:val="0"/>
                <w:numId w:val="0"/>
              </w:numPr>
              <w:ind w:firstLine="0" w:firstLineChars="0"/>
              <w:rPr>
                <w:rFonts w:hint="eastAsia" w:ascii="宋体" w:hAnsi="宋体" w:cs="宋体"/>
                <w:b w:val="0"/>
                <w:bCs w:val="0"/>
                <w:szCs w:val="21"/>
              </w:rPr>
            </w:pPr>
            <w:r>
              <w:rPr>
                <w:rFonts w:hint="eastAsia" w:ascii="宋体" w:hAnsi="宋体" w:cs="宋体"/>
                <w:b w:val="0"/>
                <w:bCs w:val="0"/>
                <w:szCs w:val="21"/>
                <w:lang w:val="en-US" w:eastAsia="zh-CN"/>
              </w:rPr>
              <w:t>7、</w:t>
            </w:r>
            <w:r>
              <w:rPr>
                <w:rFonts w:hint="eastAsia" w:ascii="宋体" w:hAnsi="宋体" w:cs="宋体"/>
                <w:b w:val="0"/>
                <w:bCs w:val="0"/>
                <w:szCs w:val="21"/>
              </w:rPr>
              <w:t>贷后交易管理</w:t>
            </w:r>
          </w:p>
          <w:p w14:paraId="4104FF97">
            <w:pPr>
              <w:pStyle w:val="107"/>
              <w:numPr>
                <w:ilvl w:val="-1"/>
                <w:numId w:val="0"/>
              </w:numPr>
              <w:ind w:firstLine="0" w:firstLineChars="0"/>
              <w:rPr>
                <w:rFonts w:hint="eastAsia" w:ascii="宋体" w:hAnsi="宋体" w:cs="宋体"/>
                <w:b w:val="0"/>
                <w:bCs w:val="0"/>
                <w:szCs w:val="21"/>
                <w:lang w:val="en-US" w:eastAsia="zh-CN"/>
              </w:rPr>
            </w:pPr>
            <w:r>
              <w:rPr>
                <w:rFonts w:hint="eastAsia" w:ascii="宋体" w:hAnsi="宋体" w:cs="宋体"/>
                <w:b w:val="0"/>
                <w:bCs w:val="0"/>
                <w:szCs w:val="21"/>
                <w:lang w:val="en-US" w:eastAsia="zh-CN"/>
              </w:rPr>
              <w:t>8、催收管理</w:t>
            </w:r>
          </w:p>
          <w:p w14:paraId="019E2640">
            <w:pPr>
              <w:pStyle w:val="107"/>
              <w:numPr>
                <w:ilvl w:val="-1"/>
                <w:numId w:val="0"/>
              </w:numPr>
              <w:ind w:firstLine="0" w:firstLineChars="0"/>
              <w:rPr>
                <w:rFonts w:hint="eastAsia" w:ascii="宋体" w:hAnsi="宋体" w:cs="宋体"/>
                <w:b w:val="0"/>
                <w:bCs w:val="0"/>
                <w:szCs w:val="21"/>
                <w:lang w:val="en-US" w:eastAsia="zh-CN"/>
              </w:rPr>
            </w:pPr>
            <w:r>
              <w:rPr>
                <w:rFonts w:hint="eastAsia" w:ascii="宋体" w:hAnsi="宋体" w:cs="宋体"/>
                <w:b w:val="0"/>
                <w:bCs w:val="0"/>
                <w:szCs w:val="21"/>
                <w:lang w:val="en-US" w:eastAsia="zh-CN"/>
              </w:rPr>
              <w:t>9、</w:t>
            </w:r>
            <w:r>
              <w:rPr>
                <w:rFonts w:hint="eastAsia" w:ascii="宋体" w:hAnsi="宋体" w:cs="宋体"/>
                <w:b w:val="0"/>
                <w:bCs w:val="0"/>
                <w:szCs w:val="21"/>
              </w:rPr>
              <w:t>预警作业</w:t>
            </w:r>
          </w:p>
          <w:p w14:paraId="0F840A17">
            <w:pPr>
              <w:pStyle w:val="107"/>
              <w:numPr>
                <w:ilvl w:val="0"/>
                <w:numId w:val="0"/>
              </w:numPr>
              <w:ind w:firstLine="0" w:firstLineChars="0"/>
              <w:rPr>
                <w:rFonts w:ascii="宋体" w:hAnsi="宋体"/>
                <w:b/>
                <w:bCs/>
                <w:szCs w:val="21"/>
              </w:rPr>
            </w:pPr>
            <w:r>
              <w:rPr>
                <w:rFonts w:hint="eastAsia" w:ascii="宋体" w:hAnsi="宋体" w:cs="宋体"/>
                <w:b w:val="0"/>
                <w:bCs w:val="0"/>
                <w:szCs w:val="21"/>
                <w:lang w:val="en-US" w:eastAsia="zh-CN"/>
              </w:rPr>
              <w:t>10、</w:t>
            </w:r>
            <w:r>
              <w:rPr>
                <w:rFonts w:hint="eastAsia" w:ascii="宋体" w:hAnsi="宋体" w:cs="宋体"/>
                <w:b w:val="0"/>
                <w:bCs w:val="0"/>
                <w:szCs w:val="21"/>
              </w:rPr>
              <w:t>资产保全</w:t>
            </w:r>
          </w:p>
        </w:tc>
      </w:tr>
    </w:tbl>
    <w:p w14:paraId="4570311E">
      <w:pPr>
        <w:pStyle w:val="21"/>
        <w:rPr>
          <w:color w:val="auto"/>
        </w:rPr>
      </w:pPr>
    </w:p>
    <w:p w14:paraId="49DA9DE8">
      <w:pPr>
        <w:pStyle w:val="5"/>
      </w:pPr>
      <w:bookmarkStart w:id="78" w:name="_Toc24008"/>
      <w:r>
        <w:rPr>
          <w:rFonts w:hint="eastAsia"/>
        </w:rPr>
        <w:t>客户中心</w:t>
      </w:r>
      <w:bookmarkEnd w:id="78"/>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73C5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696C7B1B">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36983952">
            <w:pPr>
              <w:pStyle w:val="107"/>
              <w:ind w:firstLine="0" w:firstLineChars="0"/>
              <w:rPr>
                <w:rFonts w:ascii="宋体" w:hAnsi="宋体"/>
                <w:szCs w:val="21"/>
              </w:rPr>
            </w:pPr>
            <w:r>
              <w:rPr>
                <w:rFonts w:hint="eastAsia" w:ascii="宋体" w:hAnsi="宋体"/>
                <w:szCs w:val="21"/>
              </w:rPr>
              <w:t>客户中心</w:t>
            </w:r>
          </w:p>
        </w:tc>
      </w:tr>
      <w:tr w14:paraId="737D1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12AB1DAD">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18C387E2">
            <w:pPr>
              <w:pStyle w:val="107"/>
              <w:ind w:firstLine="0" w:firstLineChars="0"/>
              <w:rPr>
                <w:rFonts w:ascii="宋体" w:hAnsi="宋体"/>
                <w:szCs w:val="21"/>
              </w:rPr>
            </w:pPr>
            <w:r>
              <w:rPr>
                <w:rFonts w:hint="eastAsia" w:ascii="宋体" w:hAnsi="宋体"/>
                <w:szCs w:val="21"/>
              </w:rPr>
              <w:t>展示客户中心的功能</w:t>
            </w:r>
          </w:p>
        </w:tc>
      </w:tr>
      <w:tr w14:paraId="3FA5F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06BD5371">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64359815">
            <w:pPr>
              <w:pStyle w:val="107"/>
              <w:numPr>
                <w:ilvl w:val="-1"/>
                <w:numId w:val="0"/>
              </w:numPr>
              <w:ind w:firstLine="0" w:firstLineChars="0"/>
              <w:rPr>
                <w:rFonts w:ascii="宋体" w:hAnsi="宋体"/>
                <w:szCs w:val="21"/>
              </w:rPr>
            </w:pPr>
            <w:r>
              <w:rPr>
                <w:rFonts w:hint="eastAsia" w:ascii="宋体" w:hAnsi="宋体"/>
                <w:szCs w:val="21"/>
              </w:rPr>
              <w:t>测试</w:t>
            </w:r>
            <w:r>
              <w:rPr>
                <w:rFonts w:ascii="宋体" w:hAnsi="宋体"/>
                <w:szCs w:val="21"/>
              </w:rPr>
              <w:t>如下功能：</w:t>
            </w:r>
          </w:p>
          <w:p w14:paraId="0E61443D">
            <w:pPr>
              <w:pStyle w:val="107"/>
              <w:numPr>
                <w:ilvl w:val="0"/>
                <w:numId w:val="16"/>
              </w:numPr>
              <w:ind w:firstLine="0" w:firstLineChars="0"/>
              <w:rPr>
                <w:rFonts w:hint="eastAsia" w:ascii="宋体" w:hAnsi="宋体"/>
                <w:szCs w:val="21"/>
                <w:lang w:val="en-US" w:eastAsia="zh-CN"/>
              </w:rPr>
            </w:pPr>
            <w:r>
              <w:rPr>
                <w:rFonts w:hint="eastAsia" w:ascii="宋体" w:hAnsi="宋体"/>
                <w:szCs w:val="21"/>
                <w:lang w:val="en-US" w:eastAsia="zh-CN"/>
              </w:rPr>
              <w:t>全类型客户信息管理</w:t>
            </w:r>
          </w:p>
          <w:p w14:paraId="1C84ACB4">
            <w:pPr>
              <w:pStyle w:val="107"/>
              <w:numPr>
                <w:ilvl w:val="0"/>
                <w:numId w:val="16"/>
              </w:numPr>
              <w:ind w:firstLine="0" w:firstLineChars="0"/>
              <w:rPr>
                <w:rFonts w:hint="eastAsia" w:ascii="宋体" w:hAnsi="宋体"/>
                <w:szCs w:val="21"/>
                <w:lang w:val="en-US" w:eastAsia="zh-CN"/>
              </w:rPr>
            </w:pPr>
            <w:r>
              <w:rPr>
                <w:rFonts w:hint="eastAsia" w:ascii="宋体" w:hAnsi="宋体"/>
                <w:szCs w:val="21"/>
                <w:lang w:val="en-US" w:eastAsia="zh-CN"/>
              </w:rPr>
              <w:t>客户管理工具</w:t>
            </w:r>
          </w:p>
          <w:p w14:paraId="4C2328CB">
            <w:pPr>
              <w:pStyle w:val="107"/>
              <w:numPr>
                <w:ilvl w:val="0"/>
                <w:numId w:val="16"/>
              </w:numPr>
              <w:ind w:firstLine="0" w:firstLineChars="0"/>
              <w:rPr>
                <w:rFonts w:hint="eastAsia" w:ascii="宋体" w:hAnsi="宋体"/>
                <w:szCs w:val="21"/>
                <w:lang w:val="en-US" w:eastAsia="zh-CN"/>
              </w:rPr>
            </w:pPr>
            <w:r>
              <w:rPr>
                <w:rFonts w:hint="eastAsia" w:ascii="宋体" w:hAnsi="宋体"/>
                <w:szCs w:val="21"/>
                <w:lang w:val="en-US" w:eastAsia="zh-CN"/>
              </w:rPr>
              <w:t>客户信息维护管理</w:t>
            </w:r>
          </w:p>
          <w:p w14:paraId="174586F9">
            <w:pPr>
              <w:pStyle w:val="107"/>
              <w:numPr>
                <w:ilvl w:val="0"/>
                <w:numId w:val="16"/>
              </w:numPr>
              <w:ind w:firstLine="0" w:firstLineChars="0"/>
              <w:rPr>
                <w:rFonts w:hint="eastAsia" w:ascii="宋体" w:hAnsi="宋体"/>
                <w:szCs w:val="21"/>
                <w:lang w:val="en-US" w:eastAsia="zh-CN"/>
              </w:rPr>
            </w:pPr>
            <w:r>
              <w:rPr>
                <w:rFonts w:hint="eastAsia" w:ascii="宋体" w:hAnsi="宋体"/>
                <w:szCs w:val="21"/>
                <w:lang w:val="en-US" w:eastAsia="zh-CN"/>
              </w:rPr>
              <w:t>客户业务统一视图展示</w:t>
            </w:r>
          </w:p>
          <w:p w14:paraId="3D92EED1">
            <w:pPr>
              <w:pStyle w:val="107"/>
              <w:numPr>
                <w:ilvl w:val="0"/>
                <w:numId w:val="16"/>
              </w:numPr>
              <w:ind w:firstLine="0" w:firstLineChars="0"/>
              <w:rPr>
                <w:rFonts w:hint="eastAsia" w:ascii="宋体" w:hAnsi="宋体"/>
                <w:szCs w:val="21"/>
                <w:lang w:val="en-US" w:eastAsia="zh-CN"/>
              </w:rPr>
            </w:pPr>
            <w:r>
              <w:rPr>
                <w:rFonts w:hint="eastAsia" w:ascii="宋体" w:hAnsi="宋体"/>
                <w:szCs w:val="21"/>
                <w:lang w:val="en-US" w:eastAsia="zh-CN"/>
              </w:rPr>
              <w:t>名单管理</w:t>
            </w:r>
          </w:p>
          <w:p w14:paraId="264EBF85">
            <w:pPr>
              <w:pStyle w:val="107"/>
              <w:numPr>
                <w:ilvl w:val="0"/>
                <w:numId w:val="16"/>
              </w:numPr>
              <w:ind w:firstLine="0" w:firstLineChars="0"/>
              <w:rPr>
                <w:rFonts w:hint="eastAsia" w:ascii="宋体" w:hAnsi="宋体"/>
                <w:szCs w:val="21"/>
                <w:lang w:val="en-US" w:eastAsia="zh-CN"/>
              </w:rPr>
            </w:pPr>
            <w:r>
              <w:rPr>
                <w:rFonts w:hint="eastAsia" w:ascii="宋体" w:hAnsi="宋体"/>
                <w:szCs w:val="21"/>
                <w:lang w:val="en-US" w:eastAsia="zh-CN"/>
              </w:rPr>
              <w:t>股东及关联方管理</w:t>
            </w:r>
          </w:p>
          <w:p w14:paraId="3E5D7810">
            <w:pPr>
              <w:pStyle w:val="107"/>
              <w:numPr>
                <w:ilvl w:val="0"/>
                <w:numId w:val="16"/>
              </w:numPr>
              <w:ind w:firstLine="0" w:firstLineChars="0"/>
              <w:rPr>
                <w:rFonts w:hint="eastAsia" w:ascii="宋体" w:hAnsi="宋体"/>
                <w:szCs w:val="21"/>
                <w:lang w:val="en-US" w:eastAsia="zh-CN"/>
              </w:rPr>
            </w:pPr>
            <w:r>
              <w:rPr>
                <w:rFonts w:hint="eastAsia" w:ascii="宋体" w:hAnsi="宋体"/>
                <w:szCs w:val="21"/>
                <w:lang w:val="en-US" w:eastAsia="zh-CN"/>
              </w:rPr>
              <w:t>客户池管理</w:t>
            </w:r>
          </w:p>
          <w:p w14:paraId="4F1F7701">
            <w:pPr>
              <w:pStyle w:val="107"/>
              <w:numPr>
                <w:ilvl w:val="0"/>
                <w:numId w:val="16"/>
              </w:numPr>
              <w:ind w:firstLine="0" w:firstLineChars="0"/>
              <w:rPr>
                <w:rFonts w:hint="eastAsia" w:ascii="宋体" w:hAnsi="宋体"/>
                <w:szCs w:val="21"/>
                <w:lang w:val="en-US" w:eastAsia="zh-CN"/>
              </w:rPr>
            </w:pPr>
            <w:r>
              <w:rPr>
                <w:rFonts w:hint="eastAsia" w:ascii="宋体" w:hAnsi="宋体"/>
                <w:szCs w:val="21"/>
                <w:lang w:val="en-US" w:eastAsia="zh-CN"/>
              </w:rPr>
              <w:t>合作方管理</w:t>
            </w:r>
          </w:p>
          <w:p w14:paraId="76A043F8">
            <w:pPr>
              <w:pStyle w:val="107"/>
              <w:numPr>
                <w:ilvl w:val="-1"/>
                <w:numId w:val="0"/>
              </w:numPr>
              <w:spacing w:after="0"/>
              <w:ind w:firstLine="0" w:firstLineChars="0"/>
              <w:rPr>
                <w:rFonts w:ascii="宋体" w:hAnsi="宋体"/>
                <w:szCs w:val="21"/>
              </w:rPr>
            </w:pPr>
            <w:r>
              <w:rPr>
                <w:rFonts w:hint="eastAsia" w:ascii="宋体" w:hAnsi="宋体"/>
                <w:szCs w:val="21"/>
                <w:lang w:val="en-US" w:eastAsia="zh-CN"/>
              </w:rPr>
              <w:t>9、客户参数管理</w:t>
            </w:r>
          </w:p>
        </w:tc>
      </w:tr>
    </w:tbl>
    <w:p w14:paraId="42A774A5"/>
    <w:p w14:paraId="1CE3F464">
      <w:pPr>
        <w:pStyle w:val="5"/>
      </w:pPr>
      <w:bookmarkStart w:id="79" w:name="_Toc31321"/>
      <w:r>
        <w:rPr>
          <w:rFonts w:hint="eastAsia"/>
        </w:rPr>
        <w:t>额度中心</w:t>
      </w:r>
      <w:bookmarkEnd w:id="79"/>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4CFA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2BA063C5">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5625DB5B">
            <w:pPr>
              <w:pStyle w:val="107"/>
              <w:ind w:firstLine="0" w:firstLineChars="0"/>
              <w:rPr>
                <w:rFonts w:ascii="宋体" w:hAnsi="宋体"/>
                <w:szCs w:val="21"/>
              </w:rPr>
            </w:pPr>
            <w:r>
              <w:rPr>
                <w:rFonts w:hint="eastAsia" w:ascii="宋体" w:hAnsi="宋体"/>
                <w:szCs w:val="21"/>
              </w:rPr>
              <w:t>额度中心</w:t>
            </w:r>
          </w:p>
        </w:tc>
      </w:tr>
      <w:tr w14:paraId="3C50F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26984A1C">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1B20B046">
            <w:pPr>
              <w:pStyle w:val="107"/>
              <w:ind w:firstLine="0" w:firstLineChars="0"/>
              <w:rPr>
                <w:rFonts w:ascii="宋体" w:hAnsi="宋体"/>
                <w:szCs w:val="21"/>
              </w:rPr>
            </w:pPr>
            <w:r>
              <w:rPr>
                <w:rFonts w:hint="eastAsia" w:ascii="宋体" w:hAnsi="宋体"/>
                <w:szCs w:val="21"/>
              </w:rPr>
              <w:t>展示额度中心的功能</w:t>
            </w:r>
          </w:p>
        </w:tc>
      </w:tr>
      <w:tr w14:paraId="0EEAC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5F32BB42">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7EF60F0F">
            <w:pPr>
              <w:pStyle w:val="107"/>
              <w:ind w:firstLine="0" w:firstLineChars="0"/>
              <w:rPr>
                <w:rFonts w:ascii="宋体" w:hAnsi="宋体"/>
                <w:szCs w:val="21"/>
              </w:rPr>
            </w:pPr>
            <w:r>
              <w:rPr>
                <w:rFonts w:hint="eastAsia" w:ascii="宋体" w:hAnsi="宋体"/>
                <w:szCs w:val="21"/>
              </w:rPr>
              <w:t>测试</w:t>
            </w:r>
            <w:r>
              <w:rPr>
                <w:rFonts w:ascii="宋体" w:hAnsi="宋体"/>
                <w:szCs w:val="21"/>
              </w:rPr>
              <w:t>如下功能：</w:t>
            </w:r>
          </w:p>
          <w:p w14:paraId="2403588C">
            <w:pPr>
              <w:pStyle w:val="107"/>
              <w:spacing w:after="0"/>
              <w:ind w:firstLine="0" w:firstLineChars="0"/>
              <w:rPr>
                <w:rFonts w:ascii="宋体" w:hAnsi="宋体"/>
                <w:szCs w:val="21"/>
              </w:rPr>
            </w:pPr>
            <w:r>
              <w:rPr>
                <w:rFonts w:hint="eastAsia" w:ascii="宋体" w:hAnsi="宋体"/>
                <w:szCs w:val="21"/>
              </w:rPr>
              <w:t>1、授信全生命周期管理</w:t>
            </w:r>
          </w:p>
          <w:p w14:paraId="6E429AFC">
            <w:pPr>
              <w:pStyle w:val="107"/>
              <w:spacing w:after="0"/>
              <w:ind w:firstLine="0" w:firstLineChars="0"/>
              <w:rPr>
                <w:rFonts w:ascii="宋体" w:hAnsi="宋体"/>
                <w:szCs w:val="21"/>
              </w:rPr>
            </w:pPr>
            <w:r>
              <w:rPr>
                <w:rFonts w:hint="eastAsia" w:ascii="宋体" w:hAnsi="宋体"/>
                <w:szCs w:val="21"/>
              </w:rPr>
              <w:t>2、授信额度配置管理</w:t>
            </w:r>
          </w:p>
          <w:p w14:paraId="20C1EC6A">
            <w:pPr>
              <w:pStyle w:val="107"/>
              <w:spacing w:after="0"/>
              <w:ind w:firstLine="0" w:firstLineChars="0"/>
              <w:rPr>
                <w:rFonts w:ascii="宋体" w:hAnsi="宋体"/>
                <w:szCs w:val="21"/>
              </w:rPr>
            </w:pPr>
            <w:r>
              <w:rPr>
                <w:rFonts w:hint="eastAsia" w:ascii="宋体" w:hAnsi="宋体"/>
                <w:szCs w:val="21"/>
              </w:rPr>
              <w:t>3、统一授信视图展示</w:t>
            </w:r>
          </w:p>
          <w:p w14:paraId="1D1434AE">
            <w:pPr>
              <w:pStyle w:val="107"/>
              <w:spacing w:after="0"/>
              <w:ind w:firstLine="0" w:firstLineChars="0"/>
              <w:rPr>
                <w:rFonts w:ascii="宋体" w:hAnsi="宋体"/>
                <w:szCs w:val="21"/>
              </w:rPr>
            </w:pPr>
            <w:r>
              <w:rPr>
                <w:rFonts w:hint="eastAsia" w:ascii="宋体" w:hAnsi="宋体"/>
                <w:szCs w:val="21"/>
              </w:rPr>
              <w:t>4、授信业务查询及补录</w:t>
            </w:r>
          </w:p>
          <w:p w14:paraId="03C5F2C1">
            <w:pPr>
              <w:pStyle w:val="107"/>
              <w:spacing w:after="0"/>
              <w:ind w:firstLine="0" w:firstLineChars="0"/>
              <w:rPr>
                <w:rFonts w:ascii="宋体" w:hAnsi="宋体"/>
                <w:szCs w:val="21"/>
              </w:rPr>
            </w:pPr>
            <w:r>
              <w:rPr>
                <w:rFonts w:hint="eastAsia" w:ascii="宋体" w:hAnsi="宋体"/>
                <w:szCs w:val="21"/>
              </w:rPr>
              <w:t>5、授信限额管理</w:t>
            </w:r>
          </w:p>
        </w:tc>
      </w:tr>
    </w:tbl>
    <w:p w14:paraId="7970EDF4"/>
    <w:p w14:paraId="4A5086C8">
      <w:pPr>
        <w:pStyle w:val="5"/>
      </w:pPr>
      <w:bookmarkStart w:id="80" w:name="_Toc26158"/>
      <w:r>
        <w:rPr>
          <w:rFonts w:hint="eastAsia"/>
        </w:rPr>
        <w:t>押品中心</w:t>
      </w:r>
      <w:bookmarkEnd w:id="80"/>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0AAE4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49DF6C30">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3503A68A">
            <w:pPr>
              <w:pStyle w:val="107"/>
              <w:ind w:firstLine="0" w:firstLineChars="0"/>
              <w:rPr>
                <w:rFonts w:ascii="宋体" w:hAnsi="宋体"/>
                <w:szCs w:val="21"/>
              </w:rPr>
            </w:pPr>
            <w:r>
              <w:rPr>
                <w:rFonts w:hint="eastAsia" w:ascii="宋体" w:hAnsi="宋体"/>
                <w:szCs w:val="21"/>
              </w:rPr>
              <w:t>押品中心</w:t>
            </w:r>
          </w:p>
        </w:tc>
      </w:tr>
      <w:tr w14:paraId="2935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3B612F0F">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5108F3D9">
            <w:pPr>
              <w:pStyle w:val="107"/>
              <w:ind w:firstLine="0" w:firstLineChars="0"/>
              <w:rPr>
                <w:rFonts w:ascii="宋体" w:hAnsi="宋体"/>
                <w:szCs w:val="21"/>
              </w:rPr>
            </w:pPr>
            <w:r>
              <w:rPr>
                <w:rFonts w:hint="eastAsia" w:ascii="宋体" w:hAnsi="宋体"/>
                <w:szCs w:val="21"/>
              </w:rPr>
              <w:t>展示押品中心的功能</w:t>
            </w:r>
          </w:p>
        </w:tc>
      </w:tr>
      <w:tr w14:paraId="1F4D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27F75820">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1D1F073A">
            <w:pPr>
              <w:pStyle w:val="107"/>
              <w:numPr>
                <w:ilvl w:val="-1"/>
                <w:numId w:val="0"/>
              </w:numPr>
              <w:spacing w:after="0"/>
              <w:ind w:firstLine="0" w:firstLineChars="0"/>
              <w:rPr>
                <w:rFonts w:ascii="宋体" w:hAnsi="宋体"/>
                <w:szCs w:val="21"/>
              </w:rPr>
            </w:pPr>
            <w:r>
              <w:rPr>
                <w:rFonts w:hint="eastAsia" w:ascii="宋体" w:hAnsi="宋体"/>
                <w:szCs w:val="21"/>
              </w:rPr>
              <w:t>测试</w:t>
            </w:r>
            <w:r>
              <w:rPr>
                <w:rFonts w:ascii="宋体" w:hAnsi="宋体"/>
                <w:szCs w:val="21"/>
              </w:rPr>
              <w:t>如下功能：</w:t>
            </w:r>
          </w:p>
          <w:p w14:paraId="5DC781CA">
            <w:pPr>
              <w:pStyle w:val="107"/>
              <w:numPr>
                <w:ilvl w:val="0"/>
                <w:numId w:val="17"/>
              </w:numPr>
              <w:spacing w:after="0"/>
              <w:ind w:firstLine="0" w:firstLineChars="0"/>
              <w:rPr>
                <w:rFonts w:ascii="宋体" w:hAnsi="宋体"/>
                <w:szCs w:val="21"/>
              </w:rPr>
            </w:pPr>
            <w:r>
              <w:rPr>
                <w:rFonts w:hint="eastAsia" w:ascii="宋体" w:hAnsi="宋体"/>
                <w:szCs w:val="21"/>
              </w:rPr>
              <w:t>押品</w:t>
            </w:r>
            <w:r>
              <w:rPr>
                <w:rFonts w:hint="eastAsia" w:ascii="宋体" w:hAnsi="宋体"/>
                <w:szCs w:val="21"/>
                <w:lang w:val="en-US" w:eastAsia="zh-CN"/>
              </w:rPr>
              <w:t>登记</w:t>
            </w:r>
            <w:r>
              <w:rPr>
                <w:rFonts w:hint="eastAsia" w:ascii="宋体" w:hAnsi="宋体"/>
                <w:szCs w:val="21"/>
              </w:rPr>
              <w:t>管理</w:t>
            </w:r>
          </w:p>
          <w:p w14:paraId="131216BB">
            <w:pPr>
              <w:pStyle w:val="107"/>
              <w:numPr>
                <w:ilvl w:val="0"/>
                <w:numId w:val="17"/>
              </w:numPr>
              <w:spacing w:after="0"/>
              <w:ind w:firstLine="0" w:firstLineChars="0"/>
              <w:rPr>
                <w:rFonts w:ascii="宋体" w:hAnsi="宋体"/>
                <w:szCs w:val="21"/>
              </w:rPr>
            </w:pPr>
            <w:r>
              <w:rPr>
                <w:rFonts w:hint="eastAsia" w:ascii="宋体" w:hAnsi="宋体"/>
                <w:szCs w:val="21"/>
              </w:rPr>
              <w:t>押品估值管理</w:t>
            </w:r>
          </w:p>
          <w:p w14:paraId="58172BA3">
            <w:pPr>
              <w:pStyle w:val="107"/>
              <w:numPr>
                <w:ilvl w:val="0"/>
                <w:numId w:val="17"/>
              </w:numPr>
              <w:spacing w:after="0"/>
              <w:ind w:firstLine="0" w:firstLineChars="0"/>
              <w:rPr>
                <w:rFonts w:ascii="宋体" w:hAnsi="宋体"/>
                <w:szCs w:val="21"/>
              </w:rPr>
            </w:pPr>
            <w:r>
              <w:rPr>
                <w:rFonts w:hint="eastAsia" w:ascii="宋体" w:hAnsi="宋体"/>
                <w:szCs w:val="21"/>
              </w:rPr>
              <w:t>押品出入库管理</w:t>
            </w:r>
          </w:p>
          <w:p w14:paraId="69D7B3AC">
            <w:pPr>
              <w:pStyle w:val="107"/>
              <w:numPr>
                <w:ilvl w:val="0"/>
                <w:numId w:val="17"/>
              </w:numPr>
              <w:spacing w:after="0"/>
              <w:ind w:firstLine="0" w:firstLineChars="0"/>
              <w:rPr>
                <w:rFonts w:ascii="宋体" w:hAnsi="宋体"/>
                <w:szCs w:val="21"/>
              </w:rPr>
            </w:pPr>
            <w:r>
              <w:rPr>
                <w:rFonts w:hint="eastAsia" w:ascii="宋体" w:hAnsi="宋体"/>
                <w:szCs w:val="21"/>
              </w:rPr>
              <w:t>保证金管理</w:t>
            </w:r>
          </w:p>
          <w:p w14:paraId="30A45B94">
            <w:pPr>
              <w:pStyle w:val="107"/>
              <w:numPr>
                <w:ilvl w:val="0"/>
                <w:numId w:val="17"/>
              </w:numPr>
              <w:spacing w:after="0"/>
              <w:ind w:firstLine="0" w:firstLineChars="0"/>
              <w:rPr>
                <w:rFonts w:ascii="宋体" w:hAnsi="宋体"/>
                <w:szCs w:val="21"/>
              </w:rPr>
            </w:pPr>
            <w:r>
              <w:rPr>
                <w:rFonts w:hint="eastAsia" w:ascii="宋体" w:hAnsi="宋体"/>
                <w:szCs w:val="21"/>
              </w:rPr>
              <w:t>评估机构管理</w:t>
            </w:r>
          </w:p>
          <w:p w14:paraId="42F1AEF4">
            <w:pPr>
              <w:pStyle w:val="107"/>
              <w:numPr>
                <w:ilvl w:val="0"/>
                <w:numId w:val="17"/>
              </w:numPr>
              <w:spacing w:after="0"/>
              <w:ind w:firstLine="0" w:firstLineChars="0"/>
              <w:rPr>
                <w:rFonts w:ascii="宋体" w:hAnsi="宋体"/>
                <w:szCs w:val="21"/>
              </w:rPr>
            </w:pPr>
            <w:r>
              <w:rPr>
                <w:rFonts w:hint="eastAsia" w:ascii="宋体" w:hAnsi="宋体"/>
                <w:szCs w:val="21"/>
              </w:rPr>
              <w:t>押品缓释</w:t>
            </w:r>
            <w:r>
              <w:rPr>
                <w:rFonts w:hint="eastAsia" w:ascii="宋体" w:hAnsi="宋体"/>
                <w:szCs w:val="21"/>
                <w:lang w:val="en-US" w:eastAsia="zh-CN"/>
              </w:rPr>
              <w:t>管理</w:t>
            </w:r>
          </w:p>
          <w:p w14:paraId="263709D7">
            <w:pPr>
              <w:pStyle w:val="107"/>
              <w:numPr>
                <w:ilvl w:val="0"/>
                <w:numId w:val="17"/>
              </w:numPr>
              <w:spacing w:after="0"/>
              <w:ind w:firstLine="0" w:firstLineChars="0"/>
              <w:rPr>
                <w:rFonts w:ascii="宋体" w:hAnsi="宋体"/>
                <w:szCs w:val="21"/>
              </w:rPr>
            </w:pPr>
            <w:r>
              <w:rPr>
                <w:rFonts w:hint="eastAsia" w:ascii="宋体" w:hAnsi="宋体"/>
                <w:szCs w:val="21"/>
                <w:lang w:val="en-US" w:eastAsia="zh-CN"/>
              </w:rPr>
              <w:t>押品预警管理</w:t>
            </w:r>
          </w:p>
          <w:p w14:paraId="0AA917A6">
            <w:pPr>
              <w:pStyle w:val="107"/>
              <w:numPr>
                <w:ilvl w:val="0"/>
                <w:numId w:val="17"/>
              </w:numPr>
              <w:spacing w:after="0"/>
              <w:ind w:firstLine="0" w:firstLineChars="0"/>
              <w:rPr>
                <w:rFonts w:ascii="宋体" w:hAnsi="宋体"/>
                <w:szCs w:val="21"/>
              </w:rPr>
            </w:pPr>
            <w:r>
              <w:rPr>
                <w:rFonts w:hint="eastAsia" w:ascii="宋体" w:hAnsi="宋体"/>
                <w:szCs w:val="21"/>
              </w:rPr>
              <w:t>押品统一视图</w:t>
            </w:r>
          </w:p>
        </w:tc>
      </w:tr>
    </w:tbl>
    <w:p w14:paraId="45219E16"/>
    <w:p w14:paraId="55488F8A">
      <w:pPr>
        <w:pStyle w:val="5"/>
      </w:pPr>
      <w:bookmarkStart w:id="81" w:name="_Toc839"/>
      <w:r>
        <w:rPr>
          <w:rFonts w:hint="eastAsia"/>
        </w:rPr>
        <w:t>产品中心</w:t>
      </w:r>
      <w:bookmarkEnd w:id="81"/>
    </w:p>
    <w:tbl>
      <w:tblPr>
        <w:tblStyle w:val="39"/>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8436"/>
      </w:tblGrid>
      <w:tr w14:paraId="5B1F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526" w:type="dxa"/>
            <w:vAlign w:val="center"/>
          </w:tcPr>
          <w:p w14:paraId="5D68C80F">
            <w:pPr>
              <w:pStyle w:val="107"/>
              <w:ind w:firstLine="0" w:firstLineChars="0"/>
              <w:rPr>
                <w:rFonts w:ascii="宋体" w:hAnsi="宋体"/>
                <w:szCs w:val="21"/>
              </w:rPr>
            </w:pPr>
            <w:r>
              <w:rPr>
                <w:rFonts w:hint="eastAsia" w:ascii="宋体" w:hAnsi="宋体"/>
                <w:szCs w:val="21"/>
              </w:rPr>
              <w:t>测试名称</w:t>
            </w:r>
          </w:p>
        </w:tc>
        <w:tc>
          <w:tcPr>
            <w:tcW w:w="8436" w:type="dxa"/>
            <w:vAlign w:val="center"/>
          </w:tcPr>
          <w:p w14:paraId="3039C5B7">
            <w:pPr>
              <w:pStyle w:val="107"/>
              <w:ind w:firstLine="0" w:firstLineChars="0"/>
              <w:rPr>
                <w:rFonts w:ascii="宋体" w:hAnsi="宋体"/>
                <w:szCs w:val="21"/>
              </w:rPr>
            </w:pPr>
            <w:r>
              <w:rPr>
                <w:rFonts w:hint="eastAsia" w:ascii="宋体" w:hAnsi="宋体"/>
                <w:szCs w:val="21"/>
              </w:rPr>
              <w:t>产品中心</w:t>
            </w:r>
          </w:p>
        </w:tc>
      </w:tr>
      <w:tr w14:paraId="377C2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3347D615">
            <w:pPr>
              <w:pStyle w:val="107"/>
              <w:ind w:firstLine="0" w:firstLineChars="0"/>
              <w:rPr>
                <w:rFonts w:ascii="宋体" w:hAnsi="宋体"/>
                <w:szCs w:val="21"/>
              </w:rPr>
            </w:pPr>
            <w:r>
              <w:rPr>
                <w:rFonts w:hint="eastAsia" w:ascii="宋体" w:hAnsi="宋体"/>
                <w:szCs w:val="21"/>
              </w:rPr>
              <w:t>测试目的</w:t>
            </w:r>
          </w:p>
        </w:tc>
        <w:tc>
          <w:tcPr>
            <w:tcW w:w="8436" w:type="dxa"/>
            <w:vAlign w:val="center"/>
          </w:tcPr>
          <w:p w14:paraId="4CC5513C">
            <w:pPr>
              <w:pStyle w:val="107"/>
              <w:ind w:firstLine="0" w:firstLineChars="0"/>
              <w:rPr>
                <w:rFonts w:ascii="宋体" w:hAnsi="宋体"/>
                <w:szCs w:val="21"/>
              </w:rPr>
            </w:pPr>
            <w:r>
              <w:rPr>
                <w:rFonts w:hint="eastAsia" w:ascii="宋体" w:hAnsi="宋体"/>
                <w:szCs w:val="21"/>
              </w:rPr>
              <w:t>展示产品中心功能</w:t>
            </w:r>
          </w:p>
        </w:tc>
      </w:tr>
      <w:tr w14:paraId="7B509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14:paraId="46CCA4B3">
            <w:pPr>
              <w:pStyle w:val="107"/>
              <w:ind w:firstLine="0" w:firstLineChars="0"/>
              <w:rPr>
                <w:rFonts w:ascii="宋体" w:hAnsi="宋体"/>
                <w:szCs w:val="21"/>
              </w:rPr>
            </w:pPr>
            <w:r>
              <w:rPr>
                <w:rFonts w:hint="eastAsia" w:ascii="宋体" w:hAnsi="宋体"/>
                <w:szCs w:val="21"/>
              </w:rPr>
              <w:t>测试场景</w:t>
            </w:r>
          </w:p>
        </w:tc>
        <w:tc>
          <w:tcPr>
            <w:tcW w:w="8436" w:type="dxa"/>
            <w:vAlign w:val="center"/>
          </w:tcPr>
          <w:p w14:paraId="14CCE4FD">
            <w:pPr>
              <w:pStyle w:val="107"/>
              <w:ind w:firstLine="0" w:firstLineChars="0"/>
              <w:rPr>
                <w:rFonts w:ascii="宋体" w:hAnsi="宋体"/>
                <w:szCs w:val="21"/>
              </w:rPr>
            </w:pPr>
            <w:r>
              <w:rPr>
                <w:rFonts w:ascii="宋体" w:hAnsi="宋体"/>
                <w:szCs w:val="21"/>
              </w:rPr>
              <w:t>实现如下功能：</w:t>
            </w:r>
          </w:p>
          <w:p w14:paraId="4EC31F90">
            <w:pPr>
              <w:pStyle w:val="107"/>
              <w:spacing w:after="0"/>
              <w:ind w:firstLine="0" w:firstLineChars="0"/>
              <w:rPr>
                <w:rFonts w:hint="eastAsia" w:ascii="宋体" w:hAnsi="宋体"/>
                <w:szCs w:val="21"/>
                <w:lang w:val="en-US" w:eastAsia="zh-CN"/>
              </w:rPr>
            </w:pPr>
            <w:r>
              <w:rPr>
                <w:rFonts w:hint="eastAsia" w:ascii="宋体" w:hAnsi="宋体"/>
                <w:szCs w:val="21"/>
                <w:lang w:val="en-US" w:eastAsia="zh-CN"/>
              </w:rPr>
              <w:t>1、产品全生命周期管理</w:t>
            </w:r>
          </w:p>
          <w:p w14:paraId="5E7D18B8">
            <w:pPr>
              <w:pStyle w:val="107"/>
              <w:spacing w:after="0"/>
              <w:ind w:firstLine="0" w:firstLineChars="0"/>
              <w:rPr>
                <w:rFonts w:hint="eastAsia" w:ascii="宋体" w:hAnsi="宋体"/>
                <w:szCs w:val="21"/>
                <w:lang w:val="en-US" w:eastAsia="zh-CN"/>
              </w:rPr>
            </w:pPr>
            <w:r>
              <w:rPr>
                <w:rFonts w:hint="eastAsia" w:ascii="宋体" w:hAnsi="宋体"/>
                <w:szCs w:val="21"/>
                <w:lang w:val="en-US" w:eastAsia="zh-CN"/>
              </w:rPr>
              <w:t>2、产品参数配置</w:t>
            </w:r>
          </w:p>
          <w:p w14:paraId="1B8DA530">
            <w:pPr>
              <w:pStyle w:val="107"/>
              <w:spacing w:after="0"/>
              <w:ind w:firstLine="0" w:firstLineChars="0"/>
              <w:rPr>
                <w:rFonts w:hint="eastAsia" w:ascii="宋体" w:hAnsi="宋体"/>
                <w:szCs w:val="21"/>
                <w:lang w:val="en-US" w:eastAsia="zh-CN"/>
              </w:rPr>
            </w:pPr>
            <w:r>
              <w:rPr>
                <w:rFonts w:hint="eastAsia" w:ascii="宋体" w:hAnsi="宋体"/>
                <w:szCs w:val="21"/>
                <w:lang w:val="en-US" w:eastAsia="zh-CN"/>
              </w:rPr>
              <w:t>3、产品组件管理</w:t>
            </w:r>
          </w:p>
          <w:p w14:paraId="5950E64B">
            <w:pPr>
              <w:pStyle w:val="107"/>
              <w:spacing w:after="0"/>
              <w:ind w:firstLine="0" w:firstLineChars="0"/>
              <w:rPr>
                <w:rFonts w:ascii="宋体" w:hAnsi="宋体"/>
                <w:szCs w:val="21"/>
              </w:rPr>
            </w:pPr>
            <w:r>
              <w:rPr>
                <w:rFonts w:hint="eastAsia" w:ascii="宋体" w:hAnsi="宋体"/>
                <w:szCs w:val="21"/>
                <w:lang w:val="en-US" w:eastAsia="zh-CN"/>
              </w:rPr>
              <w:t>4、产品分析</w:t>
            </w:r>
          </w:p>
        </w:tc>
      </w:tr>
    </w:tbl>
    <w:p w14:paraId="6D2A64E1"/>
    <w:p w14:paraId="3DD1B057">
      <w:pPr>
        <w:pStyle w:val="4"/>
      </w:pPr>
      <w:bookmarkStart w:id="82" w:name="_Toc23198"/>
      <w:bookmarkStart w:id="83" w:name="_Toc26978"/>
      <w:bookmarkStart w:id="84" w:name="_Toc3756"/>
      <w:bookmarkStart w:id="85" w:name="_Toc25168"/>
      <w:r>
        <w:rPr>
          <w:rFonts w:hint="eastAsia"/>
        </w:rPr>
        <w:t>测试案例</w:t>
      </w:r>
      <w:bookmarkEnd w:id="82"/>
    </w:p>
    <w:p w14:paraId="2577AB8D">
      <w:pPr>
        <w:pStyle w:val="5"/>
      </w:pPr>
      <w:bookmarkStart w:id="86" w:name="_Toc5982"/>
      <w:r>
        <w:rPr>
          <w:rFonts w:hint="eastAsia"/>
        </w:rPr>
        <w:t>业务测试案例</w:t>
      </w:r>
      <w:bookmarkEnd w:id="86"/>
    </w:p>
    <w:p w14:paraId="50586E9C">
      <w:pPr>
        <w:pStyle w:val="6"/>
        <w:numPr>
          <w:ilvl w:val="0"/>
          <w:numId w:val="18"/>
        </w:numPr>
      </w:pPr>
      <w:bookmarkStart w:id="87" w:name="_Toc27844"/>
      <w:r>
        <w:rPr>
          <w:rFonts w:hint="eastAsia" w:ascii="仿宋" w:hAnsi="仿宋" w:eastAsia="仿宋" w:cs="仿宋"/>
          <w:b w:val="0"/>
          <w:bCs w:val="0"/>
          <w:sz w:val="28"/>
          <w:szCs w:val="28"/>
        </w:rPr>
        <w:t>案例1-新产品全流程办理案例</w:t>
      </w:r>
      <w:bookmarkEnd w:id="87"/>
    </w:p>
    <w:p w14:paraId="43C59926">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我行拟推出</w:t>
      </w:r>
      <w:r>
        <w:rPr>
          <w:rFonts w:hint="eastAsia" w:ascii="仿宋" w:hAnsi="仿宋" w:eastAsia="仿宋" w:cs="仿宋"/>
          <w:b/>
          <w:bCs/>
          <w:sz w:val="28"/>
          <w:szCs w:val="28"/>
        </w:rPr>
        <w:t>“粤有财”</w:t>
      </w:r>
      <w:r>
        <w:rPr>
          <w:rFonts w:hint="eastAsia" w:ascii="仿宋" w:hAnsi="仿宋" w:eastAsia="仿宋" w:cs="仿宋"/>
          <w:sz w:val="28"/>
          <w:szCs w:val="28"/>
        </w:rPr>
        <w:t>新产品，新产品为</w:t>
      </w:r>
      <w:r>
        <w:rPr>
          <w:rFonts w:hint="eastAsia" w:ascii="仿宋" w:hAnsi="仿宋" w:eastAsia="仿宋" w:cs="仿宋"/>
          <w:b/>
          <w:bCs/>
          <w:sz w:val="28"/>
          <w:szCs w:val="28"/>
        </w:rPr>
        <w:t>小微企业贷款</w:t>
      </w:r>
      <w:r>
        <w:rPr>
          <w:rFonts w:hint="eastAsia" w:ascii="仿宋" w:hAnsi="仿宋" w:eastAsia="仿宋" w:cs="仿宋"/>
          <w:sz w:val="28"/>
          <w:szCs w:val="28"/>
        </w:rPr>
        <w:t>大类下的产品。单个客户产品最高申请金额为3000万元，产品准入信用等级为BBB级。客户信用评级为AA级以下的，最高申请金额为1000万元；信用评级AA级（含）以上的，最高可申请金额为3000万元。</w:t>
      </w:r>
    </w:p>
    <w:p w14:paraId="7E06A4CA">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适用客群：</w:t>
      </w:r>
      <w:r>
        <w:rPr>
          <w:rFonts w:hint="eastAsia" w:ascii="仿宋" w:hAnsi="仿宋" w:eastAsia="仿宋" w:cs="仿宋"/>
          <w:sz w:val="28"/>
          <w:szCs w:val="28"/>
        </w:rPr>
        <w:t>该产品适用小、微型企业（不应用于中、大型企业），且成立时间不低于2年。假设A客户为专精特新小微企业，现拟申请我行“粤有财”业务。</w:t>
      </w:r>
    </w:p>
    <w:p w14:paraId="46A0A50A">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担保方式：</w:t>
      </w:r>
      <w:r>
        <w:rPr>
          <w:rFonts w:hint="eastAsia" w:ascii="仿宋" w:hAnsi="仿宋" w:eastAsia="仿宋" w:cs="仿宋"/>
          <w:sz w:val="28"/>
          <w:szCs w:val="28"/>
        </w:rPr>
        <w:t>该产品支持抵押和保证担保方式。同时要求担保公司必须提供不少于50%的担保</w:t>
      </w:r>
      <w:r>
        <w:rPr>
          <w:rFonts w:hint="eastAsia" w:ascii="仿宋" w:hAnsi="仿宋" w:eastAsia="仿宋" w:cs="仿宋"/>
          <w:b/>
          <w:bCs/>
          <w:sz w:val="28"/>
          <w:szCs w:val="28"/>
        </w:rPr>
        <w:t>，抵押率不高于70%。</w:t>
      </w:r>
    </w:p>
    <w:p w14:paraId="4AAE1782">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还款方式：</w:t>
      </w:r>
      <w:r>
        <w:rPr>
          <w:rFonts w:hint="eastAsia" w:ascii="仿宋" w:hAnsi="仿宋" w:eastAsia="仿宋" w:cs="仿宋"/>
          <w:sz w:val="28"/>
          <w:szCs w:val="28"/>
        </w:rPr>
        <w:t>该产品申请期限：</w:t>
      </w:r>
    </w:p>
    <w:p w14:paraId="3BB4E7D0">
      <w:pPr>
        <w:widowControl w:val="0"/>
        <w:spacing w:line="360" w:lineRule="auto"/>
        <w:ind w:firstLine="420"/>
        <w:rPr>
          <w:rFonts w:ascii="仿宋" w:hAnsi="仿宋" w:eastAsia="仿宋" w:cs="仿宋"/>
          <w:sz w:val="28"/>
          <w:szCs w:val="28"/>
        </w:rPr>
      </w:pPr>
      <w:r>
        <w:rPr>
          <w:rFonts w:hint="eastAsia" w:ascii="仿宋" w:hAnsi="仿宋" w:eastAsia="仿宋" w:cs="仿宋"/>
          <w:sz w:val="28"/>
          <w:szCs w:val="28"/>
        </w:rPr>
        <w:t>1年（含）以内的，支持按月付息到期还本、一次还本付息等还款方式；</w:t>
      </w:r>
      <w:r>
        <w:rPr>
          <w:rFonts w:hint="eastAsia" w:ascii="仿宋" w:hAnsi="仿宋" w:eastAsia="仿宋" w:cs="仿宋"/>
          <w:sz w:val="28"/>
          <w:szCs w:val="28"/>
        </w:rPr>
        <w:tab/>
      </w:r>
      <w:r>
        <w:rPr>
          <w:rFonts w:hint="eastAsia" w:ascii="仿宋" w:hAnsi="仿宋" w:eastAsia="仿宋" w:cs="仿宋"/>
          <w:sz w:val="28"/>
          <w:szCs w:val="28"/>
        </w:rPr>
        <w:t>1年以上的，只支持等额本金和等额本息的还款方式，或支持自由还款（自定义还款计划，一年内必须还两次本金）。</w:t>
      </w:r>
    </w:p>
    <w:p w14:paraId="1C9A1992">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贷款定价：</w:t>
      </w:r>
      <w:r>
        <w:rPr>
          <w:rFonts w:hint="eastAsia" w:ascii="仿宋" w:hAnsi="仿宋" w:eastAsia="仿宋" w:cs="仿宋"/>
          <w:sz w:val="28"/>
          <w:szCs w:val="28"/>
        </w:rPr>
        <w:t>该产品的最低定价为4%。申请期限一年（含）以内的，利率为LPR利率上浮150个BP及以上。申请期限1年以上的，利率为LPR利率上浮100个BP及以上；</w:t>
      </w:r>
    </w:p>
    <w:p w14:paraId="0B600599">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受托支付：</w:t>
      </w:r>
      <w:r>
        <w:rPr>
          <w:rFonts w:hint="eastAsia" w:ascii="仿宋" w:hAnsi="仿宋" w:eastAsia="仿宋" w:cs="仿宋"/>
          <w:sz w:val="28"/>
          <w:szCs w:val="28"/>
        </w:rPr>
        <w:t>单笔用款500万元以上的，必须进行受托支付；单笔用款500万元以下的，既可以受托支付，也可以选择自主支付。受托支付支持立即受托支付和延期受托支付（先放款，再单独走流程进行受托支付）。</w:t>
      </w:r>
    </w:p>
    <w:p w14:paraId="001F33BA">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申请渠道：</w:t>
      </w:r>
      <w:r>
        <w:rPr>
          <w:rFonts w:hint="eastAsia" w:ascii="仿宋" w:hAnsi="仿宋" w:eastAsia="仿宋" w:cs="仿宋"/>
          <w:sz w:val="28"/>
          <w:szCs w:val="28"/>
        </w:rPr>
        <w:t>该产品支持客户线上渠道申请和线下渠道申请。</w:t>
      </w:r>
    </w:p>
    <w:p w14:paraId="1E8BD680">
      <w:pPr>
        <w:widowControl w:val="0"/>
        <w:numPr>
          <w:ilvl w:val="0"/>
          <w:numId w:val="19"/>
        </w:numPr>
        <w:spacing w:line="360" w:lineRule="auto"/>
        <w:rPr>
          <w:rFonts w:ascii="仿宋" w:hAnsi="仿宋" w:eastAsia="仿宋" w:cs="仿宋"/>
          <w:b/>
          <w:bCs/>
          <w:sz w:val="28"/>
          <w:szCs w:val="28"/>
        </w:rPr>
      </w:pPr>
      <w:r>
        <w:rPr>
          <w:rFonts w:hint="eastAsia" w:ascii="仿宋" w:hAnsi="仿宋" w:eastAsia="仿宋" w:cs="仿宋"/>
          <w:b/>
          <w:bCs/>
          <w:sz w:val="28"/>
          <w:szCs w:val="28"/>
        </w:rPr>
        <w:t>用信审批流程：</w:t>
      </w:r>
      <w:r>
        <w:rPr>
          <w:rFonts w:hint="eastAsia" w:ascii="仿宋" w:hAnsi="仿宋" w:eastAsia="仿宋" w:cs="仿宋"/>
          <w:sz w:val="28"/>
          <w:szCs w:val="28"/>
        </w:rPr>
        <w:t>该产品单笔申请金额如果为500万元及以下，且主担保方式为房产类押品抵押的，可以由分行行长审批。审批流程为：客户经理-支行行长-分行审查-人分行主管行长-分行风险官-分行行长，也可以支持上分行审批。如果分行风险官休假或缺位，可以直接跳过风险官提交给分行行长审批。</w:t>
      </w:r>
    </w:p>
    <w:p w14:paraId="04D86A3E">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分行用信审批流程为：</w:t>
      </w:r>
      <w:r>
        <w:rPr>
          <w:rFonts w:hint="eastAsia" w:ascii="仿宋" w:hAnsi="仿宋" w:eastAsia="仿宋" w:cs="仿宋"/>
          <w:sz w:val="28"/>
          <w:szCs w:val="28"/>
        </w:rPr>
        <w:t>单笔申请金额如果为500万元以上，只能提交分行评审会审批（至少3个评委）。审批流程为：客户经理-支行行长-分行审查人-分行主管行长-分行风险官-分行行长-分行评审会审批（至少</w:t>
      </w:r>
      <w:r>
        <w:rPr>
          <w:rFonts w:ascii="仿宋" w:hAnsi="仿宋" w:eastAsia="仿宋" w:cs="仿宋"/>
          <w:sz w:val="28"/>
          <w:szCs w:val="28"/>
        </w:rPr>
        <w:t>3</w:t>
      </w:r>
      <w:r>
        <w:rPr>
          <w:rFonts w:hint="eastAsia" w:ascii="仿宋" w:hAnsi="仿宋" w:eastAsia="仿宋" w:cs="仿宋"/>
          <w:sz w:val="28"/>
          <w:szCs w:val="28"/>
        </w:rPr>
        <w:t>个评委）。如果分行行长休假或缺位，可以直接跳过分行行长提交给分行评审会审批。</w:t>
      </w:r>
    </w:p>
    <w:p w14:paraId="0230D146">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合同签订：</w:t>
      </w:r>
      <w:r>
        <w:rPr>
          <w:rFonts w:hint="eastAsia" w:ascii="仿宋" w:hAnsi="仿宋" w:eastAsia="仿宋" w:cs="仿宋"/>
          <w:sz w:val="28"/>
          <w:szCs w:val="28"/>
        </w:rPr>
        <w:t>该产品支持客户线上签订借款合同，也支持线下签订借款合同，线下签订借款合同的，支持在系统中打印合同内容。</w:t>
      </w:r>
    </w:p>
    <w:p w14:paraId="7546C432">
      <w:pPr>
        <w:widowControl w:val="0"/>
        <w:numPr>
          <w:ilvl w:val="0"/>
          <w:numId w:val="19"/>
        </w:numPr>
        <w:spacing w:line="360" w:lineRule="auto"/>
        <w:rPr>
          <w:rFonts w:ascii="仿宋" w:hAnsi="仿宋" w:eastAsia="仿宋" w:cs="仿宋"/>
          <w:sz w:val="28"/>
          <w:szCs w:val="28"/>
        </w:rPr>
      </w:pPr>
      <w:r>
        <w:rPr>
          <w:rFonts w:hint="eastAsia" w:ascii="仿宋" w:hAnsi="仿宋" w:eastAsia="仿宋" w:cs="仿宋"/>
          <w:b/>
          <w:bCs/>
          <w:sz w:val="28"/>
          <w:szCs w:val="28"/>
        </w:rPr>
        <w:t>出账审批流程：</w:t>
      </w:r>
      <w:r>
        <w:rPr>
          <w:rFonts w:hint="eastAsia" w:ascii="仿宋" w:hAnsi="仿宋" w:eastAsia="仿宋" w:cs="仿宋"/>
          <w:sz w:val="28"/>
          <w:szCs w:val="28"/>
        </w:rPr>
        <w:t>客户经理-支行行长-分行出账审查人-分行出账审批人。如果客户的放款申请不是首次放款，在客户征信报告未体现逾期，没有其他风险的情况下，客户经理提交后，可以自动审批通过。</w:t>
      </w:r>
    </w:p>
    <w:p w14:paraId="2E47E620">
      <w:pPr>
        <w:widowControl w:val="0"/>
        <w:spacing w:line="360" w:lineRule="auto"/>
        <w:ind w:firstLine="420"/>
        <w:rPr>
          <w:rFonts w:ascii="仿宋" w:hAnsi="仿宋" w:eastAsia="仿宋" w:cs="仿宋"/>
          <w:b/>
          <w:bCs/>
          <w:sz w:val="28"/>
          <w:szCs w:val="28"/>
        </w:rPr>
      </w:pPr>
      <w:r>
        <w:rPr>
          <w:rFonts w:hint="eastAsia" w:ascii="仿宋" w:hAnsi="仿宋" w:eastAsia="仿宋" w:cs="仿宋"/>
          <w:b/>
          <w:bCs/>
          <w:sz w:val="28"/>
          <w:szCs w:val="28"/>
        </w:rPr>
        <w:t>请就我行推出的该产品，完成从客户建立-信用评级-授信额度可模拟-用信申请-合同签订-放款的全流程演示。</w:t>
      </w:r>
    </w:p>
    <w:p w14:paraId="200AE1E7">
      <w:pPr>
        <w:pStyle w:val="6"/>
        <w:numPr>
          <w:ilvl w:val="0"/>
          <w:numId w:val="18"/>
        </w:numPr>
        <w:spacing w:before="0" w:beforeAutospacing="0" w:after="0" w:afterAutospacing="0"/>
        <w:rPr>
          <w:rFonts w:ascii="仿宋" w:hAnsi="仿宋" w:eastAsia="仿宋" w:cs="仿宋"/>
          <w:b w:val="0"/>
          <w:bCs w:val="0"/>
          <w:sz w:val="28"/>
          <w:szCs w:val="28"/>
        </w:rPr>
      </w:pPr>
      <w:bookmarkStart w:id="88" w:name="_Toc3544"/>
      <w:r>
        <w:rPr>
          <w:rFonts w:hint="eastAsia" w:ascii="仿宋" w:hAnsi="仿宋" w:eastAsia="仿宋" w:cs="仿宋"/>
          <w:b w:val="0"/>
          <w:bCs w:val="0"/>
          <w:sz w:val="28"/>
          <w:szCs w:val="28"/>
        </w:rPr>
        <w:t>案例2-流程配置案例</w:t>
      </w:r>
      <w:bookmarkEnd w:id="88"/>
    </w:p>
    <w:p w14:paraId="37C7EA57">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行颁布新制度规定：A分行进行组织架构调整，要求非管理型支行业务需经管理型支行行长审批，再提交到分行审批，而管理型支行业务审批流程保持不变。假设原非管理型支行的业务申报流程为：客户经理-支行行长-分行审查人-分行主管行长-分行行长。</w:t>
      </w:r>
    </w:p>
    <w:p w14:paraId="69497D44">
      <w:pPr>
        <w:widowControl w:val="0"/>
        <w:spacing w:line="360" w:lineRule="auto"/>
        <w:ind w:firstLine="420"/>
        <w:rPr>
          <w:rFonts w:ascii="仿宋" w:hAnsi="仿宋" w:eastAsia="仿宋" w:cs="仿宋"/>
          <w:sz w:val="28"/>
          <w:szCs w:val="28"/>
        </w:rPr>
      </w:pPr>
      <w:r>
        <w:rPr>
          <w:rFonts w:hint="eastAsia" w:ascii="仿宋" w:hAnsi="仿宋" w:eastAsia="仿宋" w:cs="仿宋"/>
          <w:sz w:val="28"/>
          <w:szCs w:val="28"/>
        </w:rPr>
        <w:t>现要求非管理型支行的业务申报流程为：客户经理-支行行长-管理型支行行长-分行审查人-分行主管行长-分行行长。</w:t>
      </w:r>
    </w:p>
    <w:p w14:paraId="456F0B78">
      <w:pPr>
        <w:pStyle w:val="20"/>
        <w:ind w:firstLineChars="0"/>
      </w:pPr>
      <w:r>
        <w:rPr>
          <w:rFonts w:hint="eastAsia"/>
        </w:rPr>
        <w:t>除了A分行，其它分行组织架构保持不变。</w:t>
      </w:r>
    </w:p>
    <w:p w14:paraId="1B097164">
      <w:pPr>
        <w:pStyle w:val="6"/>
        <w:numPr>
          <w:ilvl w:val="0"/>
          <w:numId w:val="18"/>
        </w:numPr>
        <w:spacing w:before="0" w:beforeAutospacing="0" w:after="0" w:afterAutospacing="0"/>
        <w:rPr>
          <w:rFonts w:ascii="仿宋" w:hAnsi="仿宋" w:eastAsia="仿宋" w:cs="仿宋"/>
          <w:b w:val="0"/>
          <w:bCs w:val="0"/>
          <w:sz w:val="28"/>
          <w:szCs w:val="28"/>
          <w:lang w:eastAsia="zh-Hans"/>
        </w:rPr>
      </w:pPr>
      <w:bookmarkStart w:id="89" w:name="_Toc14905"/>
      <w:r>
        <w:rPr>
          <w:rFonts w:hint="eastAsia" w:ascii="仿宋" w:hAnsi="仿宋" w:eastAsia="仿宋" w:cs="仿宋"/>
          <w:b w:val="0"/>
          <w:bCs w:val="0"/>
          <w:sz w:val="28"/>
          <w:szCs w:val="28"/>
          <w:lang w:eastAsia="zh-Hans"/>
        </w:rPr>
        <w:t>案例</w:t>
      </w:r>
      <w:r>
        <w:rPr>
          <w:rFonts w:ascii="仿宋" w:hAnsi="仿宋" w:eastAsia="仿宋" w:cs="仿宋"/>
          <w:b w:val="0"/>
          <w:bCs w:val="0"/>
          <w:sz w:val="28"/>
          <w:szCs w:val="28"/>
          <w:lang w:eastAsia="zh-Hans"/>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Hans"/>
        </w:rPr>
        <w:t>系统配置报表生成案例</w:t>
      </w:r>
      <w:bookmarkEnd w:id="89"/>
    </w:p>
    <w:p w14:paraId="72764CA2">
      <w:pPr>
        <w:pStyle w:val="21"/>
        <w:spacing w:line="360" w:lineRule="auto"/>
        <w:ind w:firstLine="560"/>
        <w:rPr>
          <w:rFonts w:eastAsia="仿宋"/>
          <w:color w:val="auto"/>
          <w:kern w:val="2"/>
          <w:sz w:val="28"/>
          <w:szCs w:val="28"/>
          <w:lang w:eastAsia="zh-Hans"/>
        </w:rPr>
      </w:pPr>
      <w:r>
        <w:rPr>
          <w:rFonts w:hint="eastAsia" w:eastAsia="仿宋"/>
          <w:color w:val="auto"/>
          <w:kern w:val="2"/>
          <w:sz w:val="28"/>
          <w:szCs w:val="28"/>
          <w:lang w:eastAsia="zh-Hans"/>
        </w:rPr>
        <w:t>我行想对系统的配置操作进行监督检查</w:t>
      </w:r>
      <w:r>
        <w:rPr>
          <w:rFonts w:eastAsia="仿宋"/>
          <w:color w:val="auto"/>
          <w:kern w:val="2"/>
          <w:sz w:val="28"/>
          <w:szCs w:val="28"/>
          <w:lang w:eastAsia="zh-Hans"/>
        </w:rPr>
        <w:t>，</w:t>
      </w:r>
      <w:r>
        <w:rPr>
          <w:rFonts w:hint="eastAsia" w:eastAsia="仿宋"/>
          <w:color w:val="auto"/>
          <w:kern w:val="2"/>
          <w:sz w:val="28"/>
          <w:szCs w:val="28"/>
          <w:lang w:eastAsia="zh-Hans"/>
        </w:rPr>
        <w:t>需要系统提供如下报表</w:t>
      </w:r>
      <w:r>
        <w:rPr>
          <w:rFonts w:eastAsia="仿宋"/>
          <w:color w:val="auto"/>
          <w:kern w:val="2"/>
          <w:sz w:val="28"/>
          <w:szCs w:val="28"/>
          <w:lang w:eastAsia="zh-Hans"/>
        </w:rPr>
        <w:t>。</w:t>
      </w:r>
      <w:r>
        <w:rPr>
          <w:rFonts w:hint="eastAsia" w:eastAsia="仿宋"/>
          <w:color w:val="auto"/>
          <w:kern w:val="2"/>
          <w:sz w:val="28"/>
          <w:szCs w:val="28"/>
          <w:lang w:eastAsia="zh-Hans"/>
        </w:rPr>
        <w:t>请对如下系统操作提供报表</w:t>
      </w:r>
      <w:r>
        <w:rPr>
          <w:rFonts w:eastAsia="仿宋"/>
          <w:color w:val="auto"/>
          <w:kern w:val="2"/>
          <w:sz w:val="28"/>
          <w:szCs w:val="28"/>
          <w:lang w:eastAsia="zh-Hans"/>
        </w:rPr>
        <w:t>。</w:t>
      </w:r>
      <w:r>
        <w:rPr>
          <w:rFonts w:hint="eastAsia" w:eastAsia="仿宋"/>
          <w:color w:val="auto"/>
          <w:kern w:val="2"/>
          <w:sz w:val="28"/>
          <w:szCs w:val="28"/>
          <w:lang w:eastAsia="zh-Hans"/>
        </w:rPr>
        <w:t>某个机构在特定时间段</w:t>
      </w:r>
      <w:r>
        <w:rPr>
          <w:rFonts w:eastAsia="仿宋"/>
          <w:color w:val="auto"/>
          <w:kern w:val="2"/>
          <w:sz w:val="28"/>
          <w:szCs w:val="28"/>
          <w:lang w:eastAsia="zh-Hans"/>
        </w:rPr>
        <w:t>，</w:t>
      </w:r>
      <w:r>
        <w:rPr>
          <w:rFonts w:hint="eastAsia" w:eastAsia="仿宋"/>
          <w:color w:val="auto"/>
          <w:kern w:val="2"/>
          <w:sz w:val="28"/>
          <w:szCs w:val="28"/>
          <w:lang w:eastAsia="zh-Hans"/>
        </w:rPr>
        <w:t>新增和停用了多少个用户</w:t>
      </w:r>
      <w:r>
        <w:rPr>
          <w:rFonts w:eastAsia="仿宋"/>
          <w:color w:val="auto"/>
          <w:kern w:val="2"/>
          <w:sz w:val="28"/>
          <w:szCs w:val="28"/>
          <w:lang w:eastAsia="zh-Hans"/>
        </w:rPr>
        <w:t>，</w:t>
      </w:r>
      <w:r>
        <w:rPr>
          <w:rFonts w:hint="eastAsia" w:eastAsia="仿宋"/>
          <w:color w:val="auto"/>
          <w:kern w:val="2"/>
          <w:sz w:val="28"/>
          <w:szCs w:val="28"/>
          <w:lang w:eastAsia="zh-Hans"/>
        </w:rPr>
        <w:t>具体的新增和停用的用户清单</w:t>
      </w:r>
      <w:r>
        <w:rPr>
          <w:rFonts w:eastAsia="仿宋"/>
          <w:color w:val="auto"/>
          <w:kern w:val="2"/>
          <w:sz w:val="28"/>
          <w:szCs w:val="28"/>
          <w:lang w:eastAsia="zh-Hans"/>
        </w:rPr>
        <w:t>（</w:t>
      </w:r>
      <w:r>
        <w:rPr>
          <w:rFonts w:hint="eastAsia" w:eastAsia="仿宋"/>
          <w:color w:val="auto"/>
          <w:kern w:val="2"/>
          <w:sz w:val="28"/>
          <w:szCs w:val="28"/>
          <w:lang w:eastAsia="zh-Hans"/>
        </w:rPr>
        <w:t>清单中包括具体的操作人和操作机构</w:t>
      </w:r>
      <w:r>
        <w:rPr>
          <w:rFonts w:eastAsia="仿宋"/>
          <w:color w:val="auto"/>
          <w:kern w:val="2"/>
          <w:sz w:val="28"/>
          <w:szCs w:val="28"/>
          <w:lang w:eastAsia="zh-Hans"/>
        </w:rPr>
        <w:t>）；</w:t>
      </w:r>
      <w:r>
        <w:rPr>
          <w:rFonts w:hint="eastAsia" w:eastAsia="仿宋"/>
          <w:color w:val="auto"/>
          <w:kern w:val="2"/>
          <w:sz w:val="28"/>
          <w:szCs w:val="28"/>
          <w:lang w:eastAsia="zh-Hans"/>
        </w:rPr>
        <w:t>配置了哪些权限</w:t>
      </w:r>
      <w:r>
        <w:rPr>
          <w:rFonts w:eastAsia="仿宋"/>
          <w:color w:val="auto"/>
          <w:kern w:val="2"/>
          <w:sz w:val="28"/>
          <w:szCs w:val="28"/>
          <w:lang w:eastAsia="zh-Hans"/>
        </w:rPr>
        <w:t>，</w:t>
      </w:r>
      <w:r>
        <w:rPr>
          <w:rFonts w:hint="eastAsia" w:eastAsia="仿宋"/>
          <w:color w:val="auto"/>
          <w:kern w:val="2"/>
          <w:sz w:val="28"/>
          <w:szCs w:val="28"/>
          <w:lang w:eastAsia="zh-Hans"/>
        </w:rPr>
        <w:t>每个权限配置了多少个用户</w:t>
      </w:r>
      <w:r>
        <w:rPr>
          <w:rFonts w:eastAsia="仿宋"/>
          <w:color w:val="auto"/>
          <w:kern w:val="2"/>
          <w:sz w:val="28"/>
          <w:szCs w:val="28"/>
          <w:lang w:eastAsia="zh-Hans"/>
        </w:rPr>
        <w:t>，</w:t>
      </w:r>
      <w:r>
        <w:rPr>
          <w:rFonts w:hint="eastAsia" w:eastAsia="仿宋"/>
          <w:color w:val="auto"/>
          <w:kern w:val="2"/>
          <w:sz w:val="28"/>
          <w:szCs w:val="28"/>
          <w:lang w:eastAsia="zh-Hans"/>
        </w:rPr>
        <w:t>具体的权限配置清单</w:t>
      </w:r>
      <w:r>
        <w:rPr>
          <w:rFonts w:eastAsia="仿宋"/>
          <w:color w:val="auto"/>
          <w:kern w:val="2"/>
          <w:sz w:val="28"/>
          <w:szCs w:val="28"/>
          <w:lang w:eastAsia="zh-Hans"/>
        </w:rPr>
        <w:t>（</w:t>
      </w:r>
      <w:r>
        <w:rPr>
          <w:rFonts w:hint="eastAsia" w:eastAsia="仿宋"/>
          <w:color w:val="auto"/>
          <w:kern w:val="2"/>
          <w:sz w:val="28"/>
          <w:szCs w:val="28"/>
          <w:lang w:eastAsia="zh-Hans"/>
        </w:rPr>
        <w:t>清单中包括具体的操作人和操作机构</w:t>
      </w:r>
      <w:r>
        <w:rPr>
          <w:rFonts w:eastAsia="仿宋"/>
          <w:color w:val="auto"/>
          <w:kern w:val="2"/>
          <w:sz w:val="28"/>
          <w:szCs w:val="28"/>
          <w:lang w:eastAsia="zh-Hans"/>
        </w:rPr>
        <w:t>）。</w:t>
      </w:r>
    </w:p>
    <w:p w14:paraId="10731448"/>
    <w:p w14:paraId="6365E877">
      <w:pPr>
        <w:pStyle w:val="21"/>
        <w:rPr>
          <w:color w:val="auto"/>
          <w:szCs w:val="28"/>
        </w:rPr>
      </w:pPr>
    </w:p>
    <w:p w14:paraId="4425AD88">
      <w:pPr>
        <w:pStyle w:val="21"/>
        <w:rPr>
          <w:color w:val="auto"/>
          <w:szCs w:val="28"/>
        </w:rPr>
      </w:pPr>
    </w:p>
    <w:p w14:paraId="7B96A4FA">
      <w:pPr>
        <w:pStyle w:val="21"/>
        <w:rPr>
          <w:color w:val="auto"/>
          <w:szCs w:val="28"/>
        </w:rPr>
      </w:pPr>
    </w:p>
    <w:bookmarkEnd w:id="83"/>
    <w:bookmarkEnd w:id="84"/>
    <w:bookmarkEnd w:id="85"/>
    <w:p w14:paraId="392BF627">
      <w:pPr>
        <w:pStyle w:val="3"/>
      </w:pPr>
      <w:bookmarkStart w:id="90" w:name="_Toc12318"/>
      <w:bookmarkStart w:id="91" w:name="_Toc20699"/>
      <w:bookmarkStart w:id="92" w:name="_Toc24281"/>
      <w:bookmarkStart w:id="93" w:name="_Toc27628"/>
      <w:r>
        <w:rPr>
          <w:rFonts w:hint="eastAsia"/>
        </w:rPr>
        <w:t>评分规则</w:t>
      </w:r>
      <w:bookmarkEnd w:id="90"/>
      <w:bookmarkEnd w:id="91"/>
      <w:bookmarkEnd w:id="92"/>
      <w:bookmarkEnd w:id="93"/>
    </w:p>
    <w:p w14:paraId="0E127918">
      <w:pPr>
        <w:rPr>
          <w:rFonts w:hint="eastAsia" w:ascii="仿宋" w:hAnsi="仿宋" w:eastAsia="仿宋" w:cs="仿宋"/>
          <w:sz w:val="28"/>
          <w:szCs w:val="28"/>
        </w:rPr>
      </w:pPr>
      <w:r>
        <w:rPr>
          <w:rFonts w:hint="eastAsia" w:ascii="仿宋" w:hAnsi="仿宋" w:eastAsia="仿宋" w:cs="仿宋"/>
          <w:sz w:val="28"/>
          <w:szCs w:val="28"/>
          <w:lang w:val="en-US" w:eastAsia="zh-CN"/>
        </w:rPr>
        <w:t>详见《附件5：南粤银行新信贷系统项目群（信贷系统建设）POC评分表》</w:t>
      </w:r>
    </w:p>
    <w:bookmarkEnd w:id="57"/>
    <w:p w14:paraId="0CCA4860">
      <w:pPr>
        <w:pStyle w:val="3"/>
      </w:pPr>
      <w:bookmarkStart w:id="94" w:name="_Toc10040"/>
      <w:bookmarkStart w:id="95" w:name="_Toc16703"/>
      <w:bookmarkStart w:id="96" w:name="_Toc16789"/>
      <w:bookmarkStart w:id="97" w:name="_Toc30514"/>
      <w:bookmarkStart w:id="98" w:name="_Toc489365176"/>
      <w:bookmarkStart w:id="99" w:name="_Toc16672689"/>
      <w:r>
        <w:rPr>
          <w:rFonts w:hint="eastAsia"/>
        </w:rPr>
        <w:t>测评方式</w:t>
      </w:r>
      <w:bookmarkEnd w:id="94"/>
      <w:bookmarkEnd w:id="95"/>
      <w:bookmarkEnd w:id="96"/>
      <w:bookmarkEnd w:id="97"/>
    </w:p>
    <w:p w14:paraId="52ECD38C">
      <w:pPr>
        <w:pStyle w:val="20"/>
        <w:ind w:firstLine="560"/>
        <w:rPr>
          <w:rFonts w:ascii="仿宋" w:hAnsi="仿宋" w:cs="仿宋"/>
          <w:szCs w:val="28"/>
        </w:rPr>
      </w:pPr>
      <w:r>
        <w:rPr>
          <w:rFonts w:hint="eastAsia" w:ascii="仿宋" w:hAnsi="仿宋" w:cs="仿宋"/>
          <w:szCs w:val="28"/>
        </w:rPr>
        <w:t>本次新信贷系统建设项目POC测评采用现场（演示）方式进行。参测厂商就整体方案、产品功能、业务案例执行结果情况等方面向招标人演示系统功能，招标人抽查、评估产品功能的全面性、易用性、扩展性和特色性等。</w:t>
      </w:r>
    </w:p>
    <w:p w14:paraId="5840A032">
      <w:pPr>
        <w:pStyle w:val="20"/>
        <w:ind w:firstLine="560"/>
        <w:rPr>
          <w:rFonts w:ascii="仿宋" w:hAnsi="仿宋" w:cs="仿宋"/>
          <w:szCs w:val="28"/>
        </w:rPr>
      </w:pPr>
      <w:r>
        <w:rPr>
          <w:rFonts w:hint="eastAsia" w:ascii="仿宋" w:hAnsi="仿宋" w:cs="仿宋"/>
          <w:szCs w:val="28"/>
        </w:rPr>
        <w:t>本次测评由招标人根据POC评测项进行打分，厂商提交的POC测评报告除对招标人要求的测评案例进行逐点应答及佐证外，还需介绍参与POC工作的团队情况，说明POC使用的数据、硬件环境、软件环境等。由招标人根据POC评测评分项进行打分，POC得分结果将作为技术商务评审对应项的重要参考依据之一（具体详见招标文件）。</w:t>
      </w:r>
    </w:p>
    <w:p w14:paraId="13CB8E2D">
      <w:pPr>
        <w:pStyle w:val="20"/>
        <w:ind w:firstLine="560"/>
        <w:rPr>
          <w:rFonts w:ascii="仿宋" w:hAnsi="仿宋" w:cs="仿宋"/>
          <w:szCs w:val="28"/>
        </w:rPr>
      </w:pPr>
      <w:r>
        <w:rPr>
          <w:rFonts w:hint="eastAsia" w:ascii="仿宋" w:hAnsi="仿宋" w:cs="仿宋"/>
          <w:szCs w:val="28"/>
        </w:rPr>
        <w:t>投标人应在招标人指定时间内按要求完成测试内容，自行负责对信息安全、测试费用等情况。投标人应现场对测试结果进行确认，如有对未通过测试项有疑问，需在现场及时提出。如未对未通过测试项提供可信的解释，以招标人测试结论为准。测试结束后不接受再次测试。</w:t>
      </w:r>
      <w:bookmarkEnd w:id="98"/>
      <w:bookmarkEnd w:id="99"/>
    </w:p>
    <w:p w14:paraId="50485EEB">
      <w:pPr>
        <w:pStyle w:val="20"/>
        <w:ind w:firstLine="560"/>
        <w:rPr>
          <w:rFonts w:ascii="仿宋" w:hAnsi="仿宋" w:cs="仿宋"/>
          <w:szCs w:val="28"/>
        </w:rPr>
      </w:pPr>
    </w:p>
    <w:p w14:paraId="56C4D0D3">
      <w:pPr>
        <w:pStyle w:val="20"/>
        <w:ind w:firstLine="560"/>
        <w:rPr>
          <w:rFonts w:ascii="仿宋" w:hAnsi="仿宋" w:cs="仿宋"/>
          <w:szCs w:val="28"/>
        </w:rPr>
        <w:sectPr>
          <w:headerReference r:id="rId4" w:type="default"/>
          <w:footerReference r:id="rId5" w:type="default"/>
          <w:pgSz w:w="11906" w:h="16838"/>
          <w:pgMar w:top="1418" w:right="1418" w:bottom="1418" w:left="1418" w:header="851" w:footer="819" w:gutter="0"/>
          <w:pgNumType w:start="1"/>
          <w:cols w:space="425" w:num="1"/>
          <w:docGrid w:type="lines" w:linePitch="312" w:charSpace="0"/>
        </w:sectPr>
      </w:pPr>
    </w:p>
    <w:p w14:paraId="5CE68965">
      <w:r>
        <w:rPr>
          <w:rFonts w:hint="eastAsia" w:eastAsia="仿宋"/>
          <w:sz w:val="28"/>
          <w:szCs w:val="36"/>
        </w:rPr>
        <w:t>附录：</w:t>
      </w:r>
    </w:p>
    <w:p w14:paraId="2D0E31ED">
      <w:pPr>
        <w:widowControl w:val="0"/>
        <w:spacing w:after="240" w:line="480" w:lineRule="auto"/>
        <w:jc w:val="center"/>
        <w:outlineLvl w:val="0"/>
        <w:rPr>
          <w:rFonts w:ascii="仿宋" w:hAnsi="仿宋" w:eastAsia="仿宋" w:cs="仿宋"/>
          <w:b/>
          <w:bCs/>
          <w:sz w:val="28"/>
          <w:szCs w:val="28"/>
        </w:rPr>
      </w:pPr>
      <w:r>
        <w:rPr>
          <w:rFonts w:hint="eastAsia" w:ascii="仿宋" w:hAnsi="仿宋" w:eastAsia="仿宋" w:cs="仿宋"/>
          <w:b/>
          <w:bCs/>
          <w:sz w:val="36"/>
          <w:szCs w:val="36"/>
        </w:rPr>
        <w:t>法定代表人授权委托书</w:t>
      </w:r>
    </w:p>
    <w:p w14:paraId="3205B7E2">
      <w:pPr>
        <w:widowControl w:val="0"/>
        <w:spacing w:line="360" w:lineRule="auto"/>
        <w:rPr>
          <w:rFonts w:ascii="仿宋" w:hAnsi="仿宋" w:eastAsia="仿宋" w:cs="仿宋"/>
          <w:sz w:val="28"/>
          <w:szCs w:val="28"/>
        </w:rPr>
      </w:pPr>
      <w:r>
        <w:rPr>
          <w:rFonts w:hint="eastAsia" w:ascii="仿宋" w:hAnsi="仿宋" w:eastAsia="仿宋" w:cs="仿宋"/>
          <w:sz w:val="28"/>
          <w:szCs w:val="28"/>
        </w:rPr>
        <w:t>致广东南粤银行股份有限公司：</w:t>
      </w:r>
    </w:p>
    <w:p w14:paraId="140B9619">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本授权委托书声明：</w:t>
      </w:r>
      <w:r>
        <w:rPr>
          <w:rFonts w:hint="eastAsia" w:ascii="仿宋" w:hAnsi="仿宋" w:eastAsia="仿宋" w:cs="仿宋"/>
          <w:sz w:val="28"/>
          <w:szCs w:val="28"/>
          <w:u w:val="single"/>
        </w:rPr>
        <w:t xml:space="preserve">                           </w:t>
      </w:r>
      <w:r>
        <w:rPr>
          <w:rFonts w:hint="eastAsia" w:ascii="仿宋" w:hAnsi="仿宋" w:eastAsia="仿宋" w:cs="仿宋"/>
          <w:sz w:val="28"/>
          <w:szCs w:val="28"/>
        </w:rPr>
        <w:t>公司是中华人民共和国合法企业，</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（法定代表人姓名）代表本公司授权委托</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（被授权人姓名及身份证件号）代表我公司参加贵司的“</w:t>
      </w:r>
      <w:r>
        <w:rPr>
          <w:rFonts w:hint="eastAsia" w:ascii="仿宋" w:hAnsi="仿宋" w:eastAsia="仿宋" w:cs="仿宋"/>
          <w:sz w:val="28"/>
          <w:szCs w:val="28"/>
          <w:lang w:val="en-US" w:eastAsia="zh-CN"/>
        </w:rPr>
        <w:t>新信贷系统项目群（信贷系统建设）</w:t>
      </w:r>
      <w:r>
        <w:rPr>
          <w:rFonts w:hint="eastAsia" w:ascii="仿宋" w:hAnsi="仿宋" w:eastAsia="仿宋" w:cs="仿宋"/>
          <w:sz w:val="28"/>
          <w:szCs w:val="28"/>
        </w:rPr>
        <w:t>”的POC测试，并签署相关文件。我公司对被授权人在POC测试中所签署的一切文件及处理与之有关的一切事务均以承认并承担由此产生的全部后果。</w:t>
      </w:r>
    </w:p>
    <w:p w14:paraId="56FA922C">
      <w:pPr>
        <w:widowControl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本授权书于签字盖章后生效，被授权人无权转授权，特此声明。</w:t>
      </w:r>
    </w:p>
    <w:p w14:paraId="62B76153">
      <w:pPr>
        <w:widowControl w:val="0"/>
        <w:spacing w:line="360" w:lineRule="auto"/>
        <w:rPr>
          <w:rFonts w:ascii="仿宋" w:hAnsi="仿宋" w:eastAsia="仿宋" w:cs="仿宋"/>
          <w:sz w:val="28"/>
          <w:szCs w:val="28"/>
        </w:rPr>
      </w:pPr>
    </w:p>
    <w:p w14:paraId="11902825">
      <w:pPr>
        <w:widowControl w:val="0"/>
        <w:spacing w:line="360" w:lineRule="auto"/>
        <w:rPr>
          <w:rFonts w:ascii="仿宋" w:hAnsi="仿宋" w:eastAsia="仿宋" w:cs="仿宋"/>
          <w:sz w:val="28"/>
          <w:szCs w:val="28"/>
        </w:rPr>
      </w:pPr>
      <w:r>
        <w:rPr>
          <w:rFonts w:hint="eastAsia" w:ascii="仿宋" w:hAnsi="仿宋" w:eastAsia="仿宋" w:cs="仿宋"/>
          <w:sz w:val="28"/>
          <w:szCs w:val="28"/>
        </w:rPr>
        <w:t>附：被授权人有效身份证正反面复印件</w:t>
      </w:r>
    </w:p>
    <w:p w14:paraId="29BA44E0">
      <w:pPr>
        <w:widowControl w:val="0"/>
        <w:spacing w:line="360" w:lineRule="auto"/>
        <w:rPr>
          <w:rFonts w:ascii="仿宋" w:hAnsi="仿宋" w:eastAsia="仿宋" w:cs="仿宋"/>
          <w:sz w:val="28"/>
          <w:szCs w:val="28"/>
        </w:rPr>
      </w:pPr>
    </w:p>
    <w:p w14:paraId="1FD7CD76">
      <w:pPr>
        <w:widowControl w:val="0"/>
        <w:spacing w:line="360" w:lineRule="auto"/>
        <w:rPr>
          <w:rFonts w:ascii="仿宋" w:hAnsi="仿宋" w:eastAsia="仿宋" w:cs="仿宋"/>
          <w:sz w:val="28"/>
          <w:szCs w:val="28"/>
        </w:rPr>
      </w:pPr>
    </w:p>
    <w:p w14:paraId="72D1B98A">
      <w:pPr>
        <w:widowControl w:val="0"/>
        <w:spacing w:line="360" w:lineRule="auto"/>
        <w:rPr>
          <w:rFonts w:ascii="仿宋" w:hAnsi="仿宋" w:eastAsia="仿宋" w:cs="仿宋"/>
          <w:sz w:val="28"/>
          <w:szCs w:val="28"/>
        </w:rPr>
      </w:pPr>
    </w:p>
    <w:p w14:paraId="2428146B">
      <w:pPr>
        <w:widowControl w:val="0"/>
        <w:spacing w:line="360" w:lineRule="auto"/>
        <w:rPr>
          <w:rFonts w:ascii="仿宋" w:hAnsi="仿宋" w:eastAsia="仿宋" w:cs="仿宋"/>
          <w:sz w:val="28"/>
          <w:szCs w:val="28"/>
        </w:rPr>
      </w:pPr>
      <w:r>
        <w:rPr>
          <w:rFonts w:hint="eastAsia" w:ascii="仿宋" w:hAnsi="仿宋" w:eastAsia="仿宋" w:cs="仿宋"/>
          <w:sz w:val="28"/>
          <w:szCs w:val="28"/>
        </w:rPr>
        <w:t>公司名称（盖章）：</w:t>
      </w:r>
    </w:p>
    <w:p w14:paraId="778454FB">
      <w:pPr>
        <w:widowControl w:val="0"/>
        <w:spacing w:line="360" w:lineRule="auto"/>
        <w:rPr>
          <w:rFonts w:ascii="仿宋" w:hAnsi="仿宋" w:eastAsia="仿宋" w:cs="仿宋"/>
          <w:sz w:val="28"/>
          <w:szCs w:val="28"/>
        </w:rPr>
      </w:pPr>
      <w:r>
        <w:rPr>
          <w:rFonts w:hint="eastAsia" w:ascii="仿宋" w:hAnsi="仿宋" w:eastAsia="仿宋" w:cs="仿宋"/>
          <w:sz w:val="28"/>
          <w:szCs w:val="28"/>
        </w:rPr>
        <w:t>地         址：</w:t>
      </w:r>
    </w:p>
    <w:p w14:paraId="5983CCE9">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法定代表人（签字或盖章）：                  </w:t>
      </w:r>
    </w:p>
    <w:p w14:paraId="0BF6B0E2">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被授权人（签字或盖章）：                职务：          </w:t>
      </w:r>
    </w:p>
    <w:p w14:paraId="5C1C589A">
      <w:pPr>
        <w:widowControl w:val="0"/>
        <w:spacing w:line="360" w:lineRule="auto"/>
        <w:rPr>
          <w:rFonts w:ascii="仿宋" w:hAnsi="仿宋" w:eastAsia="仿宋" w:cs="仿宋"/>
          <w:sz w:val="28"/>
          <w:szCs w:val="28"/>
        </w:rPr>
      </w:pPr>
      <w:r>
        <w:rPr>
          <w:rFonts w:hint="eastAsia" w:ascii="仿宋" w:hAnsi="仿宋" w:eastAsia="仿宋" w:cs="仿宋"/>
          <w:sz w:val="28"/>
          <w:szCs w:val="28"/>
        </w:rPr>
        <w:t xml:space="preserve">被授权人联系电话：                      邮箱：                 </w:t>
      </w:r>
    </w:p>
    <w:p w14:paraId="7EB749CE">
      <w:pPr>
        <w:widowControl w:val="0"/>
        <w:spacing w:line="360" w:lineRule="auto"/>
        <w:rPr>
          <w:rFonts w:ascii="仿宋" w:hAnsi="仿宋" w:eastAsia="仿宋" w:cs="仿宋"/>
          <w:sz w:val="28"/>
          <w:szCs w:val="28"/>
        </w:rPr>
      </w:pPr>
      <w:r>
        <w:rPr>
          <w:rFonts w:hint="eastAsia" w:ascii="仿宋" w:hAnsi="仿宋" w:eastAsia="仿宋" w:cs="仿宋"/>
          <w:sz w:val="28"/>
          <w:szCs w:val="28"/>
        </w:rPr>
        <w:t>日期：</w:t>
      </w: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auto"/>
    <w:pitch w:val="default"/>
    <w:sig w:usb0="00000000" w:usb1="00000000" w:usb2="00000009" w:usb3="00000000" w:csb0="000001FF"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3">
    <w:panose1 w:val="050401020108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Songti SC">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0D5E">
    <w:pPr>
      <w:pStyle w:val="28"/>
      <w:jc w:val="center"/>
    </w:pPr>
    <w:r>
      <w:fldChar w:fldCharType="begin"/>
    </w:r>
    <w:r>
      <w:instrText xml:space="preserve"> PAGE   \* MERGEFORMAT </w:instrText>
    </w:r>
    <w:r>
      <w:fldChar w:fldCharType="separate"/>
    </w:r>
    <w:r>
      <w:rPr>
        <w:lang w:val="zh-CN"/>
      </w:rPr>
      <w:t>9</w:t>
    </w:r>
    <w:r>
      <w:rPr>
        <w:lang w:val="zh-CN"/>
      </w:rPr>
      <w:fldChar w:fldCharType="end"/>
    </w:r>
  </w:p>
  <w:p w14:paraId="5B1D2343">
    <w:pPr>
      <w:pStyle w:val="28"/>
      <w:pBdr>
        <w:top w:val="single" w:color="D9D9D9" w:sz="4" w:space="0"/>
      </w:pBdr>
      <w:tabs>
        <w:tab w:val="left" w:pos="420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B0A9">
    <w:pPr>
      <w:pBdr>
        <w:bottom w:val="single" w:color="auto" w:sz="4" w:space="1"/>
      </w:pBdr>
      <w:jc w:val="both"/>
    </w:pPr>
    <w:r>
      <w:drawing>
        <wp:inline distT="0" distB="0" distL="0" distR="0">
          <wp:extent cx="1333500" cy="2952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333500" cy="295275"/>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 xml:space="preserve"> </w:t>
    </w:r>
    <w:r>
      <w:rPr>
        <w:rFonts w:hint="eastAsia" w:asciiTheme="minorEastAsia" w:hAnsiTheme="minorEastAsia" w:eastAsiaTheme="minorEastAsia"/>
        <w:sz w:val="18"/>
        <w:szCs w:val="18"/>
        <w:lang w:eastAsia="zh-CN"/>
      </w:rPr>
      <w:t>新信贷系统项目群（信贷系统建设）</w:t>
    </w:r>
    <w:r>
      <w:rPr>
        <w:rFonts w:hint="eastAsia" w:asciiTheme="minorEastAsia" w:hAnsiTheme="minorEastAsia" w:eastAsiaTheme="minorEastAsia"/>
        <w:sz w:val="18"/>
        <w:szCs w:val="18"/>
      </w:rPr>
      <w:t>P</w:t>
    </w:r>
    <w:r>
      <w:rPr>
        <w:rFonts w:asciiTheme="minorEastAsia" w:hAnsiTheme="minorEastAsia" w:eastAsiaTheme="minorEastAsia"/>
        <w:sz w:val="18"/>
        <w:szCs w:val="18"/>
      </w:rPr>
      <w:t>OC</w:t>
    </w:r>
    <w:r>
      <w:rPr>
        <w:rFonts w:hint="eastAsia" w:asciiTheme="minorEastAsia" w:hAnsiTheme="minorEastAsia" w:eastAsiaTheme="minorEastAsia"/>
        <w:sz w:val="18"/>
        <w:szCs w:val="18"/>
      </w:rPr>
      <w:t>评测方案</w:t>
    </w:r>
  </w:p>
  <w:p w14:paraId="3467BE2C">
    <w:pPr>
      <w:pStyle w:val="29"/>
      <w:pBdr>
        <w:bottom w:val="none" w:color="auto" w:sz="0" w:space="0"/>
      </w:pBdr>
      <w:jc w:val="both"/>
    </w:pP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6B44">
    <w:pPr>
      <w:pBdr>
        <w:bottom w:val="single" w:color="auto" w:sz="4" w:space="1"/>
      </w:pBdr>
    </w:pPr>
    <w:r>
      <w:drawing>
        <wp:inline distT="0" distB="0" distL="0" distR="0">
          <wp:extent cx="1333500" cy="29527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srcRect/>
                  <a:stretch>
                    <a:fillRect/>
                  </a:stretch>
                </pic:blipFill>
                <pic:spPr>
                  <a:xfrm>
                    <a:off x="0" y="0"/>
                    <a:ext cx="1333500" cy="295275"/>
                  </a:xfrm>
                  <a:prstGeom prst="rect">
                    <a:avLst/>
                  </a:prstGeom>
                  <a:noFill/>
                  <a:ln w="9525">
                    <a:noFill/>
                    <a:miter lim="800000"/>
                    <a:headEnd/>
                    <a:tailEnd/>
                  </a:ln>
                </pic:spPr>
              </pic:pic>
            </a:graphicData>
          </a:graphic>
        </wp:inline>
      </w:drawing>
    </w:r>
    <w:r>
      <w:rPr>
        <w:rFonts w:hint="eastAsia"/>
      </w:rPr>
      <w:t xml:space="preserve">                </w:t>
    </w:r>
    <w:r>
      <w:t xml:space="preserve">   </w:t>
    </w:r>
    <w:r>
      <w:rPr>
        <w:rFonts w:hint="eastAsia"/>
      </w:rPr>
      <w:t xml:space="preserve">                  </w:t>
    </w:r>
    <w:r>
      <w:t xml:space="preserve"> </w:t>
    </w:r>
    <w:r>
      <w:rPr>
        <w:rFonts w:hint="eastAsia" w:asciiTheme="minorEastAsia" w:hAnsiTheme="minorEastAsia" w:eastAsiaTheme="minorEastAsia"/>
        <w:sz w:val="18"/>
        <w:szCs w:val="18"/>
        <w:lang w:eastAsia="zh-CN"/>
      </w:rPr>
      <w:t>新信贷系统项目群（信贷系统建设）</w:t>
    </w:r>
    <w:r>
      <w:rPr>
        <w:rFonts w:hint="eastAsia" w:asciiTheme="minorEastAsia" w:hAnsiTheme="minorEastAsia" w:eastAsiaTheme="minorEastAsia"/>
        <w:sz w:val="18"/>
        <w:szCs w:val="18"/>
      </w:rPr>
      <w:t>P</w:t>
    </w:r>
    <w:r>
      <w:rPr>
        <w:rFonts w:asciiTheme="minorEastAsia" w:hAnsiTheme="minorEastAsia" w:eastAsiaTheme="minorEastAsia"/>
        <w:sz w:val="18"/>
        <w:szCs w:val="18"/>
      </w:rPr>
      <w:t>OC</w:t>
    </w:r>
    <w:r>
      <w:rPr>
        <w:rFonts w:hint="eastAsia" w:asciiTheme="minorEastAsia" w:hAnsiTheme="minorEastAsia" w:eastAsiaTheme="minorEastAsia"/>
        <w:sz w:val="18"/>
        <w:szCs w:val="18"/>
      </w:rPr>
      <w:t>评测方案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3C445">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DF0D6"/>
    <w:multiLevelType w:val="singleLevel"/>
    <w:tmpl w:val="971DF0D6"/>
    <w:lvl w:ilvl="0" w:tentative="0">
      <w:start w:val="1"/>
      <w:numFmt w:val="decimal"/>
      <w:suff w:val="nothing"/>
      <w:lvlText w:val="%1、"/>
      <w:lvlJc w:val="left"/>
    </w:lvl>
  </w:abstractNum>
  <w:abstractNum w:abstractNumId="1">
    <w:nsid w:val="A5B6D489"/>
    <w:multiLevelType w:val="singleLevel"/>
    <w:tmpl w:val="A5B6D489"/>
    <w:lvl w:ilvl="0" w:tentative="0">
      <w:start w:val="1"/>
      <w:numFmt w:val="bullet"/>
      <w:lvlText w:val=""/>
      <w:lvlJc w:val="left"/>
      <w:pPr>
        <w:ind w:left="420" w:hanging="420"/>
      </w:pPr>
      <w:rPr>
        <w:rFonts w:hint="default" w:ascii="Wingdings" w:hAnsi="Wingdings"/>
      </w:rPr>
    </w:lvl>
  </w:abstractNum>
  <w:abstractNum w:abstractNumId="2">
    <w:nsid w:val="B1408829"/>
    <w:multiLevelType w:val="singleLevel"/>
    <w:tmpl w:val="B1408829"/>
    <w:lvl w:ilvl="0" w:tentative="0">
      <w:start w:val="1"/>
      <w:numFmt w:val="decimal"/>
      <w:suff w:val="nothing"/>
      <w:lvlText w:val="（%1）"/>
      <w:lvlJc w:val="left"/>
    </w:lvl>
  </w:abstractNum>
  <w:abstractNum w:abstractNumId="3">
    <w:nsid w:val="BA157FFA"/>
    <w:multiLevelType w:val="singleLevel"/>
    <w:tmpl w:val="BA157FFA"/>
    <w:lvl w:ilvl="0" w:tentative="0">
      <w:start w:val="1"/>
      <w:numFmt w:val="decimal"/>
      <w:suff w:val="nothing"/>
      <w:lvlText w:val="%1、"/>
      <w:lvlJc w:val="left"/>
    </w:lvl>
  </w:abstractNum>
  <w:abstractNum w:abstractNumId="4">
    <w:nsid w:val="C25E7E38"/>
    <w:multiLevelType w:val="singleLevel"/>
    <w:tmpl w:val="C25E7E38"/>
    <w:lvl w:ilvl="0" w:tentative="0">
      <w:start w:val="1"/>
      <w:numFmt w:val="decimal"/>
      <w:lvlText w:val="%1."/>
      <w:lvlJc w:val="left"/>
      <w:pPr>
        <w:tabs>
          <w:tab w:val="left" w:pos="312"/>
        </w:tabs>
      </w:pPr>
    </w:lvl>
  </w:abstractNum>
  <w:abstractNum w:abstractNumId="5">
    <w:nsid w:val="CF85A035"/>
    <w:multiLevelType w:val="singleLevel"/>
    <w:tmpl w:val="CF85A035"/>
    <w:lvl w:ilvl="0" w:tentative="0">
      <w:start w:val="1"/>
      <w:numFmt w:val="decimal"/>
      <w:suff w:val="nothing"/>
      <w:lvlText w:val="（%1）"/>
      <w:lvlJc w:val="left"/>
    </w:lvl>
  </w:abstractNum>
  <w:abstractNum w:abstractNumId="6">
    <w:nsid w:val="035E5B1C"/>
    <w:multiLevelType w:val="multilevel"/>
    <w:tmpl w:val="035E5B1C"/>
    <w:lvl w:ilvl="0" w:tentative="0">
      <w:start w:val="1"/>
      <w:numFmt w:val="bullet"/>
      <w:pStyle w:val="86"/>
      <w:lvlText w:val=""/>
      <w:lvlJc w:val="left"/>
      <w:pPr>
        <w:ind w:left="900" w:hanging="420"/>
      </w:pPr>
      <w:rPr>
        <w:rFonts w:hint="default" w:ascii="Wingdings" w:hAnsi="Wingdings"/>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A47CCD7"/>
    <w:multiLevelType w:val="singleLevel"/>
    <w:tmpl w:val="0A47CCD7"/>
    <w:lvl w:ilvl="0" w:tentative="0">
      <w:start w:val="1"/>
      <w:numFmt w:val="decimal"/>
      <w:suff w:val="nothing"/>
      <w:lvlText w:val="%1、"/>
      <w:lvlJc w:val="left"/>
    </w:lvl>
  </w:abstractNum>
  <w:abstractNum w:abstractNumId="8">
    <w:nsid w:val="0D124287"/>
    <w:multiLevelType w:val="singleLevel"/>
    <w:tmpl w:val="0D124287"/>
    <w:lvl w:ilvl="0" w:tentative="0">
      <w:start w:val="2"/>
      <w:numFmt w:val="decimal"/>
      <w:suff w:val="nothing"/>
      <w:lvlText w:val="（%1）"/>
      <w:lvlJc w:val="left"/>
    </w:lvl>
  </w:abstractNum>
  <w:abstractNum w:abstractNumId="9">
    <w:nsid w:val="1247F169"/>
    <w:multiLevelType w:val="multilevel"/>
    <w:tmpl w:val="1247F169"/>
    <w:lvl w:ilvl="0" w:tentative="0">
      <w:start w:val="1"/>
      <w:numFmt w:val="decimal"/>
      <w:pStyle w:val="3"/>
      <w:lvlText w:val="%1"/>
      <w:lvlJc w:val="left"/>
      <w:pPr>
        <w:ind w:left="432" w:hanging="432"/>
      </w:pPr>
      <w:rPr>
        <w:rFonts w:hint="default" w:ascii="Arial Black" w:hAnsi="Arial Black"/>
      </w:rPr>
    </w:lvl>
    <w:lvl w:ilvl="1" w:tentative="0">
      <w:start w:val="1"/>
      <w:numFmt w:val="decimal"/>
      <w:pStyle w:val="4"/>
      <w:lvlText w:val="%1.%2"/>
      <w:lvlJc w:val="left"/>
      <w:pPr>
        <w:ind w:left="576" w:hanging="576"/>
      </w:pPr>
      <w:rPr>
        <w:rFonts w:hint="default" w:ascii="Arial Black" w:hAnsi="Arial Black" w:eastAsia="仿宋"/>
      </w:rPr>
    </w:lvl>
    <w:lvl w:ilvl="2" w:tentative="0">
      <w:start w:val="1"/>
      <w:numFmt w:val="decimal"/>
      <w:pStyle w:val="5"/>
      <w:lvlText w:val="%1.%2.%3"/>
      <w:lvlJc w:val="left"/>
      <w:pPr>
        <w:ind w:left="720" w:hanging="720"/>
      </w:pPr>
      <w:rPr>
        <w:rFonts w:hint="default" w:ascii="Arial Black" w:hAnsi="Arial Black" w:eastAsia="黑体"/>
      </w:rPr>
    </w:lvl>
    <w:lvl w:ilvl="3" w:tentative="0">
      <w:start w:val="1"/>
      <w:numFmt w:val="none"/>
      <w:pStyle w:val="6"/>
      <w:lvlText w:val="2.3.1.2"/>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2" w:hanging="1152"/>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abstractNum w:abstractNumId="10">
    <w:nsid w:val="155219F1"/>
    <w:multiLevelType w:val="multilevel"/>
    <w:tmpl w:val="155219F1"/>
    <w:lvl w:ilvl="0" w:tentative="0">
      <w:start w:val="1"/>
      <w:numFmt w:val="decimal"/>
      <w:pStyle w:val="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5EAA8D"/>
    <w:multiLevelType w:val="singleLevel"/>
    <w:tmpl w:val="1A5EAA8D"/>
    <w:lvl w:ilvl="0" w:tentative="0">
      <w:start w:val="1"/>
      <w:numFmt w:val="decimal"/>
      <w:lvlText w:val="%1)"/>
      <w:lvlJc w:val="left"/>
      <w:pPr>
        <w:ind w:left="425" w:hanging="425"/>
      </w:pPr>
      <w:rPr>
        <w:rFonts w:hint="default"/>
      </w:rPr>
    </w:lvl>
  </w:abstractNum>
  <w:abstractNum w:abstractNumId="12">
    <w:nsid w:val="2139179A"/>
    <w:multiLevelType w:val="singleLevel"/>
    <w:tmpl w:val="2139179A"/>
    <w:lvl w:ilvl="0" w:tentative="0">
      <w:start w:val="1"/>
      <w:numFmt w:val="decimal"/>
      <w:suff w:val="nothing"/>
      <w:lvlText w:val="（%1）"/>
      <w:lvlJc w:val="left"/>
    </w:lvl>
  </w:abstractNum>
  <w:abstractNum w:abstractNumId="13">
    <w:nsid w:val="253807C3"/>
    <w:multiLevelType w:val="multilevel"/>
    <w:tmpl w:val="253807C3"/>
    <w:lvl w:ilvl="0" w:tentative="0">
      <w:start w:val="1"/>
      <w:numFmt w:val="chineseCountingThousand"/>
      <w:pStyle w:val="71"/>
      <w:lvlText w:val="第%1条"/>
      <w:lvlJc w:val="left"/>
      <w:pPr>
        <w:ind w:left="420" w:hanging="420"/>
      </w:pPr>
      <w:rPr>
        <w:rFonts w:hint="eastAsia" w:ascii="仿宋_GB2312" w:eastAsia="仿宋_GB2312"/>
        <w:b/>
      </w:rPr>
    </w:lvl>
    <w:lvl w:ilvl="1" w:tentative="0">
      <w:start w:val="1"/>
      <w:numFmt w:val="japaneseCounting"/>
      <w:lvlText w:val="（%2）"/>
      <w:lvlJc w:val="left"/>
      <w:pPr>
        <w:ind w:left="1500"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ACD3A05"/>
    <w:multiLevelType w:val="multilevel"/>
    <w:tmpl w:val="2ACD3A05"/>
    <w:lvl w:ilvl="0" w:tentative="0">
      <w:start w:val="1"/>
      <w:numFmt w:val="bullet"/>
      <w:pStyle w:val="81"/>
      <w:lvlText w:val=""/>
      <w:lvlJc w:val="left"/>
      <w:pPr>
        <w:tabs>
          <w:tab w:val="left" w:pos="480"/>
        </w:tabs>
        <w:ind w:left="480" w:hanging="480"/>
      </w:pPr>
      <w:rPr>
        <w:rFonts w:hint="default" w:ascii="Wingdings 3" w:hAnsi="Wingdings 3"/>
        <w:sz w:val="22"/>
        <w:szCs w:val="22"/>
      </w:rPr>
    </w:lvl>
    <w:lvl w:ilvl="1" w:tentative="0">
      <w:start w:val="1"/>
      <w:numFmt w:val="bullet"/>
      <w:lvlText w:val=""/>
      <w:lvlJc w:val="left"/>
      <w:pPr>
        <w:tabs>
          <w:tab w:val="left" w:pos="960"/>
        </w:tabs>
        <w:ind w:left="960" w:hanging="480"/>
      </w:pPr>
      <w:rPr>
        <w:rFonts w:hint="default" w:ascii="Wingdings" w:hAnsi="Wingdings"/>
      </w:rPr>
    </w:lvl>
    <w:lvl w:ilvl="2" w:tentative="0">
      <w:start w:val="1"/>
      <w:numFmt w:val="bullet"/>
      <w:lvlText w:val=""/>
      <w:lvlJc w:val="left"/>
      <w:pPr>
        <w:tabs>
          <w:tab w:val="left" w:pos="1440"/>
        </w:tabs>
        <w:ind w:left="1440" w:hanging="480"/>
      </w:pPr>
      <w:rPr>
        <w:rFonts w:hint="default" w:ascii="Wingdings" w:hAnsi="Wingdings"/>
      </w:r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bullet"/>
      <w:lvlText w:val=""/>
      <w:lvlJc w:val="left"/>
      <w:pPr>
        <w:tabs>
          <w:tab w:val="left" w:pos="2400"/>
        </w:tabs>
        <w:ind w:left="2400" w:hanging="480"/>
      </w:pPr>
      <w:rPr>
        <w:rFonts w:hint="default" w:ascii="Wingdings" w:hAnsi="Wingdings"/>
      </w:rPr>
    </w:lvl>
    <w:lvl w:ilvl="5" w:tentative="0">
      <w:start w:val="1"/>
      <w:numFmt w:val="bullet"/>
      <w:lvlText w:val=""/>
      <w:lvlJc w:val="left"/>
      <w:pPr>
        <w:tabs>
          <w:tab w:val="left" w:pos="2880"/>
        </w:tabs>
        <w:ind w:left="2880" w:hanging="480"/>
      </w:pPr>
      <w:rPr>
        <w:rFonts w:hint="default" w:ascii="Wingdings" w:hAnsi="Wingdings"/>
      </w:rPr>
    </w:lvl>
    <w:lvl w:ilvl="6" w:tentative="0">
      <w:start w:val="1"/>
      <w:numFmt w:val="bullet"/>
      <w:lvlText w:val=""/>
      <w:lvlJc w:val="left"/>
      <w:pPr>
        <w:tabs>
          <w:tab w:val="left" w:pos="3360"/>
        </w:tabs>
        <w:ind w:left="3360" w:hanging="480"/>
      </w:pPr>
      <w:rPr>
        <w:rFonts w:hint="default" w:ascii="Wingdings" w:hAnsi="Wingdings"/>
      </w:rPr>
    </w:lvl>
    <w:lvl w:ilvl="7" w:tentative="0">
      <w:start w:val="1"/>
      <w:numFmt w:val="bullet"/>
      <w:lvlText w:val=""/>
      <w:lvlJc w:val="left"/>
      <w:pPr>
        <w:tabs>
          <w:tab w:val="left" w:pos="3840"/>
        </w:tabs>
        <w:ind w:left="3840" w:hanging="480"/>
      </w:pPr>
      <w:rPr>
        <w:rFonts w:hint="default" w:ascii="Wingdings" w:hAnsi="Wingdings"/>
      </w:rPr>
    </w:lvl>
    <w:lvl w:ilvl="8" w:tentative="0">
      <w:start w:val="1"/>
      <w:numFmt w:val="bullet"/>
      <w:lvlText w:val=""/>
      <w:lvlJc w:val="left"/>
      <w:pPr>
        <w:tabs>
          <w:tab w:val="left" w:pos="4320"/>
        </w:tabs>
        <w:ind w:left="4320" w:hanging="480"/>
      </w:pPr>
      <w:rPr>
        <w:rFonts w:hint="default" w:ascii="Wingdings" w:hAnsi="Wingdings"/>
      </w:rPr>
    </w:lvl>
  </w:abstractNum>
  <w:abstractNum w:abstractNumId="15">
    <w:nsid w:val="5223E0EF"/>
    <w:multiLevelType w:val="singleLevel"/>
    <w:tmpl w:val="5223E0EF"/>
    <w:lvl w:ilvl="0" w:tentative="0">
      <w:start w:val="1"/>
      <w:numFmt w:val="decimal"/>
      <w:suff w:val="space"/>
      <w:lvlText w:val="%1."/>
      <w:lvlJc w:val="left"/>
    </w:lvl>
  </w:abstractNum>
  <w:abstractNum w:abstractNumId="16">
    <w:nsid w:val="57CE66AF"/>
    <w:multiLevelType w:val="multilevel"/>
    <w:tmpl w:val="57CE66AF"/>
    <w:lvl w:ilvl="0" w:tentative="0">
      <w:start w:val="1"/>
      <w:numFmt w:val="chineseCounting"/>
      <w:pStyle w:val="93"/>
      <w:suff w:val="space"/>
      <w:lvlText w:val="%1. "/>
      <w:lvlJc w:val="left"/>
      <w:pPr>
        <w:tabs>
          <w:tab w:val="left" w:pos="0"/>
        </w:tabs>
        <w:ind w:left="0" w:firstLine="0"/>
      </w:pPr>
      <w:rPr>
        <w:rFonts w:hint="eastAsia" w:ascii="宋体" w:hAnsi="宋体" w:eastAsia="宋体" w:cs="宋体"/>
        <w:b/>
        <w:sz w:val="44"/>
      </w:rPr>
    </w:lvl>
    <w:lvl w:ilvl="1" w:tentative="0">
      <w:start w:val="1"/>
      <w:numFmt w:val="decimal"/>
      <w:isLgl/>
      <w:suff w:val="space"/>
      <w:lvlText w:val="%1.%2 "/>
      <w:lvlJc w:val="left"/>
      <w:pPr>
        <w:ind w:left="0" w:firstLine="0"/>
      </w:pPr>
      <w:rPr>
        <w:rFonts w:hint="eastAsia" w:ascii="宋体" w:hAnsi="宋体" w:eastAsia="宋体" w:cs="宋体"/>
        <w:b/>
        <w:sz w:val="32"/>
      </w:rPr>
    </w:lvl>
    <w:lvl w:ilvl="2" w:tentative="0">
      <w:start w:val="1"/>
      <w:numFmt w:val="decimal"/>
      <w:pStyle w:val="92"/>
      <w:isLgl/>
      <w:suff w:val="space"/>
      <w:lvlText w:val="%1.%2.%3 "/>
      <w:lvlJc w:val="left"/>
      <w:pPr>
        <w:tabs>
          <w:tab w:val="left" w:pos="0"/>
        </w:tabs>
        <w:ind w:left="0" w:firstLine="0"/>
      </w:pPr>
      <w:rPr>
        <w:rFonts w:hint="eastAsia" w:ascii="宋体" w:hAnsi="宋体" w:eastAsia="宋体" w:cs="宋体"/>
        <w:b/>
        <w:sz w:val="30"/>
      </w:rPr>
    </w:lvl>
    <w:lvl w:ilvl="3" w:tentative="0">
      <w:start w:val="1"/>
      <w:numFmt w:val="decimal"/>
      <w:isLgl/>
      <w:suff w:val="space"/>
      <w:lvlText w:val="%1.%2.%3.%4 "/>
      <w:lvlJc w:val="left"/>
      <w:pPr>
        <w:tabs>
          <w:tab w:val="left" w:pos="0"/>
        </w:tabs>
        <w:ind w:left="0" w:firstLine="0"/>
      </w:pPr>
      <w:rPr>
        <w:rFonts w:hint="eastAsia" w:ascii="宋体" w:hAnsi="宋体" w:eastAsia="宋体" w:cs="宋体"/>
        <w:b/>
        <w:sz w:val="28"/>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7">
    <w:nsid w:val="592D4AFD"/>
    <w:multiLevelType w:val="multilevel"/>
    <w:tmpl w:val="592D4A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A48C066"/>
    <w:multiLevelType w:val="singleLevel"/>
    <w:tmpl w:val="7A48C066"/>
    <w:lvl w:ilvl="0" w:tentative="0">
      <w:start w:val="1"/>
      <w:numFmt w:val="decimal"/>
      <w:lvlText w:val="%1."/>
      <w:lvlJc w:val="left"/>
      <w:pPr>
        <w:tabs>
          <w:tab w:val="left" w:pos="312"/>
        </w:tabs>
      </w:pPr>
    </w:lvl>
  </w:abstractNum>
  <w:num w:numId="1">
    <w:abstractNumId w:val="9"/>
  </w:num>
  <w:num w:numId="2">
    <w:abstractNumId w:val="13"/>
  </w:num>
  <w:num w:numId="3">
    <w:abstractNumId w:val="10"/>
  </w:num>
  <w:num w:numId="4">
    <w:abstractNumId w:val="14"/>
  </w:num>
  <w:num w:numId="5">
    <w:abstractNumId w:val="6"/>
  </w:num>
  <w:num w:numId="6">
    <w:abstractNumId w:val="16"/>
  </w:num>
  <w:num w:numId="7">
    <w:abstractNumId w:val="12"/>
  </w:num>
  <w:num w:numId="8">
    <w:abstractNumId w:val="3"/>
  </w:num>
  <w:num w:numId="9">
    <w:abstractNumId w:val="17"/>
  </w:num>
  <w:num w:numId="10">
    <w:abstractNumId w:val="8"/>
  </w:num>
  <w:num w:numId="11">
    <w:abstractNumId w:val="15"/>
  </w:num>
  <w:num w:numId="12">
    <w:abstractNumId w:val="2"/>
  </w:num>
  <w:num w:numId="13">
    <w:abstractNumId w:val="4"/>
  </w:num>
  <w:num w:numId="14">
    <w:abstractNumId w:val="5"/>
  </w:num>
  <w:num w:numId="15">
    <w:abstractNumId w:val="18"/>
  </w:num>
  <w:num w:numId="16">
    <w:abstractNumId w:val="7"/>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4C"/>
    <w:rsid w:val="00000065"/>
    <w:rsid w:val="0000173B"/>
    <w:rsid w:val="00001DC0"/>
    <w:rsid w:val="000022D0"/>
    <w:rsid w:val="00002E48"/>
    <w:rsid w:val="00004198"/>
    <w:rsid w:val="00011E9E"/>
    <w:rsid w:val="000128A8"/>
    <w:rsid w:val="00013D41"/>
    <w:rsid w:val="00013DFA"/>
    <w:rsid w:val="00015213"/>
    <w:rsid w:val="0001754E"/>
    <w:rsid w:val="0002164A"/>
    <w:rsid w:val="000223E8"/>
    <w:rsid w:val="000224F2"/>
    <w:rsid w:val="000235DA"/>
    <w:rsid w:val="0002415B"/>
    <w:rsid w:val="000262AF"/>
    <w:rsid w:val="00026A7E"/>
    <w:rsid w:val="0003006B"/>
    <w:rsid w:val="000304A1"/>
    <w:rsid w:val="0003125F"/>
    <w:rsid w:val="0003216B"/>
    <w:rsid w:val="00033B17"/>
    <w:rsid w:val="0003418E"/>
    <w:rsid w:val="00034E70"/>
    <w:rsid w:val="00035381"/>
    <w:rsid w:val="000353B6"/>
    <w:rsid w:val="000371B8"/>
    <w:rsid w:val="000412C6"/>
    <w:rsid w:val="00041CA5"/>
    <w:rsid w:val="000428F6"/>
    <w:rsid w:val="000433A8"/>
    <w:rsid w:val="000469B4"/>
    <w:rsid w:val="000477EC"/>
    <w:rsid w:val="0005116D"/>
    <w:rsid w:val="00053548"/>
    <w:rsid w:val="00053DB5"/>
    <w:rsid w:val="0005464C"/>
    <w:rsid w:val="00054714"/>
    <w:rsid w:val="00054BA9"/>
    <w:rsid w:val="0005525B"/>
    <w:rsid w:val="0005547D"/>
    <w:rsid w:val="00056984"/>
    <w:rsid w:val="000606C7"/>
    <w:rsid w:val="000609B4"/>
    <w:rsid w:val="00062F8E"/>
    <w:rsid w:val="00063A5A"/>
    <w:rsid w:val="00066305"/>
    <w:rsid w:val="00067546"/>
    <w:rsid w:val="00067B3E"/>
    <w:rsid w:val="00067EFF"/>
    <w:rsid w:val="00067F9B"/>
    <w:rsid w:val="0007021F"/>
    <w:rsid w:val="00071314"/>
    <w:rsid w:val="00072022"/>
    <w:rsid w:val="00073229"/>
    <w:rsid w:val="00073891"/>
    <w:rsid w:val="000739DA"/>
    <w:rsid w:val="00073E43"/>
    <w:rsid w:val="00074C3C"/>
    <w:rsid w:val="00075399"/>
    <w:rsid w:val="00082034"/>
    <w:rsid w:val="000823F9"/>
    <w:rsid w:val="000831A7"/>
    <w:rsid w:val="00083BC5"/>
    <w:rsid w:val="00087488"/>
    <w:rsid w:val="00087E1C"/>
    <w:rsid w:val="00090A35"/>
    <w:rsid w:val="00090B0C"/>
    <w:rsid w:val="00091BE2"/>
    <w:rsid w:val="00092784"/>
    <w:rsid w:val="0009473E"/>
    <w:rsid w:val="00094CED"/>
    <w:rsid w:val="00094D41"/>
    <w:rsid w:val="00094F73"/>
    <w:rsid w:val="000954B0"/>
    <w:rsid w:val="00095D8B"/>
    <w:rsid w:val="00096DDB"/>
    <w:rsid w:val="000972CD"/>
    <w:rsid w:val="00097EB1"/>
    <w:rsid w:val="000A1F5C"/>
    <w:rsid w:val="000B0A43"/>
    <w:rsid w:val="000B1B00"/>
    <w:rsid w:val="000B1D54"/>
    <w:rsid w:val="000B1F9B"/>
    <w:rsid w:val="000B2235"/>
    <w:rsid w:val="000B26FE"/>
    <w:rsid w:val="000B2B1E"/>
    <w:rsid w:val="000B3069"/>
    <w:rsid w:val="000B379F"/>
    <w:rsid w:val="000B4995"/>
    <w:rsid w:val="000B4F30"/>
    <w:rsid w:val="000B5A82"/>
    <w:rsid w:val="000B6798"/>
    <w:rsid w:val="000B6ADA"/>
    <w:rsid w:val="000B7E7F"/>
    <w:rsid w:val="000C08CB"/>
    <w:rsid w:val="000C14A5"/>
    <w:rsid w:val="000C230B"/>
    <w:rsid w:val="000C349F"/>
    <w:rsid w:val="000C39FB"/>
    <w:rsid w:val="000C5958"/>
    <w:rsid w:val="000C63A7"/>
    <w:rsid w:val="000C7239"/>
    <w:rsid w:val="000D0031"/>
    <w:rsid w:val="000D2376"/>
    <w:rsid w:val="000D4105"/>
    <w:rsid w:val="000D47FA"/>
    <w:rsid w:val="000D4B29"/>
    <w:rsid w:val="000D62C1"/>
    <w:rsid w:val="000E0101"/>
    <w:rsid w:val="000E12F1"/>
    <w:rsid w:val="000E139E"/>
    <w:rsid w:val="000E341F"/>
    <w:rsid w:val="000E3ED8"/>
    <w:rsid w:val="000E62BA"/>
    <w:rsid w:val="000E7DA7"/>
    <w:rsid w:val="000E7FAE"/>
    <w:rsid w:val="000F153E"/>
    <w:rsid w:val="000F3C8C"/>
    <w:rsid w:val="000F4111"/>
    <w:rsid w:val="000F436E"/>
    <w:rsid w:val="000F4937"/>
    <w:rsid w:val="000F59A7"/>
    <w:rsid w:val="00100EBF"/>
    <w:rsid w:val="00102C48"/>
    <w:rsid w:val="00103A72"/>
    <w:rsid w:val="00103BAD"/>
    <w:rsid w:val="00106B7D"/>
    <w:rsid w:val="0011056B"/>
    <w:rsid w:val="00113F2E"/>
    <w:rsid w:val="001145ED"/>
    <w:rsid w:val="0011532C"/>
    <w:rsid w:val="00120228"/>
    <w:rsid w:val="00122DAB"/>
    <w:rsid w:val="00123D90"/>
    <w:rsid w:val="00123E5A"/>
    <w:rsid w:val="0012495E"/>
    <w:rsid w:val="001268E3"/>
    <w:rsid w:val="001306D3"/>
    <w:rsid w:val="0013070C"/>
    <w:rsid w:val="00130CCC"/>
    <w:rsid w:val="001325C0"/>
    <w:rsid w:val="0013481A"/>
    <w:rsid w:val="00134A4C"/>
    <w:rsid w:val="00137B0C"/>
    <w:rsid w:val="00141E52"/>
    <w:rsid w:val="00143B31"/>
    <w:rsid w:val="00144260"/>
    <w:rsid w:val="00144F99"/>
    <w:rsid w:val="0015076F"/>
    <w:rsid w:val="0015092B"/>
    <w:rsid w:val="00150CCF"/>
    <w:rsid w:val="00151F59"/>
    <w:rsid w:val="00152D63"/>
    <w:rsid w:val="00155089"/>
    <w:rsid w:val="00156184"/>
    <w:rsid w:val="00156719"/>
    <w:rsid w:val="001604D3"/>
    <w:rsid w:val="00160712"/>
    <w:rsid w:val="0016078C"/>
    <w:rsid w:val="00160BE4"/>
    <w:rsid w:val="00160F25"/>
    <w:rsid w:val="00161301"/>
    <w:rsid w:val="001621BA"/>
    <w:rsid w:val="00164415"/>
    <w:rsid w:val="00165944"/>
    <w:rsid w:val="00171E6F"/>
    <w:rsid w:val="00172DFB"/>
    <w:rsid w:val="00175402"/>
    <w:rsid w:val="00180C29"/>
    <w:rsid w:val="00181AE4"/>
    <w:rsid w:val="00181B94"/>
    <w:rsid w:val="0018204D"/>
    <w:rsid w:val="00182F4D"/>
    <w:rsid w:val="00183186"/>
    <w:rsid w:val="001831B8"/>
    <w:rsid w:val="00183A2B"/>
    <w:rsid w:val="00184004"/>
    <w:rsid w:val="001843F9"/>
    <w:rsid w:val="0018453E"/>
    <w:rsid w:val="001862F2"/>
    <w:rsid w:val="00186407"/>
    <w:rsid w:val="0018710E"/>
    <w:rsid w:val="001877B0"/>
    <w:rsid w:val="001902C3"/>
    <w:rsid w:val="00190B78"/>
    <w:rsid w:val="001911AD"/>
    <w:rsid w:val="00192740"/>
    <w:rsid w:val="00193F97"/>
    <w:rsid w:val="00194197"/>
    <w:rsid w:val="00194985"/>
    <w:rsid w:val="00194A8E"/>
    <w:rsid w:val="00195E91"/>
    <w:rsid w:val="001966F0"/>
    <w:rsid w:val="00196A62"/>
    <w:rsid w:val="001A0487"/>
    <w:rsid w:val="001A10E3"/>
    <w:rsid w:val="001A1222"/>
    <w:rsid w:val="001A17EE"/>
    <w:rsid w:val="001A2CF1"/>
    <w:rsid w:val="001A4B3D"/>
    <w:rsid w:val="001A5358"/>
    <w:rsid w:val="001A6C62"/>
    <w:rsid w:val="001A7FDC"/>
    <w:rsid w:val="001B0EEE"/>
    <w:rsid w:val="001B1325"/>
    <w:rsid w:val="001B14C6"/>
    <w:rsid w:val="001B2061"/>
    <w:rsid w:val="001B4337"/>
    <w:rsid w:val="001B58E7"/>
    <w:rsid w:val="001B72F0"/>
    <w:rsid w:val="001B77BB"/>
    <w:rsid w:val="001C0A24"/>
    <w:rsid w:val="001C2E25"/>
    <w:rsid w:val="001C4A59"/>
    <w:rsid w:val="001C4BAA"/>
    <w:rsid w:val="001C5FDF"/>
    <w:rsid w:val="001C712C"/>
    <w:rsid w:val="001D2769"/>
    <w:rsid w:val="001D2DB6"/>
    <w:rsid w:val="001D3281"/>
    <w:rsid w:val="001D3324"/>
    <w:rsid w:val="001D54E0"/>
    <w:rsid w:val="001D5605"/>
    <w:rsid w:val="001D7A7E"/>
    <w:rsid w:val="001E07D3"/>
    <w:rsid w:val="001E0ECB"/>
    <w:rsid w:val="001E1DA7"/>
    <w:rsid w:val="001E21F0"/>
    <w:rsid w:val="001E548C"/>
    <w:rsid w:val="001F109D"/>
    <w:rsid w:val="001F1758"/>
    <w:rsid w:val="001F4241"/>
    <w:rsid w:val="001F4555"/>
    <w:rsid w:val="001F4F0A"/>
    <w:rsid w:val="001F5319"/>
    <w:rsid w:val="00201F18"/>
    <w:rsid w:val="002024EE"/>
    <w:rsid w:val="002026F8"/>
    <w:rsid w:val="00202B44"/>
    <w:rsid w:val="00202DAF"/>
    <w:rsid w:val="0020376E"/>
    <w:rsid w:val="0020394F"/>
    <w:rsid w:val="002055E4"/>
    <w:rsid w:val="00205E58"/>
    <w:rsid w:val="00205E80"/>
    <w:rsid w:val="00206688"/>
    <w:rsid w:val="002105FA"/>
    <w:rsid w:val="002109E6"/>
    <w:rsid w:val="0021132D"/>
    <w:rsid w:val="00213023"/>
    <w:rsid w:val="0021380D"/>
    <w:rsid w:val="00215AB4"/>
    <w:rsid w:val="0021690D"/>
    <w:rsid w:val="00216952"/>
    <w:rsid w:val="002179FA"/>
    <w:rsid w:val="0022054F"/>
    <w:rsid w:val="00220C0D"/>
    <w:rsid w:val="00221028"/>
    <w:rsid w:val="00222B37"/>
    <w:rsid w:val="00224210"/>
    <w:rsid w:val="002275BD"/>
    <w:rsid w:val="00227E37"/>
    <w:rsid w:val="00230715"/>
    <w:rsid w:val="0023157E"/>
    <w:rsid w:val="00232B7B"/>
    <w:rsid w:val="00236325"/>
    <w:rsid w:val="00241D34"/>
    <w:rsid w:val="00242515"/>
    <w:rsid w:val="002426C7"/>
    <w:rsid w:val="00243B3A"/>
    <w:rsid w:val="002445C3"/>
    <w:rsid w:val="002446C7"/>
    <w:rsid w:val="0024470F"/>
    <w:rsid w:val="00244D89"/>
    <w:rsid w:val="0024665D"/>
    <w:rsid w:val="002467BC"/>
    <w:rsid w:val="00246ABD"/>
    <w:rsid w:val="00247F91"/>
    <w:rsid w:val="002509F1"/>
    <w:rsid w:val="00251375"/>
    <w:rsid w:val="00254C1F"/>
    <w:rsid w:val="00254FF0"/>
    <w:rsid w:val="00255E48"/>
    <w:rsid w:val="00257538"/>
    <w:rsid w:val="00257FAD"/>
    <w:rsid w:val="002606E5"/>
    <w:rsid w:val="00261CCB"/>
    <w:rsid w:val="002649D2"/>
    <w:rsid w:val="00265B2E"/>
    <w:rsid w:val="00274A65"/>
    <w:rsid w:val="00275283"/>
    <w:rsid w:val="00275AFF"/>
    <w:rsid w:val="00275F9D"/>
    <w:rsid w:val="00276565"/>
    <w:rsid w:val="00281762"/>
    <w:rsid w:val="00281C60"/>
    <w:rsid w:val="002829BC"/>
    <w:rsid w:val="002832FB"/>
    <w:rsid w:val="00283666"/>
    <w:rsid w:val="00285426"/>
    <w:rsid w:val="002869E5"/>
    <w:rsid w:val="0029094C"/>
    <w:rsid w:val="00293DC1"/>
    <w:rsid w:val="002A0984"/>
    <w:rsid w:val="002A0C4A"/>
    <w:rsid w:val="002A2EBF"/>
    <w:rsid w:val="002A3F3B"/>
    <w:rsid w:val="002A5D92"/>
    <w:rsid w:val="002A69F5"/>
    <w:rsid w:val="002A6E00"/>
    <w:rsid w:val="002A701A"/>
    <w:rsid w:val="002A70E2"/>
    <w:rsid w:val="002B0315"/>
    <w:rsid w:val="002B0408"/>
    <w:rsid w:val="002B0C17"/>
    <w:rsid w:val="002B2BE8"/>
    <w:rsid w:val="002B4CF3"/>
    <w:rsid w:val="002B6C76"/>
    <w:rsid w:val="002B7D97"/>
    <w:rsid w:val="002C0334"/>
    <w:rsid w:val="002C0873"/>
    <w:rsid w:val="002C0B2A"/>
    <w:rsid w:val="002C1686"/>
    <w:rsid w:val="002C3971"/>
    <w:rsid w:val="002C4BBB"/>
    <w:rsid w:val="002C6550"/>
    <w:rsid w:val="002D017F"/>
    <w:rsid w:val="002D0B90"/>
    <w:rsid w:val="002E008A"/>
    <w:rsid w:val="002E04A0"/>
    <w:rsid w:val="002E0CC9"/>
    <w:rsid w:val="002E147D"/>
    <w:rsid w:val="002E1F6F"/>
    <w:rsid w:val="002E4686"/>
    <w:rsid w:val="002E5B3A"/>
    <w:rsid w:val="002E78BB"/>
    <w:rsid w:val="002F04B6"/>
    <w:rsid w:val="002F11AD"/>
    <w:rsid w:val="002F1291"/>
    <w:rsid w:val="002F1834"/>
    <w:rsid w:val="002F3490"/>
    <w:rsid w:val="002F56B1"/>
    <w:rsid w:val="00300C38"/>
    <w:rsid w:val="00300C9C"/>
    <w:rsid w:val="00300E33"/>
    <w:rsid w:val="00302200"/>
    <w:rsid w:val="00302CBA"/>
    <w:rsid w:val="00305EDE"/>
    <w:rsid w:val="0030722F"/>
    <w:rsid w:val="003073E5"/>
    <w:rsid w:val="0031155A"/>
    <w:rsid w:val="003121B3"/>
    <w:rsid w:val="0031224E"/>
    <w:rsid w:val="00313782"/>
    <w:rsid w:val="003140AC"/>
    <w:rsid w:val="003152C5"/>
    <w:rsid w:val="0031546F"/>
    <w:rsid w:val="003167FA"/>
    <w:rsid w:val="0032079E"/>
    <w:rsid w:val="0032081D"/>
    <w:rsid w:val="00321165"/>
    <w:rsid w:val="00321445"/>
    <w:rsid w:val="003218FA"/>
    <w:rsid w:val="0032274A"/>
    <w:rsid w:val="0032400F"/>
    <w:rsid w:val="00324863"/>
    <w:rsid w:val="003252FC"/>
    <w:rsid w:val="003300E1"/>
    <w:rsid w:val="00331981"/>
    <w:rsid w:val="00332703"/>
    <w:rsid w:val="00332C53"/>
    <w:rsid w:val="00336070"/>
    <w:rsid w:val="00336679"/>
    <w:rsid w:val="00337BCC"/>
    <w:rsid w:val="00341C64"/>
    <w:rsid w:val="00341E37"/>
    <w:rsid w:val="0034213B"/>
    <w:rsid w:val="00342909"/>
    <w:rsid w:val="003445D2"/>
    <w:rsid w:val="003452EF"/>
    <w:rsid w:val="003453E6"/>
    <w:rsid w:val="00347626"/>
    <w:rsid w:val="00347B89"/>
    <w:rsid w:val="00353D73"/>
    <w:rsid w:val="00354B7B"/>
    <w:rsid w:val="00356427"/>
    <w:rsid w:val="00356A7C"/>
    <w:rsid w:val="00356CC9"/>
    <w:rsid w:val="003576E0"/>
    <w:rsid w:val="003578A0"/>
    <w:rsid w:val="00357F04"/>
    <w:rsid w:val="00360146"/>
    <w:rsid w:val="00360E77"/>
    <w:rsid w:val="00362058"/>
    <w:rsid w:val="003624F3"/>
    <w:rsid w:val="003658A4"/>
    <w:rsid w:val="00365B97"/>
    <w:rsid w:val="00366D7E"/>
    <w:rsid w:val="00370165"/>
    <w:rsid w:val="0037070F"/>
    <w:rsid w:val="0037115B"/>
    <w:rsid w:val="0037337B"/>
    <w:rsid w:val="00374A25"/>
    <w:rsid w:val="00376A01"/>
    <w:rsid w:val="00377C03"/>
    <w:rsid w:val="003814EC"/>
    <w:rsid w:val="00381FA4"/>
    <w:rsid w:val="00384DB7"/>
    <w:rsid w:val="003852F8"/>
    <w:rsid w:val="00386B14"/>
    <w:rsid w:val="00393F45"/>
    <w:rsid w:val="0039650C"/>
    <w:rsid w:val="00397097"/>
    <w:rsid w:val="003A17CB"/>
    <w:rsid w:val="003A1AD6"/>
    <w:rsid w:val="003A34A6"/>
    <w:rsid w:val="003A3AAE"/>
    <w:rsid w:val="003A464E"/>
    <w:rsid w:val="003A7863"/>
    <w:rsid w:val="003B04A4"/>
    <w:rsid w:val="003B0C03"/>
    <w:rsid w:val="003B23C0"/>
    <w:rsid w:val="003B4CCA"/>
    <w:rsid w:val="003B5C7A"/>
    <w:rsid w:val="003B6053"/>
    <w:rsid w:val="003B608C"/>
    <w:rsid w:val="003B6B88"/>
    <w:rsid w:val="003B7307"/>
    <w:rsid w:val="003B74F2"/>
    <w:rsid w:val="003C2AFF"/>
    <w:rsid w:val="003C31E0"/>
    <w:rsid w:val="003C36E3"/>
    <w:rsid w:val="003C3900"/>
    <w:rsid w:val="003C3D5F"/>
    <w:rsid w:val="003C4CC3"/>
    <w:rsid w:val="003C527F"/>
    <w:rsid w:val="003C74B9"/>
    <w:rsid w:val="003C7D04"/>
    <w:rsid w:val="003D0513"/>
    <w:rsid w:val="003D212E"/>
    <w:rsid w:val="003D2D5B"/>
    <w:rsid w:val="003D37FE"/>
    <w:rsid w:val="003D3D16"/>
    <w:rsid w:val="003D4796"/>
    <w:rsid w:val="003D4DB0"/>
    <w:rsid w:val="003D72CE"/>
    <w:rsid w:val="003D79DE"/>
    <w:rsid w:val="003D7A70"/>
    <w:rsid w:val="003E0968"/>
    <w:rsid w:val="003E1037"/>
    <w:rsid w:val="003E1082"/>
    <w:rsid w:val="003E24E2"/>
    <w:rsid w:val="003E371A"/>
    <w:rsid w:val="003E37EA"/>
    <w:rsid w:val="003E4240"/>
    <w:rsid w:val="003E4422"/>
    <w:rsid w:val="003E59F7"/>
    <w:rsid w:val="003F0F24"/>
    <w:rsid w:val="003F3083"/>
    <w:rsid w:val="003F7AB2"/>
    <w:rsid w:val="00402596"/>
    <w:rsid w:val="004027F9"/>
    <w:rsid w:val="0040498D"/>
    <w:rsid w:val="00405A9D"/>
    <w:rsid w:val="0040758D"/>
    <w:rsid w:val="004106F1"/>
    <w:rsid w:val="00411428"/>
    <w:rsid w:val="00414524"/>
    <w:rsid w:val="0042002B"/>
    <w:rsid w:val="00420F47"/>
    <w:rsid w:val="00423860"/>
    <w:rsid w:val="00423A3E"/>
    <w:rsid w:val="004276A5"/>
    <w:rsid w:val="004303A9"/>
    <w:rsid w:val="00430524"/>
    <w:rsid w:val="00432732"/>
    <w:rsid w:val="00433137"/>
    <w:rsid w:val="004347AF"/>
    <w:rsid w:val="00434EEF"/>
    <w:rsid w:val="00435070"/>
    <w:rsid w:val="00435871"/>
    <w:rsid w:val="00437593"/>
    <w:rsid w:val="00437F24"/>
    <w:rsid w:val="00441725"/>
    <w:rsid w:val="0044370B"/>
    <w:rsid w:val="004462B2"/>
    <w:rsid w:val="0044642B"/>
    <w:rsid w:val="0044775B"/>
    <w:rsid w:val="00450870"/>
    <w:rsid w:val="00452787"/>
    <w:rsid w:val="0045363A"/>
    <w:rsid w:val="004545D0"/>
    <w:rsid w:val="00454B96"/>
    <w:rsid w:val="0045646A"/>
    <w:rsid w:val="004601F6"/>
    <w:rsid w:val="00460CD1"/>
    <w:rsid w:val="004614E3"/>
    <w:rsid w:val="00461AEA"/>
    <w:rsid w:val="0046298C"/>
    <w:rsid w:val="00465DDE"/>
    <w:rsid w:val="00466673"/>
    <w:rsid w:val="00466F81"/>
    <w:rsid w:val="004674BA"/>
    <w:rsid w:val="0047007B"/>
    <w:rsid w:val="00470354"/>
    <w:rsid w:val="00470C6C"/>
    <w:rsid w:val="00471058"/>
    <w:rsid w:val="004719AD"/>
    <w:rsid w:val="00471BCB"/>
    <w:rsid w:val="00472196"/>
    <w:rsid w:val="00474198"/>
    <w:rsid w:val="0047618A"/>
    <w:rsid w:val="00477998"/>
    <w:rsid w:val="00477B80"/>
    <w:rsid w:val="004800A2"/>
    <w:rsid w:val="0048029C"/>
    <w:rsid w:val="004810CB"/>
    <w:rsid w:val="004828EA"/>
    <w:rsid w:val="00482E73"/>
    <w:rsid w:val="00483A3E"/>
    <w:rsid w:val="0048458D"/>
    <w:rsid w:val="004849F2"/>
    <w:rsid w:val="00484B15"/>
    <w:rsid w:val="004853FC"/>
    <w:rsid w:val="00486546"/>
    <w:rsid w:val="004869BD"/>
    <w:rsid w:val="00487F23"/>
    <w:rsid w:val="004906C9"/>
    <w:rsid w:val="00490ABE"/>
    <w:rsid w:val="00490DED"/>
    <w:rsid w:val="00493B61"/>
    <w:rsid w:val="00494296"/>
    <w:rsid w:val="004948A0"/>
    <w:rsid w:val="0049534A"/>
    <w:rsid w:val="00495408"/>
    <w:rsid w:val="004956CD"/>
    <w:rsid w:val="00495F87"/>
    <w:rsid w:val="0049613D"/>
    <w:rsid w:val="004A0F81"/>
    <w:rsid w:val="004A281D"/>
    <w:rsid w:val="004A315C"/>
    <w:rsid w:val="004A3F4B"/>
    <w:rsid w:val="004A55E8"/>
    <w:rsid w:val="004A5610"/>
    <w:rsid w:val="004A5976"/>
    <w:rsid w:val="004A71A0"/>
    <w:rsid w:val="004B0E15"/>
    <w:rsid w:val="004B0F41"/>
    <w:rsid w:val="004B3CA8"/>
    <w:rsid w:val="004B3D83"/>
    <w:rsid w:val="004B5DF7"/>
    <w:rsid w:val="004C022E"/>
    <w:rsid w:val="004C3D34"/>
    <w:rsid w:val="004C53D1"/>
    <w:rsid w:val="004C7135"/>
    <w:rsid w:val="004D03ED"/>
    <w:rsid w:val="004D0E47"/>
    <w:rsid w:val="004D178F"/>
    <w:rsid w:val="004D425E"/>
    <w:rsid w:val="004D4F32"/>
    <w:rsid w:val="004D79BF"/>
    <w:rsid w:val="004D7C97"/>
    <w:rsid w:val="004D7F7E"/>
    <w:rsid w:val="004E0BC8"/>
    <w:rsid w:val="004E155C"/>
    <w:rsid w:val="004E32F5"/>
    <w:rsid w:val="004E3566"/>
    <w:rsid w:val="004E4099"/>
    <w:rsid w:val="004E4BA4"/>
    <w:rsid w:val="004E5A49"/>
    <w:rsid w:val="004F1071"/>
    <w:rsid w:val="004F1810"/>
    <w:rsid w:val="004F19AE"/>
    <w:rsid w:val="004F3B86"/>
    <w:rsid w:val="004F648D"/>
    <w:rsid w:val="004F6909"/>
    <w:rsid w:val="004F7CB4"/>
    <w:rsid w:val="0050128D"/>
    <w:rsid w:val="0050190F"/>
    <w:rsid w:val="005049C0"/>
    <w:rsid w:val="005063F2"/>
    <w:rsid w:val="00507894"/>
    <w:rsid w:val="005125FF"/>
    <w:rsid w:val="005130ED"/>
    <w:rsid w:val="00513399"/>
    <w:rsid w:val="00514E27"/>
    <w:rsid w:val="00515433"/>
    <w:rsid w:val="00517E11"/>
    <w:rsid w:val="0052034A"/>
    <w:rsid w:val="00520CC9"/>
    <w:rsid w:val="00521098"/>
    <w:rsid w:val="00522821"/>
    <w:rsid w:val="00522A3E"/>
    <w:rsid w:val="0052335E"/>
    <w:rsid w:val="00524C04"/>
    <w:rsid w:val="005266EC"/>
    <w:rsid w:val="00532F95"/>
    <w:rsid w:val="005332EB"/>
    <w:rsid w:val="005363E4"/>
    <w:rsid w:val="005375F4"/>
    <w:rsid w:val="005403BA"/>
    <w:rsid w:val="00545429"/>
    <w:rsid w:val="005465AB"/>
    <w:rsid w:val="00547276"/>
    <w:rsid w:val="0054762A"/>
    <w:rsid w:val="0054788B"/>
    <w:rsid w:val="0055138D"/>
    <w:rsid w:val="0055360C"/>
    <w:rsid w:val="00556930"/>
    <w:rsid w:val="0056055A"/>
    <w:rsid w:val="00562BEF"/>
    <w:rsid w:val="0056375D"/>
    <w:rsid w:val="00564976"/>
    <w:rsid w:val="00564B9F"/>
    <w:rsid w:val="00565CC7"/>
    <w:rsid w:val="00570545"/>
    <w:rsid w:val="005756A6"/>
    <w:rsid w:val="005759AA"/>
    <w:rsid w:val="00577354"/>
    <w:rsid w:val="00577E7F"/>
    <w:rsid w:val="005806AE"/>
    <w:rsid w:val="00580BAF"/>
    <w:rsid w:val="00582032"/>
    <w:rsid w:val="005839D2"/>
    <w:rsid w:val="00584319"/>
    <w:rsid w:val="00584B9C"/>
    <w:rsid w:val="0058570E"/>
    <w:rsid w:val="005861AC"/>
    <w:rsid w:val="00591F54"/>
    <w:rsid w:val="0059202F"/>
    <w:rsid w:val="00592284"/>
    <w:rsid w:val="00592753"/>
    <w:rsid w:val="00593E13"/>
    <w:rsid w:val="0059693D"/>
    <w:rsid w:val="005973AF"/>
    <w:rsid w:val="00597A68"/>
    <w:rsid w:val="005A04C3"/>
    <w:rsid w:val="005A3360"/>
    <w:rsid w:val="005A4C3B"/>
    <w:rsid w:val="005A50C9"/>
    <w:rsid w:val="005A5160"/>
    <w:rsid w:val="005A5312"/>
    <w:rsid w:val="005B0495"/>
    <w:rsid w:val="005B1F23"/>
    <w:rsid w:val="005B2BB0"/>
    <w:rsid w:val="005B3065"/>
    <w:rsid w:val="005B517B"/>
    <w:rsid w:val="005B5C69"/>
    <w:rsid w:val="005B6113"/>
    <w:rsid w:val="005B660E"/>
    <w:rsid w:val="005B7DDF"/>
    <w:rsid w:val="005C5A48"/>
    <w:rsid w:val="005D00CD"/>
    <w:rsid w:val="005D0639"/>
    <w:rsid w:val="005D1433"/>
    <w:rsid w:val="005D245F"/>
    <w:rsid w:val="005D252B"/>
    <w:rsid w:val="005D2CE5"/>
    <w:rsid w:val="005D66DA"/>
    <w:rsid w:val="005E07DF"/>
    <w:rsid w:val="005E2240"/>
    <w:rsid w:val="005E3604"/>
    <w:rsid w:val="005E4239"/>
    <w:rsid w:val="005E4C61"/>
    <w:rsid w:val="005E5B1B"/>
    <w:rsid w:val="005E5C9F"/>
    <w:rsid w:val="005F366E"/>
    <w:rsid w:val="005F3B8C"/>
    <w:rsid w:val="005F3D21"/>
    <w:rsid w:val="005F4801"/>
    <w:rsid w:val="005F4A19"/>
    <w:rsid w:val="005F63A0"/>
    <w:rsid w:val="005F66A9"/>
    <w:rsid w:val="005F757B"/>
    <w:rsid w:val="0060019E"/>
    <w:rsid w:val="00601425"/>
    <w:rsid w:val="00602989"/>
    <w:rsid w:val="00603DDA"/>
    <w:rsid w:val="006044F3"/>
    <w:rsid w:val="00604F17"/>
    <w:rsid w:val="00605C7D"/>
    <w:rsid w:val="006069AE"/>
    <w:rsid w:val="00606A76"/>
    <w:rsid w:val="006071F0"/>
    <w:rsid w:val="0061198F"/>
    <w:rsid w:val="00612945"/>
    <w:rsid w:val="0061350B"/>
    <w:rsid w:val="00614CF1"/>
    <w:rsid w:val="00615184"/>
    <w:rsid w:val="006152CA"/>
    <w:rsid w:val="0061568C"/>
    <w:rsid w:val="00624906"/>
    <w:rsid w:val="00630063"/>
    <w:rsid w:val="00630BEC"/>
    <w:rsid w:val="00632B76"/>
    <w:rsid w:val="00633D64"/>
    <w:rsid w:val="00635597"/>
    <w:rsid w:val="00640086"/>
    <w:rsid w:val="006413AD"/>
    <w:rsid w:val="00641E15"/>
    <w:rsid w:val="006423E5"/>
    <w:rsid w:val="00643C52"/>
    <w:rsid w:val="006444CF"/>
    <w:rsid w:val="006457ED"/>
    <w:rsid w:val="00647494"/>
    <w:rsid w:val="006500D6"/>
    <w:rsid w:val="006505AE"/>
    <w:rsid w:val="00650D42"/>
    <w:rsid w:val="00650F25"/>
    <w:rsid w:val="0065182A"/>
    <w:rsid w:val="00652CFB"/>
    <w:rsid w:val="006535F0"/>
    <w:rsid w:val="0065527D"/>
    <w:rsid w:val="006553EB"/>
    <w:rsid w:val="006557D5"/>
    <w:rsid w:val="0065769B"/>
    <w:rsid w:val="00657934"/>
    <w:rsid w:val="00657D07"/>
    <w:rsid w:val="00662592"/>
    <w:rsid w:val="006667D6"/>
    <w:rsid w:val="00666CB9"/>
    <w:rsid w:val="00666E3A"/>
    <w:rsid w:val="006676C4"/>
    <w:rsid w:val="0067061E"/>
    <w:rsid w:val="00670BA4"/>
    <w:rsid w:val="00670ED9"/>
    <w:rsid w:val="0067285C"/>
    <w:rsid w:val="00672D14"/>
    <w:rsid w:val="00672D4F"/>
    <w:rsid w:val="0067314A"/>
    <w:rsid w:val="0067484D"/>
    <w:rsid w:val="00674D08"/>
    <w:rsid w:val="00675885"/>
    <w:rsid w:val="00680281"/>
    <w:rsid w:val="00681072"/>
    <w:rsid w:val="0068189D"/>
    <w:rsid w:val="00681DB4"/>
    <w:rsid w:val="00684B8F"/>
    <w:rsid w:val="006866C0"/>
    <w:rsid w:val="00687C04"/>
    <w:rsid w:val="006914E8"/>
    <w:rsid w:val="0069655E"/>
    <w:rsid w:val="00697FC9"/>
    <w:rsid w:val="006A046B"/>
    <w:rsid w:val="006A2DDB"/>
    <w:rsid w:val="006A376A"/>
    <w:rsid w:val="006A40C6"/>
    <w:rsid w:val="006A42AD"/>
    <w:rsid w:val="006A4E33"/>
    <w:rsid w:val="006A59F0"/>
    <w:rsid w:val="006A6909"/>
    <w:rsid w:val="006A6A47"/>
    <w:rsid w:val="006A6CBD"/>
    <w:rsid w:val="006B0911"/>
    <w:rsid w:val="006B1680"/>
    <w:rsid w:val="006B1879"/>
    <w:rsid w:val="006B23BE"/>
    <w:rsid w:val="006B309A"/>
    <w:rsid w:val="006B3BC6"/>
    <w:rsid w:val="006B7EF7"/>
    <w:rsid w:val="006C0675"/>
    <w:rsid w:val="006C0685"/>
    <w:rsid w:val="006C1ED5"/>
    <w:rsid w:val="006C31F3"/>
    <w:rsid w:val="006C43E3"/>
    <w:rsid w:val="006C441A"/>
    <w:rsid w:val="006C52CA"/>
    <w:rsid w:val="006C5AE4"/>
    <w:rsid w:val="006C6CED"/>
    <w:rsid w:val="006D0891"/>
    <w:rsid w:val="006D0EED"/>
    <w:rsid w:val="006D2BDA"/>
    <w:rsid w:val="006D3137"/>
    <w:rsid w:val="006D4D40"/>
    <w:rsid w:val="006D5334"/>
    <w:rsid w:val="006D61A3"/>
    <w:rsid w:val="006D7731"/>
    <w:rsid w:val="006D773C"/>
    <w:rsid w:val="006E054A"/>
    <w:rsid w:val="006E13FE"/>
    <w:rsid w:val="006E205D"/>
    <w:rsid w:val="006E2B3E"/>
    <w:rsid w:val="006E2EE4"/>
    <w:rsid w:val="006E3138"/>
    <w:rsid w:val="006E3EA9"/>
    <w:rsid w:val="006E46F7"/>
    <w:rsid w:val="006E4B9E"/>
    <w:rsid w:val="006E5C50"/>
    <w:rsid w:val="006F003D"/>
    <w:rsid w:val="006F080A"/>
    <w:rsid w:val="006F0B1E"/>
    <w:rsid w:val="006F1A97"/>
    <w:rsid w:val="006F1D8A"/>
    <w:rsid w:val="006F1EC4"/>
    <w:rsid w:val="006F2C36"/>
    <w:rsid w:val="006F428D"/>
    <w:rsid w:val="006F472C"/>
    <w:rsid w:val="006F5097"/>
    <w:rsid w:val="006F5A36"/>
    <w:rsid w:val="006F60BC"/>
    <w:rsid w:val="006F688A"/>
    <w:rsid w:val="007011BD"/>
    <w:rsid w:val="00701F08"/>
    <w:rsid w:val="007022AF"/>
    <w:rsid w:val="00703770"/>
    <w:rsid w:val="00704E69"/>
    <w:rsid w:val="0070607F"/>
    <w:rsid w:val="00711DFC"/>
    <w:rsid w:val="00711EAB"/>
    <w:rsid w:val="00714BC6"/>
    <w:rsid w:val="007164A9"/>
    <w:rsid w:val="00722A1F"/>
    <w:rsid w:val="00722BC1"/>
    <w:rsid w:val="00724755"/>
    <w:rsid w:val="00726D62"/>
    <w:rsid w:val="0072736C"/>
    <w:rsid w:val="007303B9"/>
    <w:rsid w:val="00730FE8"/>
    <w:rsid w:val="00732953"/>
    <w:rsid w:val="00734034"/>
    <w:rsid w:val="00734D56"/>
    <w:rsid w:val="00735DF5"/>
    <w:rsid w:val="007368A9"/>
    <w:rsid w:val="00736A24"/>
    <w:rsid w:val="00737E44"/>
    <w:rsid w:val="007410CA"/>
    <w:rsid w:val="0074486B"/>
    <w:rsid w:val="00744ED0"/>
    <w:rsid w:val="00745559"/>
    <w:rsid w:val="00746219"/>
    <w:rsid w:val="00747D55"/>
    <w:rsid w:val="00747EF2"/>
    <w:rsid w:val="0075116C"/>
    <w:rsid w:val="0075267D"/>
    <w:rsid w:val="0075319C"/>
    <w:rsid w:val="0075528B"/>
    <w:rsid w:val="0075677F"/>
    <w:rsid w:val="00756D72"/>
    <w:rsid w:val="00760421"/>
    <w:rsid w:val="007606F3"/>
    <w:rsid w:val="00762982"/>
    <w:rsid w:val="00762B69"/>
    <w:rsid w:val="00763338"/>
    <w:rsid w:val="0076458C"/>
    <w:rsid w:val="00764854"/>
    <w:rsid w:val="00766D7C"/>
    <w:rsid w:val="0076780E"/>
    <w:rsid w:val="007679B9"/>
    <w:rsid w:val="00767E51"/>
    <w:rsid w:val="007703E6"/>
    <w:rsid w:val="00770930"/>
    <w:rsid w:val="00771750"/>
    <w:rsid w:val="00772649"/>
    <w:rsid w:val="00773687"/>
    <w:rsid w:val="00774056"/>
    <w:rsid w:val="00776CE8"/>
    <w:rsid w:val="00777455"/>
    <w:rsid w:val="007779D5"/>
    <w:rsid w:val="007810B2"/>
    <w:rsid w:val="0078259F"/>
    <w:rsid w:val="007828E4"/>
    <w:rsid w:val="00783294"/>
    <w:rsid w:val="007846A8"/>
    <w:rsid w:val="007862BD"/>
    <w:rsid w:val="00786B2D"/>
    <w:rsid w:val="00790264"/>
    <w:rsid w:val="0079124C"/>
    <w:rsid w:val="00791506"/>
    <w:rsid w:val="00792520"/>
    <w:rsid w:val="0079271E"/>
    <w:rsid w:val="0079310B"/>
    <w:rsid w:val="0079434E"/>
    <w:rsid w:val="00796D00"/>
    <w:rsid w:val="007977CF"/>
    <w:rsid w:val="007A6E77"/>
    <w:rsid w:val="007A7437"/>
    <w:rsid w:val="007A7A98"/>
    <w:rsid w:val="007B25A6"/>
    <w:rsid w:val="007B4A48"/>
    <w:rsid w:val="007B5C10"/>
    <w:rsid w:val="007B6EAF"/>
    <w:rsid w:val="007B71FD"/>
    <w:rsid w:val="007C0083"/>
    <w:rsid w:val="007C0F2A"/>
    <w:rsid w:val="007C1898"/>
    <w:rsid w:val="007C286E"/>
    <w:rsid w:val="007C2D5F"/>
    <w:rsid w:val="007C3061"/>
    <w:rsid w:val="007C3136"/>
    <w:rsid w:val="007C38DE"/>
    <w:rsid w:val="007C3D05"/>
    <w:rsid w:val="007C3D69"/>
    <w:rsid w:val="007C471D"/>
    <w:rsid w:val="007C5A74"/>
    <w:rsid w:val="007C6A77"/>
    <w:rsid w:val="007C7CBA"/>
    <w:rsid w:val="007D128F"/>
    <w:rsid w:val="007D1320"/>
    <w:rsid w:val="007D23A1"/>
    <w:rsid w:val="007D4509"/>
    <w:rsid w:val="007D4EF8"/>
    <w:rsid w:val="007D6B1B"/>
    <w:rsid w:val="007D7403"/>
    <w:rsid w:val="007E05D7"/>
    <w:rsid w:val="007E0B77"/>
    <w:rsid w:val="007E2876"/>
    <w:rsid w:val="007E28D1"/>
    <w:rsid w:val="007E7688"/>
    <w:rsid w:val="007F1A0F"/>
    <w:rsid w:val="007F28A7"/>
    <w:rsid w:val="007F63E6"/>
    <w:rsid w:val="007F75E6"/>
    <w:rsid w:val="00800B31"/>
    <w:rsid w:val="00801F47"/>
    <w:rsid w:val="008021D1"/>
    <w:rsid w:val="00806348"/>
    <w:rsid w:val="00807444"/>
    <w:rsid w:val="0080754B"/>
    <w:rsid w:val="00812FA6"/>
    <w:rsid w:val="008138CD"/>
    <w:rsid w:val="008150C8"/>
    <w:rsid w:val="00816937"/>
    <w:rsid w:val="00816F9A"/>
    <w:rsid w:val="0081774F"/>
    <w:rsid w:val="00817C85"/>
    <w:rsid w:val="0082049E"/>
    <w:rsid w:val="0082093F"/>
    <w:rsid w:val="00820EC1"/>
    <w:rsid w:val="008214FA"/>
    <w:rsid w:val="00823051"/>
    <w:rsid w:val="0082371A"/>
    <w:rsid w:val="008267B8"/>
    <w:rsid w:val="00830504"/>
    <w:rsid w:val="008312C3"/>
    <w:rsid w:val="0083152E"/>
    <w:rsid w:val="008332A7"/>
    <w:rsid w:val="00834025"/>
    <w:rsid w:val="0083537E"/>
    <w:rsid w:val="00835454"/>
    <w:rsid w:val="00835A29"/>
    <w:rsid w:val="00836E2E"/>
    <w:rsid w:val="008376A6"/>
    <w:rsid w:val="00837E2C"/>
    <w:rsid w:val="008418A7"/>
    <w:rsid w:val="0084426E"/>
    <w:rsid w:val="0084470E"/>
    <w:rsid w:val="00845265"/>
    <w:rsid w:val="00845C1F"/>
    <w:rsid w:val="008472E4"/>
    <w:rsid w:val="00847C12"/>
    <w:rsid w:val="00850E20"/>
    <w:rsid w:val="0085162F"/>
    <w:rsid w:val="00851860"/>
    <w:rsid w:val="00851E02"/>
    <w:rsid w:val="00853E92"/>
    <w:rsid w:val="0085608F"/>
    <w:rsid w:val="008566AC"/>
    <w:rsid w:val="0085781D"/>
    <w:rsid w:val="00863190"/>
    <w:rsid w:val="00863496"/>
    <w:rsid w:val="00864FFA"/>
    <w:rsid w:val="0086542B"/>
    <w:rsid w:val="00865CA5"/>
    <w:rsid w:val="0086622F"/>
    <w:rsid w:val="00866958"/>
    <w:rsid w:val="00866D96"/>
    <w:rsid w:val="00867243"/>
    <w:rsid w:val="00867312"/>
    <w:rsid w:val="0086747A"/>
    <w:rsid w:val="0087024C"/>
    <w:rsid w:val="00870B41"/>
    <w:rsid w:val="008719FA"/>
    <w:rsid w:val="00871B16"/>
    <w:rsid w:val="008749F8"/>
    <w:rsid w:val="008814A9"/>
    <w:rsid w:val="008838B0"/>
    <w:rsid w:val="00883D99"/>
    <w:rsid w:val="008845C4"/>
    <w:rsid w:val="00884CBA"/>
    <w:rsid w:val="008850F0"/>
    <w:rsid w:val="0088592B"/>
    <w:rsid w:val="00886221"/>
    <w:rsid w:val="0088628B"/>
    <w:rsid w:val="0088685F"/>
    <w:rsid w:val="00886FCE"/>
    <w:rsid w:val="00887E24"/>
    <w:rsid w:val="00892ADF"/>
    <w:rsid w:val="00893623"/>
    <w:rsid w:val="008939C9"/>
    <w:rsid w:val="00894648"/>
    <w:rsid w:val="008953F5"/>
    <w:rsid w:val="00895503"/>
    <w:rsid w:val="00895769"/>
    <w:rsid w:val="00895DF8"/>
    <w:rsid w:val="00897BDD"/>
    <w:rsid w:val="008A1733"/>
    <w:rsid w:val="008A1BC7"/>
    <w:rsid w:val="008A1F9B"/>
    <w:rsid w:val="008A4998"/>
    <w:rsid w:val="008A620A"/>
    <w:rsid w:val="008A7094"/>
    <w:rsid w:val="008B1964"/>
    <w:rsid w:val="008B1A90"/>
    <w:rsid w:val="008B238D"/>
    <w:rsid w:val="008B3899"/>
    <w:rsid w:val="008B51C5"/>
    <w:rsid w:val="008B7418"/>
    <w:rsid w:val="008B795A"/>
    <w:rsid w:val="008C0D3F"/>
    <w:rsid w:val="008C1B24"/>
    <w:rsid w:val="008C27D7"/>
    <w:rsid w:val="008C4F14"/>
    <w:rsid w:val="008C4F74"/>
    <w:rsid w:val="008C7CCE"/>
    <w:rsid w:val="008D0087"/>
    <w:rsid w:val="008D5B1D"/>
    <w:rsid w:val="008D71BA"/>
    <w:rsid w:val="008D7A37"/>
    <w:rsid w:val="008E27E5"/>
    <w:rsid w:val="008E2B1A"/>
    <w:rsid w:val="008E5B97"/>
    <w:rsid w:val="008E6693"/>
    <w:rsid w:val="008E6BDB"/>
    <w:rsid w:val="008E7C8B"/>
    <w:rsid w:val="008F1083"/>
    <w:rsid w:val="008F2570"/>
    <w:rsid w:val="008F398B"/>
    <w:rsid w:val="008F51E4"/>
    <w:rsid w:val="008F5748"/>
    <w:rsid w:val="008F7900"/>
    <w:rsid w:val="008F7E1C"/>
    <w:rsid w:val="0090220A"/>
    <w:rsid w:val="00904558"/>
    <w:rsid w:val="0090468D"/>
    <w:rsid w:val="00906A98"/>
    <w:rsid w:val="00906DE2"/>
    <w:rsid w:val="009077A1"/>
    <w:rsid w:val="00907FA9"/>
    <w:rsid w:val="009117F4"/>
    <w:rsid w:val="00911EFC"/>
    <w:rsid w:val="00912775"/>
    <w:rsid w:val="009132D8"/>
    <w:rsid w:val="00913F7D"/>
    <w:rsid w:val="00914C27"/>
    <w:rsid w:val="00915BBC"/>
    <w:rsid w:val="00917126"/>
    <w:rsid w:val="00920309"/>
    <w:rsid w:val="00920393"/>
    <w:rsid w:val="00920459"/>
    <w:rsid w:val="00921263"/>
    <w:rsid w:val="009217DB"/>
    <w:rsid w:val="00921B78"/>
    <w:rsid w:val="00922DDC"/>
    <w:rsid w:val="00923DC6"/>
    <w:rsid w:val="0092495E"/>
    <w:rsid w:val="009260C3"/>
    <w:rsid w:val="009264F0"/>
    <w:rsid w:val="009304AB"/>
    <w:rsid w:val="00930CB9"/>
    <w:rsid w:val="009316B4"/>
    <w:rsid w:val="009319D6"/>
    <w:rsid w:val="00932269"/>
    <w:rsid w:val="0093254A"/>
    <w:rsid w:val="00932F14"/>
    <w:rsid w:val="00934B82"/>
    <w:rsid w:val="009358B1"/>
    <w:rsid w:val="00935938"/>
    <w:rsid w:val="00936F2D"/>
    <w:rsid w:val="00937104"/>
    <w:rsid w:val="0093715C"/>
    <w:rsid w:val="0094039E"/>
    <w:rsid w:val="009408E6"/>
    <w:rsid w:val="00941627"/>
    <w:rsid w:val="00941AE4"/>
    <w:rsid w:val="00941D64"/>
    <w:rsid w:val="009440DB"/>
    <w:rsid w:val="0094410F"/>
    <w:rsid w:val="009444B5"/>
    <w:rsid w:val="00945C45"/>
    <w:rsid w:val="00950405"/>
    <w:rsid w:val="00952783"/>
    <w:rsid w:val="00956A8F"/>
    <w:rsid w:val="00956B16"/>
    <w:rsid w:val="0095785E"/>
    <w:rsid w:val="009611A6"/>
    <w:rsid w:val="0096324C"/>
    <w:rsid w:val="00965ADE"/>
    <w:rsid w:val="00965F03"/>
    <w:rsid w:val="00967A38"/>
    <w:rsid w:val="009706AA"/>
    <w:rsid w:val="009722B3"/>
    <w:rsid w:val="00972A60"/>
    <w:rsid w:val="00973571"/>
    <w:rsid w:val="00974AB6"/>
    <w:rsid w:val="0097659D"/>
    <w:rsid w:val="00976FAC"/>
    <w:rsid w:val="009778D4"/>
    <w:rsid w:val="00980E6F"/>
    <w:rsid w:val="00983032"/>
    <w:rsid w:val="009842EF"/>
    <w:rsid w:val="0098644E"/>
    <w:rsid w:val="00987655"/>
    <w:rsid w:val="009907E1"/>
    <w:rsid w:val="009914EC"/>
    <w:rsid w:val="009917B1"/>
    <w:rsid w:val="00992875"/>
    <w:rsid w:val="00993A86"/>
    <w:rsid w:val="009940DB"/>
    <w:rsid w:val="00994247"/>
    <w:rsid w:val="009954D4"/>
    <w:rsid w:val="009A1C8E"/>
    <w:rsid w:val="009A1F5D"/>
    <w:rsid w:val="009A25A4"/>
    <w:rsid w:val="009A2C6A"/>
    <w:rsid w:val="009A2DCF"/>
    <w:rsid w:val="009A3D4D"/>
    <w:rsid w:val="009A541A"/>
    <w:rsid w:val="009A56FD"/>
    <w:rsid w:val="009A695C"/>
    <w:rsid w:val="009B121D"/>
    <w:rsid w:val="009B249C"/>
    <w:rsid w:val="009B2658"/>
    <w:rsid w:val="009B2E5F"/>
    <w:rsid w:val="009B34BE"/>
    <w:rsid w:val="009B38CE"/>
    <w:rsid w:val="009B6124"/>
    <w:rsid w:val="009B7901"/>
    <w:rsid w:val="009C1B26"/>
    <w:rsid w:val="009C7BF7"/>
    <w:rsid w:val="009D12F5"/>
    <w:rsid w:val="009D3B74"/>
    <w:rsid w:val="009D73D7"/>
    <w:rsid w:val="009D76D2"/>
    <w:rsid w:val="009D76E8"/>
    <w:rsid w:val="009E086D"/>
    <w:rsid w:val="009E1819"/>
    <w:rsid w:val="009E203D"/>
    <w:rsid w:val="009E20AB"/>
    <w:rsid w:val="009E3150"/>
    <w:rsid w:val="009E3D55"/>
    <w:rsid w:val="009F14EB"/>
    <w:rsid w:val="009F2038"/>
    <w:rsid w:val="009F2B44"/>
    <w:rsid w:val="009F4CFB"/>
    <w:rsid w:val="009F4E78"/>
    <w:rsid w:val="009F55AF"/>
    <w:rsid w:val="00A02A92"/>
    <w:rsid w:val="00A032FB"/>
    <w:rsid w:val="00A12161"/>
    <w:rsid w:val="00A14B71"/>
    <w:rsid w:val="00A17511"/>
    <w:rsid w:val="00A20A69"/>
    <w:rsid w:val="00A21050"/>
    <w:rsid w:val="00A21691"/>
    <w:rsid w:val="00A227D2"/>
    <w:rsid w:val="00A230A4"/>
    <w:rsid w:val="00A25362"/>
    <w:rsid w:val="00A256A3"/>
    <w:rsid w:val="00A27064"/>
    <w:rsid w:val="00A278CB"/>
    <w:rsid w:val="00A27D31"/>
    <w:rsid w:val="00A30047"/>
    <w:rsid w:val="00A30D0F"/>
    <w:rsid w:val="00A313FB"/>
    <w:rsid w:val="00A316E1"/>
    <w:rsid w:val="00A33AFF"/>
    <w:rsid w:val="00A34B5A"/>
    <w:rsid w:val="00A34E1D"/>
    <w:rsid w:val="00A35131"/>
    <w:rsid w:val="00A35794"/>
    <w:rsid w:val="00A36991"/>
    <w:rsid w:val="00A36D32"/>
    <w:rsid w:val="00A37BFC"/>
    <w:rsid w:val="00A40683"/>
    <w:rsid w:val="00A40F3D"/>
    <w:rsid w:val="00A41967"/>
    <w:rsid w:val="00A41DC6"/>
    <w:rsid w:val="00A43475"/>
    <w:rsid w:val="00A45994"/>
    <w:rsid w:val="00A47C93"/>
    <w:rsid w:val="00A5010D"/>
    <w:rsid w:val="00A532BB"/>
    <w:rsid w:val="00A55CC2"/>
    <w:rsid w:val="00A57D26"/>
    <w:rsid w:val="00A6004A"/>
    <w:rsid w:val="00A60AA2"/>
    <w:rsid w:val="00A60D8A"/>
    <w:rsid w:val="00A62306"/>
    <w:rsid w:val="00A62A58"/>
    <w:rsid w:val="00A62C28"/>
    <w:rsid w:val="00A62ECD"/>
    <w:rsid w:val="00A6366B"/>
    <w:rsid w:val="00A64375"/>
    <w:rsid w:val="00A6516D"/>
    <w:rsid w:val="00A656A9"/>
    <w:rsid w:val="00A6588A"/>
    <w:rsid w:val="00A65BB5"/>
    <w:rsid w:val="00A65F71"/>
    <w:rsid w:val="00A66C33"/>
    <w:rsid w:val="00A67B21"/>
    <w:rsid w:val="00A7083E"/>
    <w:rsid w:val="00A72E98"/>
    <w:rsid w:val="00A74097"/>
    <w:rsid w:val="00A754BD"/>
    <w:rsid w:val="00A77BAF"/>
    <w:rsid w:val="00A807BA"/>
    <w:rsid w:val="00A80BD4"/>
    <w:rsid w:val="00A83CF1"/>
    <w:rsid w:val="00A84107"/>
    <w:rsid w:val="00A85B89"/>
    <w:rsid w:val="00A91935"/>
    <w:rsid w:val="00A9204A"/>
    <w:rsid w:val="00A921AB"/>
    <w:rsid w:val="00A9266E"/>
    <w:rsid w:val="00A92AA0"/>
    <w:rsid w:val="00A92C36"/>
    <w:rsid w:val="00A95C55"/>
    <w:rsid w:val="00A95E33"/>
    <w:rsid w:val="00AA03A8"/>
    <w:rsid w:val="00AA0F07"/>
    <w:rsid w:val="00AA28D8"/>
    <w:rsid w:val="00AA6AC3"/>
    <w:rsid w:val="00AA732B"/>
    <w:rsid w:val="00AB0AE6"/>
    <w:rsid w:val="00AB1992"/>
    <w:rsid w:val="00AB1BB5"/>
    <w:rsid w:val="00AB1C36"/>
    <w:rsid w:val="00AB23D1"/>
    <w:rsid w:val="00AB2691"/>
    <w:rsid w:val="00AB33EE"/>
    <w:rsid w:val="00AB3729"/>
    <w:rsid w:val="00AB401B"/>
    <w:rsid w:val="00AB40C4"/>
    <w:rsid w:val="00AB6DCF"/>
    <w:rsid w:val="00AC120C"/>
    <w:rsid w:val="00AC1B0C"/>
    <w:rsid w:val="00AC21CE"/>
    <w:rsid w:val="00AC2DE6"/>
    <w:rsid w:val="00AC3F41"/>
    <w:rsid w:val="00AC56B9"/>
    <w:rsid w:val="00AC77D3"/>
    <w:rsid w:val="00AD05EC"/>
    <w:rsid w:val="00AD0619"/>
    <w:rsid w:val="00AD085F"/>
    <w:rsid w:val="00AD153A"/>
    <w:rsid w:val="00AD1C68"/>
    <w:rsid w:val="00AD2792"/>
    <w:rsid w:val="00AD39A6"/>
    <w:rsid w:val="00AD41C9"/>
    <w:rsid w:val="00AD6141"/>
    <w:rsid w:val="00AD7BDB"/>
    <w:rsid w:val="00AE0B7C"/>
    <w:rsid w:val="00AE244C"/>
    <w:rsid w:val="00AE4065"/>
    <w:rsid w:val="00AE6BEB"/>
    <w:rsid w:val="00AE733A"/>
    <w:rsid w:val="00AF1825"/>
    <w:rsid w:val="00AF1843"/>
    <w:rsid w:val="00AF3628"/>
    <w:rsid w:val="00AF4B70"/>
    <w:rsid w:val="00AF4F26"/>
    <w:rsid w:val="00AF5656"/>
    <w:rsid w:val="00B016ED"/>
    <w:rsid w:val="00B03036"/>
    <w:rsid w:val="00B04F5C"/>
    <w:rsid w:val="00B050E7"/>
    <w:rsid w:val="00B0667D"/>
    <w:rsid w:val="00B067AB"/>
    <w:rsid w:val="00B114AB"/>
    <w:rsid w:val="00B11770"/>
    <w:rsid w:val="00B13929"/>
    <w:rsid w:val="00B13FA2"/>
    <w:rsid w:val="00B15301"/>
    <w:rsid w:val="00B1643E"/>
    <w:rsid w:val="00B17080"/>
    <w:rsid w:val="00B23D22"/>
    <w:rsid w:val="00B26CF5"/>
    <w:rsid w:val="00B30F7B"/>
    <w:rsid w:val="00B3189B"/>
    <w:rsid w:val="00B32FA9"/>
    <w:rsid w:val="00B34999"/>
    <w:rsid w:val="00B354E2"/>
    <w:rsid w:val="00B35D2F"/>
    <w:rsid w:val="00B35DCA"/>
    <w:rsid w:val="00B36A49"/>
    <w:rsid w:val="00B36BDB"/>
    <w:rsid w:val="00B402FA"/>
    <w:rsid w:val="00B409E7"/>
    <w:rsid w:val="00B40BD6"/>
    <w:rsid w:val="00B421EA"/>
    <w:rsid w:val="00B42BB8"/>
    <w:rsid w:val="00B42ED7"/>
    <w:rsid w:val="00B44DF5"/>
    <w:rsid w:val="00B45AAD"/>
    <w:rsid w:val="00B46397"/>
    <w:rsid w:val="00B50808"/>
    <w:rsid w:val="00B508FC"/>
    <w:rsid w:val="00B5179F"/>
    <w:rsid w:val="00B52244"/>
    <w:rsid w:val="00B5236D"/>
    <w:rsid w:val="00B5256A"/>
    <w:rsid w:val="00B5256F"/>
    <w:rsid w:val="00B551B6"/>
    <w:rsid w:val="00B556CE"/>
    <w:rsid w:val="00B57191"/>
    <w:rsid w:val="00B57792"/>
    <w:rsid w:val="00B6183A"/>
    <w:rsid w:val="00B6352A"/>
    <w:rsid w:val="00B6497B"/>
    <w:rsid w:val="00B64D8F"/>
    <w:rsid w:val="00B65149"/>
    <w:rsid w:val="00B66C40"/>
    <w:rsid w:val="00B74ACA"/>
    <w:rsid w:val="00B74BB9"/>
    <w:rsid w:val="00B7668E"/>
    <w:rsid w:val="00B76996"/>
    <w:rsid w:val="00B76A83"/>
    <w:rsid w:val="00B776E5"/>
    <w:rsid w:val="00B802E1"/>
    <w:rsid w:val="00B810A3"/>
    <w:rsid w:val="00B8317D"/>
    <w:rsid w:val="00B839AA"/>
    <w:rsid w:val="00B83C67"/>
    <w:rsid w:val="00B851F2"/>
    <w:rsid w:val="00B85821"/>
    <w:rsid w:val="00B85A9E"/>
    <w:rsid w:val="00B906BB"/>
    <w:rsid w:val="00B92D33"/>
    <w:rsid w:val="00B93153"/>
    <w:rsid w:val="00B974A1"/>
    <w:rsid w:val="00B9776C"/>
    <w:rsid w:val="00B97D17"/>
    <w:rsid w:val="00BA0F4D"/>
    <w:rsid w:val="00BA503B"/>
    <w:rsid w:val="00BA78F7"/>
    <w:rsid w:val="00BB0523"/>
    <w:rsid w:val="00BB0A0A"/>
    <w:rsid w:val="00BB298A"/>
    <w:rsid w:val="00BB4F2E"/>
    <w:rsid w:val="00BB5DDE"/>
    <w:rsid w:val="00BC048A"/>
    <w:rsid w:val="00BC2205"/>
    <w:rsid w:val="00BC253F"/>
    <w:rsid w:val="00BC365A"/>
    <w:rsid w:val="00BC3A79"/>
    <w:rsid w:val="00BD151B"/>
    <w:rsid w:val="00BD29E3"/>
    <w:rsid w:val="00BD38BA"/>
    <w:rsid w:val="00BD49C6"/>
    <w:rsid w:val="00BD6EEC"/>
    <w:rsid w:val="00BD783F"/>
    <w:rsid w:val="00BD7911"/>
    <w:rsid w:val="00BE0E2F"/>
    <w:rsid w:val="00BE11EA"/>
    <w:rsid w:val="00BE1C9A"/>
    <w:rsid w:val="00BE43C0"/>
    <w:rsid w:val="00BE4775"/>
    <w:rsid w:val="00BE4B17"/>
    <w:rsid w:val="00BE726E"/>
    <w:rsid w:val="00BE79F6"/>
    <w:rsid w:val="00BF66DE"/>
    <w:rsid w:val="00BF700D"/>
    <w:rsid w:val="00BF72AC"/>
    <w:rsid w:val="00BF74F1"/>
    <w:rsid w:val="00BF7DC3"/>
    <w:rsid w:val="00C008B3"/>
    <w:rsid w:val="00C00BD7"/>
    <w:rsid w:val="00C01923"/>
    <w:rsid w:val="00C024C4"/>
    <w:rsid w:val="00C03E94"/>
    <w:rsid w:val="00C04643"/>
    <w:rsid w:val="00C0488E"/>
    <w:rsid w:val="00C05A7D"/>
    <w:rsid w:val="00C06436"/>
    <w:rsid w:val="00C0647A"/>
    <w:rsid w:val="00C064DF"/>
    <w:rsid w:val="00C071E4"/>
    <w:rsid w:val="00C1338A"/>
    <w:rsid w:val="00C135D4"/>
    <w:rsid w:val="00C13E7D"/>
    <w:rsid w:val="00C144B9"/>
    <w:rsid w:val="00C14AB7"/>
    <w:rsid w:val="00C177C3"/>
    <w:rsid w:val="00C2176F"/>
    <w:rsid w:val="00C221C9"/>
    <w:rsid w:val="00C24C71"/>
    <w:rsid w:val="00C251F7"/>
    <w:rsid w:val="00C276B0"/>
    <w:rsid w:val="00C277E8"/>
    <w:rsid w:val="00C279AC"/>
    <w:rsid w:val="00C27EC8"/>
    <w:rsid w:val="00C3088B"/>
    <w:rsid w:val="00C30BF3"/>
    <w:rsid w:val="00C31FD6"/>
    <w:rsid w:val="00C32261"/>
    <w:rsid w:val="00C32C0B"/>
    <w:rsid w:val="00C32EEB"/>
    <w:rsid w:val="00C35E7F"/>
    <w:rsid w:val="00C365C4"/>
    <w:rsid w:val="00C37422"/>
    <w:rsid w:val="00C3793A"/>
    <w:rsid w:val="00C401D8"/>
    <w:rsid w:val="00C40797"/>
    <w:rsid w:val="00C43938"/>
    <w:rsid w:val="00C43B0C"/>
    <w:rsid w:val="00C43B37"/>
    <w:rsid w:val="00C4514F"/>
    <w:rsid w:val="00C46632"/>
    <w:rsid w:val="00C46A96"/>
    <w:rsid w:val="00C4767C"/>
    <w:rsid w:val="00C51DDF"/>
    <w:rsid w:val="00C52081"/>
    <w:rsid w:val="00C529F7"/>
    <w:rsid w:val="00C53201"/>
    <w:rsid w:val="00C543D4"/>
    <w:rsid w:val="00C56594"/>
    <w:rsid w:val="00C57168"/>
    <w:rsid w:val="00C60926"/>
    <w:rsid w:val="00C60EE9"/>
    <w:rsid w:val="00C61B92"/>
    <w:rsid w:val="00C62006"/>
    <w:rsid w:val="00C63893"/>
    <w:rsid w:val="00C64E6A"/>
    <w:rsid w:val="00C661D1"/>
    <w:rsid w:val="00C67F44"/>
    <w:rsid w:val="00C70339"/>
    <w:rsid w:val="00C70842"/>
    <w:rsid w:val="00C70902"/>
    <w:rsid w:val="00C737C6"/>
    <w:rsid w:val="00C73F8E"/>
    <w:rsid w:val="00C74FF6"/>
    <w:rsid w:val="00C758ED"/>
    <w:rsid w:val="00C777AC"/>
    <w:rsid w:val="00C8021D"/>
    <w:rsid w:val="00C80B3E"/>
    <w:rsid w:val="00C81671"/>
    <w:rsid w:val="00C81961"/>
    <w:rsid w:val="00C819FE"/>
    <w:rsid w:val="00C81D39"/>
    <w:rsid w:val="00C86935"/>
    <w:rsid w:val="00C91BDA"/>
    <w:rsid w:val="00C94CD6"/>
    <w:rsid w:val="00C97B1B"/>
    <w:rsid w:val="00CA369C"/>
    <w:rsid w:val="00CB05F9"/>
    <w:rsid w:val="00CB1383"/>
    <w:rsid w:val="00CB3C9D"/>
    <w:rsid w:val="00CC008E"/>
    <w:rsid w:val="00CC1297"/>
    <w:rsid w:val="00CC4810"/>
    <w:rsid w:val="00CC5907"/>
    <w:rsid w:val="00CC6D98"/>
    <w:rsid w:val="00CD1543"/>
    <w:rsid w:val="00CD4E25"/>
    <w:rsid w:val="00CD6A6E"/>
    <w:rsid w:val="00CD6BA8"/>
    <w:rsid w:val="00CD7315"/>
    <w:rsid w:val="00CE12FC"/>
    <w:rsid w:val="00CE18AA"/>
    <w:rsid w:val="00CE1DF5"/>
    <w:rsid w:val="00CE1F88"/>
    <w:rsid w:val="00CE30CE"/>
    <w:rsid w:val="00CE603E"/>
    <w:rsid w:val="00CE6AA5"/>
    <w:rsid w:val="00CE6FF3"/>
    <w:rsid w:val="00CF2B61"/>
    <w:rsid w:val="00CF3B5F"/>
    <w:rsid w:val="00CF445C"/>
    <w:rsid w:val="00CF5317"/>
    <w:rsid w:val="00CF5531"/>
    <w:rsid w:val="00CF6053"/>
    <w:rsid w:val="00D01013"/>
    <w:rsid w:val="00D04B3D"/>
    <w:rsid w:val="00D05C95"/>
    <w:rsid w:val="00D05ECC"/>
    <w:rsid w:val="00D131A2"/>
    <w:rsid w:val="00D132F3"/>
    <w:rsid w:val="00D1339A"/>
    <w:rsid w:val="00D1577D"/>
    <w:rsid w:val="00D1645E"/>
    <w:rsid w:val="00D20112"/>
    <w:rsid w:val="00D23828"/>
    <w:rsid w:val="00D23B73"/>
    <w:rsid w:val="00D26FB9"/>
    <w:rsid w:val="00D301D3"/>
    <w:rsid w:val="00D3106A"/>
    <w:rsid w:val="00D31C8C"/>
    <w:rsid w:val="00D353BA"/>
    <w:rsid w:val="00D35580"/>
    <w:rsid w:val="00D36520"/>
    <w:rsid w:val="00D3667E"/>
    <w:rsid w:val="00D36B1E"/>
    <w:rsid w:val="00D37AE8"/>
    <w:rsid w:val="00D37D78"/>
    <w:rsid w:val="00D37FD5"/>
    <w:rsid w:val="00D41243"/>
    <w:rsid w:val="00D41A8A"/>
    <w:rsid w:val="00D4220B"/>
    <w:rsid w:val="00D42810"/>
    <w:rsid w:val="00D43602"/>
    <w:rsid w:val="00D44563"/>
    <w:rsid w:val="00D45118"/>
    <w:rsid w:val="00D45119"/>
    <w:rsid w:val="00D479F9"/>
    <w:rsid w:val="00D50E66"/>
    <w:rsid w:val="00D50ECA"/>
    <w:rsid w:val="00D51E4B"/>
    <w:rsid w:val="00D523AD"/>
    <w:rsid w:val="00D525F7"/>
    <w:rsid w:val="00D52FE3"/>
    <w:rsid w:val="00D533FA"/>
    <w:rsid w:val="00D53E22"/>
    <w:rsid w:val="00D55D85"/>
    <w:rsid w:val="00D56F85"/>
    <w:rsid w:val="00D573DF"/>
    <w:rsid w:val="00D60922"/>
    <w:rsid w:val="00D61813"/>
    <w:rsid w:val="00D6244C"/>
    <w:rsid w:val="00D62DB2"/>
    <w:rsid w:val="00D63F55"/>
    <w:rsid w:val="00D649FC"/>
    <w:rsid w:val="00D6676D"/>
    <w:rsid w:val="00D667F8"/>
    <w:rsid w:val="00D67FAA"/>
    <w:rsid w:val="00D738B7"/>
    <w:rsid w:val="00D73E66"/>
    <w:rsid w:val="00D7582E"/>
    <w:rsid w:val="00D75F57"/>
    <w:rsid w:val="00D80FF2"/>
    <w:rsid w:val="00D810C6"/>
    <w:rsid w:val="00D82E61"/>
    <w:rsid w:val="00D830F5"/>
    <w:rsid w:val="00D856B8"/>
    <w:rsid w:val="00D876C9"/>
    <w:rsid w:val="00D87914"/>
    <w:rsid w:val="00D90392"/>
    <w:rsid w:val="00D92851"/>
    <w:rsid w:val="00D9487C"/>
    <w:rsid w:val="00D95176"/>
    <w:rsid w:val="00D96834"/>
    <w:rsid w:val="00D96B71"/>
    <w:rsid w:val="00D97E57"/>
    <w:rsid w:val="00DA17AF"/>
    <w:rsid w:val="00DA1B42"/>
    <w:rsid w:val="00DA2060"/>
    <w:rsid w:val="00DA2403"/>
    <w:rsid w:val="00DA616C"/>
    <w:rsid w:val="00DA659F"/>
    <w:rsid w:val="00DA6739"/>
    <w:rsid w:val="00DA686A"/>
    <w:rsid w:val="00DA71B5"/>
    <w:rsid w:val="00DA7228"/>
    <w:rsid w:val="00DB1264"/>
    <w:rsid w:val="00DB24EC"/>
    <w:rsid w:val="00DB365B"/>
    <w:rsid w:val="00DB4627"/>
    <w:rsid w:val="00DB4DE9"/>
    <w:rsid w:val="00DB5315"/>
    <w:rsid w:val="00DC0D45"/>
    <w:rsid w:val="00DC26F4"/>
    <w:rsid w:val="00DC4523"/>
    <w:rsid w:val="00DC6151"/>
    <w:rsid w:val="00DC6C7E"/>
    <w:rsid w:val="00DC7312"/>
    <w:rsid w:val="00DC7959"/>
    <w:rsid w:val="00DC7A95"/>
    <w:rsid w:val="00DD0B0B"/>
    <w:rsid w:val="00DD0DCA"/>
    <w:rsid w:val="00DD2F71"/>
    <w:rsid w:val="00DD33FD"/>
    <w:rsid w:val="00DD4623"/>
    <w:rsid w:val="00DD5583"/>
    <w:rsid w:val="00DD6107"/>
    <w:rsid w:val="00DD639E"/>
    <w:rsid w:val="00DD7274"/>
    <w:rsid w:val="00DE160E"/>
    <w:rsid w:val="00DE3072"/>
    <w:rsid w:val="00DE6E17"/>
    <w:rsid w:val="00DF1899"/>
    <w:rsid w:val="00DF3712"/>
    <w:rsid w:val="00DF4D88"/>
    <w:rsid w:val="00DF5595"/>
    <w:rsid w:val="00DF5A0C"/>
    <w:rsid w:val="00DF7827"/>
    <w:rsid w:val="00E01226"/>
    <w:rsid w:val="00E0519E"/>
    <w:rsid w:val="00E05B1A"/>
    <w:rsid w:val="00E0753A"/>
    <w:rsid w:val="00E10058"/>
    <w:rsid w:val="00E11FDD"/>
    <w:rsid w:val="00E12865"/>
    <w:rsid w:val="00E1303D"/>
    <w:rsid w:val="00E1326B"/>
    <w:rsid w:val="00E14855"/>
    <w:rsid w:val="00E14ED8"/>
    <w:rsid w:val="00E1768C"/>
    <w:rsid w:val="00E22AE8"/>
    <w:rsid w:val="00E23931"/>
    <w:rsid w:val="00E25423"/>
    <w:rsid w:val="00E26A4C"/>
    <w:rsid w:val="00E278E9"/>
    <w:rsid w:val="00E30364"/>
    <w:rsid w:val="00E30E00"/>
    <w:rsid w:val="00E31491"/>
    <w:rsid w:val="00E31905"/>
    <w:rsid w:val="00E31DDE"/>
    <w:rsid w:val="00E322A1"/>
    <w:rsid w:val="00E33369"/>
    <w:rsid w:val="00E336D5"/>
    <w:rsid w:val="00E3430A"/>
    <w:rsid w:val="00E34B1D"/>
    <w:rsid w:val="00E364DF"/>
    <w:rsid w:val="00E41309"/>
    <w:rsid w:val="00E42322"/>
    <w:rsid w:val="00E42AD3"/>
    <w:rsid w:val="00E4463F"/>
    <w:rsid w:val="00E466E0"/>
    <w:rsid w:val="00E4697A"/>
    <w:rsid w:val="00E502A6"/>
    <w:rsid w:val="00E52050"/>
    <w:rsid w:val="00E545D6"/>
    <w:rsid w:val="00E54626"/>
    <w:rsid w:val="00E546D3"/>
    <w:rsid w:val="00E54AA4"/>
    <w:rsid w:val="00E56B7B"/>
    <w:rsid w:val="00E6061E"/>
    <w:rsid w:val="00E73F1A"/>
    <w:rsid w:val="00E757D2"/>
    <w:rsid w:val="00E777B4"/>
    <w:rsid w:val="00E77E89"/>
    <w:rsid w:val="00E801F3"/>
    <w:rsid w:val="00E80337"/>
    <w:rsid w:val="00E80C1C"/>
    <w:rsid w:val="00E81754"/>
    <w:rsid w:val="00E81BA8"/>
    <w:rsid w:val="00E8269D"/>
    <w:rsid w:val="00E83E82"/>
    <w:rsid w:val="00E84B92"/>
    <w:rsid w:val="00E85FB8"/>
    <w:rsid w:val="00E86157"/>
    <w:rsid w:val="00E87501"/>
    <w:rsid w:val="00E90C95"/>
    <w:rsid w:val="00E90DF2"/>
    <w:rsid w:val="00E93301"/>
    <w:rsid w:val="00E9448F"/>
    <w:rsid w:val="00E955C1"/>
    <w:rsid w:val="00E96BFC"/>
    <w:rsid w:val="00EA26EC"/>
    <w:rsid w:val="00EA388E"/>
    <w:rsid w:val="00EA3FC5"/>
    <w:rsid w:val="00EA6007"/>
    <w:rsid w:val="00EB0C51"/>
    <w:rsid w:val="00EB1CB3"/>
    <w:rsid w:val="00EB2053"/>
    <w:rsid w:val="00EB20D3"/>
    <w:rsid w:val="00EB38DC"/>
    <w:rsid w:val="00EB6FF2"/>
    <w:rsid w:val="00EC09A8"/>
    <w:rsid w:val="00EC34D8"/>
    <w:rsid w:val="00EC47C9"/>
    <w:rsid w:val="00EC6B56"/>
    <w:rsid w:val="00EC7EEF"/>
    <w:rsid w:val="00EC7FC4"/>
    <w:rsid w:val="00ED136C"/>
    <w:rsid w:val="00ED167F"/>
    <w:rsid w:val="00ED1BA8"/>
    <w:rsid w:val="00ED2A3C"/>
    <w:rsid w:val="00ED311A"/>
    <w:rsid w:val="00ED39EF"/>
    <w:rsid w:val="00ED3C9F"/>
    <w:rsid w:val="00ED6FA1"/>
    <w:rsid w:val="00EE01A1"/>
    <w:rsid w:val="00EE151E"/>
    <w:rsid w:val="00EE38CD"/>
    <w:rsid w:val="00EE5A72"/>
    <w:rsid w:val="00EE6C2A"/>
    <w:rsid w:val="00EE6DD0"/>
    <w:rsid w:val="00EE7A7B"/>
    <w:rsid w:val="00EF0729"/>
    <w:rsid w:val="00EF0DD3"/>
    <w:rsid w:val="00EF0E89"/>
    <w:rsid w:val="00EF1197"/>
    <w:rsid w:val="00EF1A8A"/>
    <w:rsid w:val="00EF2084"/>
    <w:rsid w:val="00EF20D1"/>
    <w:rsid w:val="00EF425F"/>
    <w:rsid w:val="00EF6400"/>
    <w:rsid w:val="00EF7950"/>
    <w:rsid w:val="00F0180F"/>
    <w:rsid w:val="00F02F42"/>
    <w:rsid w:val="00F045A2"/>
    <w:rsid w:val="00F04DA4"/>
    <w:rsid w:val="00F05547"/>
    <w:rsid w:val="00F059D4"/>
    <w:rsid w:val="00F069D0"/>
    <w:rsid w:val="00F07CDB"/>
    <w:rsid w:val="00F12330"/>
    <w:rsid w:val="00F126D8"/>
    <w:rsid w:val="00F13101"/>
    <w:rsid w:val="00F15893"/>
    <w:rsid w:val="00F15FC9"/>
    <w:rsid w:val="00F171F8"/>
    <w:rsid w:val="00F17FB9"/>
    <w:rsid w:val="00F223A3"/>
    <w:rsid w:val="00F225B0"/>
    <w:rsid w:val="00F22F56"/>
    <w:rsid w:val="00F24080"/>
    <w:rsid w:val="00F24C31"/>
    <w:rsid w:val="00F25E02"/>
    <w:rsid w:val="00F277D3"/>
    <w:rsid w:val="00F3252A"/>
    <w:rsid w:val="00F3508D"/>
    <w:rsid w:val="00F35B49"/>
    <w:rsid w:val="00F36F31"/>
    <w:rsid w:val="00F422D0"/>
    <w:rsid w:val="00F42A14"/>
    <w:rsid w:val="00F42BC5"/>
    <w:rsid w:val="00F42D8F"/>
    <w:rsid w:val="00F4301D"/>
    <w:rsid w:val="00F43BF6"/>
    <w:rsid w:val="00F43E0D"/>
    <w:rsid w:val="00F44588"/>
    <w:rsid w:val="00F50688"/>
    <w:rsid w:val="00F50B3A"/>
    <w:rsid w:val="00F53D07"/>
    <w:rsid w:val="00F560C9"/>
    <w:rsid w:val="00F562C5"/>
    <w:rsid w:val="00F6021A"/>
    <w:rsid w:val="00F6145E"/>
    <w:rsid w:val="00F62C58"/>
    <w:rsid w:val="00F62D44"/>
    <w:rsid w:val="00F66507"/>
    <w:rsid w:val="00F66896"/>
    <w:rsid w:val="00F670EA"/>
    <w:rsid w:val="00F67C0E"/>
    <w:rsid w:val="00F7009B"/>
    <w:rsid w:val="00F7063B"/>
    <w:rsid w:val="00F71647"/>
    <w:rsid w:val="00F73036"/>
    <w:rsid w:val="00F7385F"/>
    <w:rsid w:val="00F74246"/>
    <w:rsid w:val="00F74E33"/>
    <w:rsid w:val="00F74E72"/>
    <w:rsid w:val="00F7737C"/>
    <w:rsid w:val="00F80F2B"/>
    <w:rsid w:val="00F81EFD"/>
    <w:rsid w:val="00F82F07"/>
    <w:rsid w:val="00F82F30"/>
    <w:rsid w:val="00F84607"/>
    <w:rsid w:val="00F8466E"/>
    <w:rsid w:val="00F846F2"/>
    <w:rsid w:val="00F853C9"/>
    <w:rsid w:val="00F87B08"/>
    <w:rsid w:val="00F90A06"/>
    <w:rsid w:val="00F90C61"/>
    <w:rsid w:val="00F913C6"/>
    <w:rsid w:val="00F9287A"/>
    <w:rsid w:val="00F92BF9"/>
    <w:rsid w:val="00F93C1D"/>
    <w:rsid w:val="00F9554D"/>
    <w:rsid w:val="00F9566D"/>
    <w:rsid w:val="00F9584A"/>
    <w:rsid w:val="00F959AA"/>
    <w:rsid w:val="00F959B1"/>
    <w:rsid w:val="00F96C87"/>
    <w:rsid w:val="00F96E14"/>
    <w:rsid w:val="00FA04B0"/>
    <w:rsid w:val="00FA2B75"/>
    <w:rsid w:val="00FA3309"/>
    <w:rsid w:val="00FA3875"/>
    <w:rsid w:val="00FA3EB6"/>
    <w:rsid w:val="00FA5261"/>
    <w:rsid w:val="00FA5BF6"/>
    <w:rsid w:val="00FA6453"/>
    <w:rsid w:val="00FA6F74"/>
    <w:rsid w:val="00FA74DB"/>
    <w:rsid w:val="00FA78F6"/>
    <w:rsid w:val="00FB26C7"/>
    <w:rsid w:val="00FB4116"/>
    <w:rsid w:val="00FB4389"/>
    <w:rsid w:val="00FB4665"/>
    <w:rsid w:val="00FB4D3D"/>
    <w:rsid w:val="00FB5EC5"/>
    <w:rsid w:val="00FB6188"/>
    <w:rsid w:val="00FB67D3"/>
    <w:rsid w:val="00FC0410"/>
    <w:rsid w:val="00FC0703"/>
    <w:rsid w:val="00FC08A0"/>
    <w:rsid w:val="00FC2CB8"/>
    <w:rsid w:val="00FC3B7B"/>
    <w:rsid w:val="00FC3DCF"/>
    <w:rsid w:val="00FC3F95"/>
    <w:rsid w:val="00FC4A4D"/>
    <w:rsid w:val="00FC6E68"/>
    <w:rsid w:val="00FD01D0"/>
    <w:rsid w:val="00FD0922"/>
    <w:rsid w:val="00FD153F"/>
    <w:rsid w:val="00FD2AAD"/>
    <w:rsid w:val="00FD4137"/>
    <w:rsid w:val="00FD7DC1"/>
    <w:rsid w:val="00FE0433"/>
    <w:rsid w:val="00FE1580"/>
    <w:rsid w:val="00FE19E8"/>
    <w:rsid w:val="00FE1DCB"/>
    <w:rsid w:val="00FE2C03"/>
    <w:rsid w:val="00FE351B"/>
    <w:rsid w:val="00FE442F"/>
    <w:rsid w:val="00FE5CCB"/>
    <w:rsid w:val="00FF5128"/>
    <w:rsid w:val="010D5FC6"/>
    <w:rsid w:val="01497E69"/>
    <w:rsid w:val="01964C25"/>
    <w:rsid w:val="019A10AD"/>
    <w:rsid w:val="01B554DA"/>
    <w:rsid w:val="01DE7DDA"/>
    <w:rsid w:val="02132F88"/>
    <w:rsid w:val="023D1C67"/>
    <w:rsid w:val="027E2E67"/>
    <w:rsid w:val="028711AE"/>
    <w:rsid w:val="02B03562"/>
    <w:rsid w:val="02B7449E"/>
    <w:rsid w:val="02DF1744"/>
    <w:rsid w:val="02FA25DD"/>
    <w:rsid w:val="03050966"/>
    <w:rsid w:val="03086AA8"/>
    <w:rsid w:val="0332621A"/>
    <w:rsid w:val="034F1CBC"/>
    <w:rsid w:val="03597303"/>
    <w:rsid w:val="0394749D"/>
    <w:rsid w:val="039931C3"/>
    <w:rsid w:val="03F4527E"/>
    <w:rsid w:val="04581CB1"/>
    <w:rsid w:val="046E6DDE"/>
    <w:rsid w:val="04CB3A39"/>
    <w:rsid w:val="05240D20"/>
    <w:rsid w:val="05804160"/>
    <w:rsid w:val="05B31BD4"/>
    <w:rsid w:val="05C173E2"/>
    <w:rsid w:val="05D648D1"/>
    <w:rsid w:val="05FA6D67"/>
    <w:rsid w:val="067231FC"/>
    <w:rsid w:val="067F3EDF"/>
    <w:rsid w:val="06947C77"/>
    <w:rsid w:val="06C13B3D"/>
    <w:rsid w:val="06D53013"/>
    <w:rsid w:val="06D66EBD"/>
    <w:rsid w:val="074E2EF7"/>
    <w:rsid w:val="07841360"/>
    <w:rsid w:val="07862691"/>
    <w:rsid w:val="07916A2C"/>
    <w:rsid w:val="07945C38"/>
    <w:rsid w:val="07974FDA"/>
    <w:rsid w:val="07DC2DF1"/>
    <w:rsid w:val="080C528C"/>
    <w:rsid w:val="08206F8D"/>
    <w:rsid w:val="08280AFE"/>
    <w:rsid w:val="08687028"/>
    <w:rsid w:val="0882554E"/>
    <w:rsid w:val="08A66183"/>
    <w:rsid w:val="08CF1E16"/>
    <w:rsid w:val="097906FF"/>
    <w:rsid w:val="09EC3E56"/>
    <w:rsid w:val="0A1E3055"/>
    <w:rsid w:val="0A7964DD"/>
    <w:rsid w:val="0A906F7E"/>
    <w:rsid w:val="0AA945EE"/>
    <w:rsid w:val="0AB9737B"/>
    <w:rsid w:val="0B237D6B"/>
    <w:rsid w:val="0BBA75EC"/>
    <w:rsid w:val="0BC56621"/>
    <w:rsid w:val="0BDB744F"/>
    <w:rsid w:val="0C36713E"/>
    <w:rsid w:val="0C4E2B00"/>
    <w:rsid w:val="0CE9794A"/>
    <w:rsid w:val="0CF72B0B"/>
    <w:rsid w:val="0CFF2DC7"/>
    <w:rsid w:val="0D4C6E9E"/>
    <w:rsid w:val="0D5560E2"/>
    <w:rsid w:val="0D9F74A7"/>
    <w:rsid w:val="0DD27F39"/>
    <w:rsid w:val="0DDC291F"/>
    <w:rsid w:val="0E0D22D8"/>
    <w:rsid w:val="0E3971B2"/>
    <w:rsid w:val="0E417312"/>
    <w:rsid w:val="0E4B1F3E"/>
    <w:rsid w:val="0E87741A"/>
    <w:rsid w:val="0E8A4D0F"/>
    <w:rsid w:val="0EAB2129"/>
    <w:rsid w:val="0F7C20CB"/>
    <w:rsid w:val="0F825E34"/>
    <w:rsid w:val="0F987405"/>
    <w:rsid w:val="0FCE4BFF"/>
    <w:rsid w:val="10046849"/>
    <w:rsid w:val="103C77A5"/>
    <w:rsid w:val="114C66F9"/>
    <w:rsid w:val="11591684"/>
    <w:rsid w:val="117A5014"/>
    <w:rsid w:val="11994833"/>
    <w:rsid w:val="11CB3AC2"/>
    <w:rsid w:val="11D16BFE"/>
    <w:rsid w:val="12037F06"/>
    <w:rsid w:val="123D1C47"/>
    <w:rsid w:val="12AF0734"/>
    <w:rsid w:val="12D82E39"/>
    <w:rsid w:val="13091D9A"/>
    <w:rsid w:val="13646C99"/>
    <w:rsid w:val="138E4DA7"/>
    <w:rsid w:val="13A36AC4"/>
    <w:rsid w:val="13BC4AF1"/>
    <w:rsid w:val="143F1847"/>
    <w:rsid w:val="14467430"/>
    <w:rsid w:val="147B3ED4"/>
    <w:rsid w:val="1481490C"/>
    <w:rsid w:val="14C15595"/>
    <w:rsid w:val="14DB717C"/>
    <w:rsid w:val="15043E74"/>
    <w:rsid w:val="150E5B3A"/>
    <w:rsid w:val="15A00DC2"/>
    <w:rsid w:val="162437A1"/>
    <w:rsid w:val="16461969"/>
    <w:rsid w:val="167A1613"/>
    <w:rsid w:val="16A14DF1"/>
    <w:rsid w:val="16BC2FBC"/>
    <w:rsid w:val="16C73E99"/>
    <w:rsid w:val="17287901"/>
    <w:rsid w:val="172B4F0E"/>
    <w:rsid w:val="1858256E"/>
    <w:rsid w:val="1887214B"/>
    <w:rsid w:val="18910E95"/>
    <w:rsid w:val="18952734"/>
    <w:rsid w:val="19636CD6"/>
    <w:rsid w:val="19B709D4"/>
    <w:rsid w:val="1A085187"/>
    <w:rsid w:val="1AD82DAC"/>
    <w:rsid w:val="1B8151F1"/>
    <w:rsid w:val="1BEE3761"/>
    <w:rsid w:val="1BFA6B11"/>
    <w:rsid w:val="1C701AD8"/>
    <w:rsid w:val="1C864BDA"/>
    <w:rsid w:val="1C916599"/>
    <w:rsid w:val="1C9B22E3"/>
    <w:rsid w:val="1CA357E6"/>
    <w:rsid w:val="1CA6079E"/>
    <w:rsid w:val="1D1D46D4"/>
    <w:rsid w:val="1D9E02DC"/>
    <w:rsid w:val="1DD957B9"/>
    <w:rsid w:val="1E48483A"/>
    <w:rsid w:val="1E913D35"/>
    <w:rsid w:val="1EB167ED"/>
    <w:rsid w:val="1F201BC5"/>
    <w:rsid w:val="201029DD"/>
    <w:rsid w:val="20114149"/>
    <w:rsid w:val="20210D51"/>
    <w:rsid w:val="202B6C96"/>
    <w:rsid w:val="2057416C"/>
    <w:rsid w:val="20713A86"/>
    <w:rsid w:val="210F3D49"/>
    <w:rsid w:val="21157E5B"/>
    <w:rsid w:val="213435FE"/>
    <w:rsid w:val="2145138A"/>
    <w:rsid w:val="215B55C2"/>
    <w:rsid w:val="21787EF5"/>
    <w:rsid w:val="21B06830"/>
    <w:rsid w:val="21D97B35"/>
    <w:rsid w:val="22010E3A"/>
    <w:rsid w:val="22295C85"/>
    <w:rsid w:val="229944D5"/>
    <w:rsid w:val="22F4274D"/>
    <w:rsid w:val="22F7032D"/>
    <w:rsid w:val="233D496E"/>
    <w:rsid w:val="23592931"/>
    <w:rsid w:val="235F0836"/>
    <w:rsid w:val="236C49D9"/>
    <w:rsid w:val="23B26890"/>
    <w:rsid w:val="23BFE574"/>
    <w:rsid w:val="23D20CE0"/>
    <w:rsid w:val="24082954"/>
    <w:rsid w:val="244B3A6E"/>
    <w:rsid w:val="244D65B8"/>
    <w:rsid w:val="24594AFC"/>
    <w:rsid w:val="24E7713A"/>
    <w:rsid w:val="24EB5E30"/>
    <w:rsid w:val="252235A1"/>
    <w:rsid w:val="255319AC"/>
    <w:rsid w:val="25A65A51"/>
    <w:rsid w:val="25B6156F"/>
    <w:rsid w:val="260234C2"/>
    <w:rsid w:val="26123616"/>
    <w:rsid w:val="26263692"/>
    <w:rsid w:val="268E4E7C"/>
    <w:rsid w:val="269009DE"/>
    <w:rsid w:val="26976211"/>
    <w:rsid w:val="27364CF9"/>
    <w:rsid w:val="27411C43"/>
    <w:rsid w:val="2758054F"/>
    <w:rsid w:val="27A06811"/>
    <w:rsid w:val="27D53B09"/>
    <w:rsid w:val="27E40FE2"/>
    <w:rsid w:val="280B37BA"/>
    <w:rsid w:val="28336463"/>
    <w:rsid w:val="28754330"/>
    <w:rsid w:val="288B2282"/>
    <w:rsid w:val="28A6600A"/>
    <w:rsid w:val="28C52BC1"/>
    <w:rsid w:val="29414BF6"/>
    <w:rsid w:val="299946CD"/>
    <w:rsid w:val="29BB3FC4"/>
    <w:rsid w:val="29F23E8A"/>
    <w:rsid w:val="2A4B183C"/>
    <w:rsid w:val="2AB347FA"/>
    <w:rsid w:val="2AC03708"/>
    <w:rsid w:val="2AC54021"/>
    <w:rsid w:val="2ACF5F79"/>
    <w:rsid w:val="2AE5754B"/>
    <w:rsid w:val="2AF0129F"/>
    <w:rsid w:val="2B367DA6"/>
    <w:rsid w:val="2B45448D"/>
    <w:rsid w:val="2B783856"/>
    <w:rsid w:val="2BF0173C"/>
    <w:rsid w:val="2C0A6A50"/>
    <w:rsid w:val="2C2C2F57"/>
    <w:rsid w:val="2C7D1A05"/>
    <w:rsid w:val="2CA94A2E"/>
    <w:rsid w:val="2CB1385F"/>
    <w:rsid w:val="2D0D2D89"/>
    <w:rsid w:val="2D0F4C79"/>
    <w:rsid w:val="2D8017AD"/>
    <w:rsid w:val="2DCD0BCB"/>
    <w:rsid w:val="2DFA4D8F"/>
    <w:rsid w:val="2E086516"/>
    <w:rsid w:val="2E596835"/>
    <w:rsid w:val="2E7F3B7F"/>
    <w:rsid w:val="2E9D1EEA"/>
    <w:rsid w:val="2E9F64AA"/>
    <w:rsid w:val="2EE62E8A"/>
    <w:rsid w:val="2EF266DA"/>
    <w:rsid w:val="2F1155E3"/>
    <w:rsid w:val="30351FA2"/>
    <w:rsid w:val="305748BF"/>
    <w:rsid w:val="305F1EED"/>
    <w:rsid w:val="30D82826"/>
    <w:rsid w:val="31801BC4"/>
    <w:rsid w:val="320D5AD1"/>
    <w:rsid w:val="32FD564D"/>
    <w:rsid w:val="33146D08"/>
    <w:rsid w:val="331F7372"/>
    <w:rsid w:val="336105A2"/>
    <w:rsid w:val="339F792D"/>
    <w:rsid w:val="33D068BE"/>
    <w:rsid w:val="340F73E6"/>
    <w:rsid w:val="34237336"/>
    <w:rsid w:val="342B67D5"/>
    <w:rsid w:val="34993154"/>
    <w:rsid w:val="35366BDD"/>
    <w:rsid w:val="354004A5"/>
    <w:rsid w:val="35D1164F"/>
    <w:rsid w:val="360B53C3"/>
    <w:rsid w:val="36104342"/>
    <w:rsid w:val="366C6C5A"/>
    <w:rsid w:val="36730100"/>
    <w:rsid w:val="36B204FD"/>
    <w:rsid w:val="36E52680"/>
    <w:rsid w:val="375D2B5F"/>
    <w:rsid w:val="383A26CD"/>
    <w:rsid w:val="38824658"/>
    <w:rsid w:val="38D04FBC"/>
    <w:rsid w:val="38F35529"/>
    <w:rsid w:val="391D5F56"/>
    <w:rsid w:val="393D0552"/>
    <w:rsid w:val="395D3275"/>
    <w:rsid w:val="39871AD4"/>
    <w:rsid w:val="39C742BF"/>
    <w:rsid w:val="39EF72AE"/>
    <w:rsid w:val="3A106F28"/>
    <w:rsid w:val="3A351C05"/>
    <w:rsid w:val="3A9956AF"/>
    <w:rsid w:val="3ACA7CA6"/>
    <w:rsid w:val="3ADE5D64"/>
    <w:rsid w:val="3AEB5815"/>
    <w:rsid w:val="3BCA3F69"/>
    <w:rsid w:val="3BE706E7"/>
    <w:rsid w:val="3D0A66DE"/>
    <w:rsid w:val="3D242123"/>
    <w:rsid w:val="3D2739F3"/>
    <w:rsid w:val="3D98044D"/>
    <w:rsid w:val="3DC15BF5"/>
    <w:rsid w:val="3DEC2546"/>
    <w:rsid w:val="3E0F0CDE"/>
    <w:rsid w:val="3E6D3687"/>
    <w:rsid w:val="3E8D5AD7"/>
    <w:rsid w:val="3EAF07F3"/>
    <w:rsid w:val="3F2A77CA"/>
    <w:rsid w:val="3F8E58E1"/>
    <w:rsid w:val="3FA32025"/>
    <w:rsid w:val="3FAA090B"/>
    <w:rsid w:val="40046FD9"/>
    <w:rsid w:val="401069C0"/>
    <w:rsid w:val="40454BDA"/>
    <w:rsid w:val="407857B3"/>
    <w:rsid w:val="40A1394B"/>
    <w:rsid w:val="40AE4353"/>
    <w:rsid w:val="41412BA9"/>
    <w:rsid w:val="41834389"/>
    <w:rsid w:val="41BB6E63"/>
    <w:rsid w:val="42030C49"/>
    <w:rsid w:val="42185761"/>
    <w:rsid w:val="42213106"/>
    <w:rsid w:val="4246491B"/>
    <w:rsid w:val="426B6885"/>
    <w:rsid w:val="426E3E72"/>
    <w:rsid w:val="428B4190"/>
    <w:rsid w:val="42C20C92"/>
    <w:rsid w:val="42E20F30"/>
    <w:rsid w:val="42F04887"/>
    <w:rsid w:val="436241DA"/>
    <w:rsid w:val="43AD4526"/>
    <w:rsid w:val="43BD0E45"/>
    <w:rsid w:val="43D8485D"/>
    <w:rsid w:val="43EA577A"/>
    <w:rsid w:val="43EC25C1"/>
    <w:rsid w:val="44240418"/>
    <w:rsid w:val="442E1B0B"/>
    <w:rsid w:val="44C71617"/>
    <w:rsid w:val="44CA3993"/>
    <w:rsid w:val="44D31ED2"/>
    <w:rsid w:val="4517434D"/>
    <w:rsid w:val="45464C32"/>
    <w:rsid w:val="45667C6E"/>
    <w:rsid w:val="45D60E05"/>
    <w:rsid w:val="45EF5E53"/>
    <w:rsid w:val="45F12DF0"/>
    <w:rsid w:val="46340F2E"/>
    <w:rsid w:val="463B406B"/>
    <w:rsid w:val="463F307D"/>
    <w:rsid w:val="46C20892"/>
    <w:rsid w:val="475E6263"/>
    <w:rsid w:val="4816734E"/>
    <w:rsid w:val="482B01E3"/>
    <w:rsid w:val="48442155"/>
    <w:rsid w:val="48AC1FAB"/>
    <w:rsid w:val="48CC1C5B"/>
    <w:rsid w:val="48FD385A"/>
    <w:rsid w:val="49BD6AFB"/>
    <w:rsid w:val="49D46CB0"/>
    <w:rsid w:val="49DE7B2F"/>
    <w:rsid w:val="49E63634"/>
    <w:rsid w:val="49E8254F"/>
    <w:rsid w:val="49EB5702"/>
    <w:rsid w:val="49EB5DA8"/>
    <w:rsid w:val="4A174DEF"/>
    <w:rsid w:val="4A424B4F"/>
    <w:rsid w:val="4A4A4B72"/>
    <w:rsid w:val="4A4D2F1D"/>
    <w:rsid w:val="4A7C6395"/>
    <w:rsid w:val="4B737DA5"/>
    <w:rsid w:val="4BA90C7D"/>
    <w:rsid w:val="4BC81760"/>
    <w:rsid w:val="4BD25472"/>
    <w:rsid w:val="4BE27F8A"/>
    <w:rsid w:val="4BFC24EE"/>
    <w:rsid w:val="4C147660"/>
    <w:rsid w:val="4C8D1398"/>
    <w:rsid w:val="4DBC3273"/>
    <w:rsid w:val="4E1601C6"/>
    <w:rsid w:val="4E5F151E"/>
    <w:rsid w:val="4EC51BF8"/>
    <w:rsid w:val="4ED96FA8"/>
    <w:rsid w:val="4EFB3105"/>
    <w:rsid w:val="4F304989"/>
    <w:rsid w:val="4F310F5E"/>
    <w:rsid w:val="4F400944"/>
    <w:rsid w:val="4F652159"/>
    <w:rsid w:val="4F7505EE"/>
    <w:rsid w:val="4F8D61C2"/>
    <w:rsid w:val="4FA577CF"/>
    <w:rsid w:val="4FA79881"/>
    <w:rsid w:val="4FE85F4A"/>
    <w:rsid w:val="4FF85042"/>
    <w:rsid w:val="501A1195"/>
    <w:rsid w:val="50226DEB"/>
    <w:rsid w:val="50544147"/>
    <w:rsid w:val="50CA3E1C"/>
    <w:rsid w:val="50DD762C"/>
    <w:rsid w:val="51A81EAB"/>
    <w:rsid w:val="52102850"/>
    <w:rsid w:val="521340EE"/>
    <w:rsid w:val="521A722A"/>
    <w:rsid w:val="5237266C"/>
    <w:rsid w:val="5334256E"/>
    <w:rsid w:val="5334431C"/>
    <w:rsid w:val="53414AC0"/>
    <w:rsid w:val="537E1A3B"/>
    <w:rsid w:val="53851A96"/>
    <w:rsid w:val="53947D10"/>
    <w:rsid w:val="54767967"/>
    <w:rsid w:val="54F975CB"/>
    <w:rsid w:val="55986DE4"/>
    <w:rsid w:val="560C1580"/>
    <w:rsid w:val="56CF43F9"/>
    <w:rsid w:val="56FC0396"/>
    <w:rsid w:val="57430FD1"/>
    <w:rsid w:val="576A0C54"/>
    <w:rsid w:val="57947A7F"/>
    <w:rsid w:val="579E63A0"/>
    <w:rsid w:val="57B343A9"/>
    <w:rsid w:val="57F10A2D"/>
    <w:rsid w:val="582E3A30"/>
    <w:rsid w:val="587113ED"/>
    <w:rsid w:val="587830F6"/>
    <w:rsid w:val="58C6010C"/>
    <w:rsid w:val="58DC348C"/>
    <w:rsid w:val="591E5852"/>
    <w:rsid w:val="59287642"/>
    <w:rsid w:val="59500A07"/>
    <w:rsid w:val="59575208"/>
    <w:rsid w:val="59836F6B"/>
    <w:rsid w:val="5992478B"/>
    <w:rsid w:val="59972C8B"/>
    <w:rsid w:val="5999312B"/>
    <w:rsid w:val="5A1804F3"/>
    <w:rsid w:val="5A1C77F0"/>
    <w:rsid w:val="5A1D6FB5"/>
    <w:rsid w:val="5A233ECA"/>
    <w:rsid w:val="5A3B798D"/>
    <w:rsid w:val="5A443A58"/>
    <w:rsid w:val="5A536AA7"/>
    <w:rsid w:val="5C0D7FF6"/>
    <w:rsid w:val="5C69772C"/>
    <w:rsid w:val="5CA37A3F"/>
    <w:rsid w:val="5D0C268D"/>
    <w:rsid w:val="5D236F12"/>
    <w:rsid w:val="5D395350"/>
    <w:rsid w:val="5D736761"/>
    <w:rsid w:val="5E1307ED"/>
    <w:rsid w:val="5E535E90"/>
    <w:rsid w:val="5E815B58"/>
    <w:rsid w:val="5F1D035A"/>
    <w:rsid w:val="5F27742B"/>
    <w:rsid w:val="5F563A58"/>
    <w:rsid w:val="5F593A88"/>
    <w:rsid w:val="5F9F5213"/>
    <w:rsid w:val="5FF53085"/>
    <w:rsid w:val="606C1599"/>
    <w:rsid w:val="60A96349"/>
    <w:rsid w:val="6126799A"/>
    <w:rsid w:val="61273712"/>
    <w:rsid w:val="616131D1"/>
    <w:rsid w:val="61785D1C"/>
    <w:rsid w:val="61D70C94"/>
    <w:rsid w:val="61E33ADD"/>
    <w:rsid w:val="620B6AB5"/>
    <w:rsid w:val="621E0006"/>
    <w:rsid w:val="623054B0"/>
    <w:rsid w:val="625422E5"/>
    <w:rsid w:val="62634455"/>
    <w:rsid w:val="62EB24E4"/>
    <w:rsid w:val="63116428"/>
    <w:rsid w:val="631A1780"/>
    <w:rsid w:val="63FD659C"/>
    <w:rsid w:val="641B57B0"/>
    <w:rsid w:val="64414AEB"/>
    <w:rsid w:val="64601415"/>
    <w:rsid w:val="646E447D"/>
    <w:rsid w:val="64AD3F2E"/>
    <w:rsid w:val="65476131"/>
    <w:rsid w:val="65654809"/>
    <w:rsid w:val="65867EED"/>
    <w:rsid w:val="65D8147F"/>
    <w:rsid w:val="65FA13F5"/>
    <w:rsid w:val="6681444C"/>
    <w:rsid w:val="6692787F"/>
    <w:rsid w:val="669C425A"/>
    <w:rsid w:val="66EA1469"/>
    <w:rsid w:val="673152EA"/>
    <w:rsid w:val="673C6813"/>
    <w:rsid w:val="67A27113"/>
    <w:rsid w:val="67A94E81"/>
    <w:rsid w:val="67DD1876"/>
    <w:rsid w:val="67ED628D"/>
    <w:rsid w:val="6818218E"/>
    <w:rsid w:val="687B77F4"/>
    <w:rsid w:val="68914293"/>
    <w:rsid w:val="68995944"/>
    <w:rsid w:val="68F25ADB"/>
    <w:rsid w:val="68FE11FC"/>
    <w:rsid w:val="69233924"/>
    <w:rsid w:val="69351AA8"/>
    <w:rsid w:val="69E421A0"/>
    <w:rsid w:val="6A4B3FF0"/>
    <w:rsid w:val="6A755292"/>
    <w:rsid w:val="6A9B311B"/>
    <w:rsid w:val="6ABC72AD"/>
    <w:rsid w:val="6AC01CFC"/>
    <w:rsid w:val="6AC843A1"/>
    <w:rsid w:val="6AC8443C"/>
    <w:rsid w:val="6AD46DF5"/>
    <w:rsid w:val="6B3E64A3"/>
    <w:rsid w:val="6B680BAF"/>
    <w:rsid w:val="6BCD3FCF"/>
    <w:rsid w:val="6BDB3A77"/>
    <w:rsid w:val="6C6D154A"/>
    <w:rsid w:val="6C6D7E09"/>
    <w:rsid w:val="6C703C63"/>
    <w:rsid w:val="6C89702F"/>
    <w:rsid w:val="6CAB51F7"/>
    <w:rsid w:val="6CD00777"/>
    <w:rsid w:val="6D1C0FD5"/>
    <w:rsid w:val="6D5060F5"/>
    <w:rsid w:val="6D513FF0"/>
    <w:rsid w:val="6D610C89"/>
    <w:rsid w:val="6D6D6950"/>
    <w:rsid w:val="6D836174"/>
    <w:rsid w:val="6D9B388E"/>
    <w:rsid w:val="6DAA3701"/>
    <w:rsid w:val="6DE27C96"/>
    <w:rsid w:val="6DEA1D4F"/>
    <w:rsid w:val="6E07016B"/>
    <w:rsid w:val="6E5124EB"/>
    <w:rsid w:val="6E55366C"/>
    <w:rsid w:val="6E5B66A4"/>
    <w:rsid w:val="6EE42C42"/>
    <w:rsid w:val="6F260569"/>
    <w:rsid w:val="6F285225"/>
    <w:rsid w:val="6F416A7B"/>
    <w:rsid w:val="6FB46AB9"/>
    <w:rsid w:val="6FC211D5"/>
    <w:rsid w:val="6FCE3184"/>
    <w:rsid w:val="6FD92432"/>
    <w:rsid w:val="6FE949B4"/>
    <w:rsid w:val="702C23B3"/>
    <w:rsid w:val="711D41EA"/>
    <w:rsid w:val="711F0605"/>
    <w:rsid w:val="712416A4"/>
    <w:rsid w:val="71431C7C"/>
    <w:rsid w:val="716254FF"/>
    <w:rsid w:val="71F05A8B"/>
    <w:rsid w:val="72032534"/>
    <w:rsid w:val="72277779"/>
    <w:rsid w:val="722C6DDA"/>
    <w:rsid w:val="724E66E8"/>
    <w:rsid w:val="725D7774"/>
    <w:rsid w:val="72695938"/>
    <w:rsid w:val="7280199C"/>
    <w:rsid w:val="731B4151"/>
    <w:rsid w:val="738D5656"/>
    <w:rsid w:val="73A350ED"/>
    <w:rsid w:val="74237697"/>
    <w:rsid w:val="745D14CD"/>
    <w:rsid w:val="748702F8"/>
    <w:rsid w:val="74AC1D04"/>
    <w:rsid w:val="74B96C79"/>
    <w:rsid w:val="74DA6B83"/>
    <w:rsid w:val="74DD038A"/>
    <w:rsid w:val="74F93906"/>
    <w:rsid w:val="74F93E98"/>
    <w:rsid w:val="75272ABC"/>
    <w:rsid w:val="75475012"/>
    <w:rsid w:val="75811530"/>
    <w:rsid w:val="75F80517"/>
    <w:rsid w:val="766D5315"/>
    <w:rsid w:val="769413F2"/>
    <w:rsid w:val="76EA2DC0"/>
    <w:rsid w:val="77161E07"/>
    <w:rsid w:val="775F37A4"/>
    <w:rsid w:val="77C2468B"/>
    <w:rsid w:val="77DA1086"/>
    <w:rsid w:val="77F008AA"/>
    <w:rsid w:val="77F36241"/>
    <w:rsid w:val="77F978B3"/>
    <w:rsid w:val="7847777E"/>
    <w:rsid w:val="784F3822"/>
    <w:rsid w:val="786A4B63"/>
    <w:rsid w:val="78852DA0"/>
    <w:rsid w:val="788D5058"/>
    <w:rsid w:val="78A24821"/>
    <w:rsid w:val="78DE6954"/>
    <w:rsid w:val="78F92189"/>
    <w:rsid w:val="78F9378E"/>
    <w:rsid w:val="792E3438"/>
    <w:rsid w:val="79386064"/>
    <w:rsid w:val="794543C1"/>
    <w:rsid w:val="79C21DD2"/>
    <w:rsid w:val="79D4304F"/>
    <w:rsid w:val="7A293BFF"/>
    <w:rsid w:val="7A3C1B84"/>
    <w:rsid w:val="7A85352B"/>
    <w:rsid w:val="7AE127DC"/>
    <w:rsid w:val="7B0205C1"/>
    <w:rsid w:val="7B4A61EC"/>
    <w:rsid w:val="7B882437"/>
    <w:rsid w:val="7BBF2A6D"/>
    <w:rsid w:val="7BF23F9B"/>
    <w:rsid w:val="7C4A4D85"/>
    <w:rsid w:val="7C7460BD"/>
    <w:rsid w:val="7CA542A9"/>
    <w:rsid w:val="7CBC0D5A"/>
    <w:rsid w:val="7CC678C0"/>
    <w:rsid w:val="7CD36BD6"/>
    <w:rsid w:val="7CFB2CB7"/>
    <w:rsid w:val="7D494CE4"/>
    <w:rsid w:val="7D567401"/>
    <w:rsid w:val="7D9817C8"/>
    <w:rsid w:val="7DF6029C"/>
    <w:rsid w:val="7EB5136A"/>
    <w:rsid w:val="7F482116"/>
    <w:rsid w:val="7F74591C"/>
    <w:rsid w:val="7FEFE6A4"/>
    <w:rsid w:val="7FF32CE5"/>
    <w:rsid w:val="BFFBFCE7"/>
    <w:rsid w:val="FD4F0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numPr>
        <w:ilvl w:val="0"/>
        <w:numId w:val="1"/>
      </w:numPr>
      <w:tabs>
        <w:tab w:val="left" w:pos="425"/>
      </w:tabs>
      <w:spacing w:before="120" w:line="360" w:lineRule="auto"/>
      <w:outlineLvl w:val="0"/>
    </w:pPr>
    <w:rPr>
      <w:rFonts w:ascii="黑体" w:hAnsi="黑体" w:eastAsia="仿宋"/>
      <w:b/>
      <w:bCs/>
      <w:kern w:val="44"/>
      <w:sz w:val="32"/>
      <w:szCs w:val="32"/>
    </w:rPr>
  </w:style>
  <w:style w:type="paragraph" w:styleId="4">
    <w:name w:val="heading 2"/>
    <w:basedOn w:val="1"/>
    <w:next w:val="1"/>
    <w:link w:val="45"/>
    <w:qFormat/>
    <w:uiPriority w:val="0"/>
    <w:pPr>
      <w:keepNext/>
      <w:keepLines/>
      <w:widowControl w:val="0"/>
      <w:numPr>
        <w:ilvl w:val="1"/>
        <w:numId w:val="1"/>
      </w:numPr>
      <w:tabs>
        <w:tab w:val="left" w:pos="567"/>
        <w:tab w:val="left" w:pos="709"/>
        <w:tab w:val="left" w:pos="850"/>
      </w:tabs>
      <w:spacing w:line="360" w:lineRule="auto"/>
      <w:outlineLvl w:val="1"/>
    </w:pPr>
    <w:rPr>
      <w:rFonts w:ascii="宋体" w:hAnsi="宋体"/>
      <w:b/>
      <w:bCs/>
      <w:sz w:val="28"/>
      <w:szCs w:val="28"/>
    </w:rPr>
  </w:style>
  <w:style w:type="paragraph" w:styleId="5">
    <w:name w:val="heading 3"/>
    <w:basedOn w:val="1"/>
    <w:next w:val="1"/>
    <w:link w:val="46"/>
    <w:qFormat/>
    <w:uiPriority w:val="0"/>
    <w:pPr>
      <w:keepNext/>
      <w:widowControl w:val="0"/>
      <w:numPr>
        <w:ilvl w:val="2"/>
        <w:numId w:val="1"/>
      </w:numPr>
      <w:tabs>
        <w:tab w:val="left" w:pos="0"/>
        <w:tab w:val="left" w:pos="709"/>
      </w:tabs>
      <w:spacing w:line="360" w:lineRule="auto"/>
      <w:outlineLvl w:val="2"/>
    </w:pPr>
    <w:rPr>
      <w:rFonts w:ascii="宋体" w:hAnsi="宋体" w:eastAsia="仿宋"/>
      <w:bCs/>
      <w:sz w:val="28"/>
      <w:szCs w:val="28"/>
    </w:rPr>
  </w:style>
  <w:style w:type="paragraph" w:styleId="6">
    <w:name w:val="heading 4"/>
    <w:basedOn w:val="1"/>
    <w:next w:val="1"/>
    <w:link w:val="47"/>
    <w:qFormat/>
    <w:uiPriority w:val="0"/>
    <w:pPr>
      <w:keepNext/>
      <w:keepLines/>
      <w:numPr>
        <w:ilvl w:val="3"/>
        <w:numId w:val="1"/>
      </w:numPr>
      <w:tabs>
        <w:tab w:val="left" w:pos="0"/>
      </w:tabs>
      <w:spacing w:before="100" w:beforeAutospacing="1" w:after="100" w:afterAutospacing="1" w:line="360" w:lineRule="auto"/>
      <w:outlineLvl w:val="3"/>
    </w:pPr>
    <w:rPr>
      <w:rFonts w:ascii="宋体" w:hAnsi="宋体"/>
      <w:b/>
      <w:bCs/>
      <w:sz w:val="32"/>
      <w:szCs w:val="32"/>
    </w:rPr>
  </w:style>
  <w:style w:type="paragraph" w:styleId="7">
    <w:name w:val="heading 5"/>
    <w:basedOn w:val="1"/>
    <w:next w:val="1"/>
    <w:link w:val="53"/>
    <w:unhideWhenUsed/>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4"/>
    <w:unhideWhenUsed/>
    <w:qFormat/>
    <w:uiPriority w:val="0"/>
    <w:pPr>
      <w:keepNext/>
      <w:keepLines/>
      <w:numPr>
        <w:ilvl w:val="5"/>
        <w:numId w:val="1"/>
      </w:numPr>
      <w:spacing w:before="240" w:after="64" w:line="320" w:lineRule="auto"/>
      <w:outlineLvl w:val="5"/>
    </w:pPr>
    <w:rPr>
      <w:rFonts w:ascii="Cambria" w:hAnsi="Cambria"/>
      <w:b/>
      <w:bCs/>
      <w:sz w:val="24"/>
    </w:rPr>
  </w:style>
  <w:style w:type="paragraph" w:styleId="9">
    <w:name w:val="heading 7"/>
    <w:basedOn w:val="1"/>
    <w:next w:val="1"/>
    <w:link w:val="55"/>
    <w:unhideWhenUsed/>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56"/>
    <w:unhideWhenUsed/>
    <w:qFormat/>
    <w:uiPriority w:val="0"/>
    <w:pPr>
      <w:keepNext/>
      <w:keepLines/>
      <w:numPr>
        <w:ilvl w:val="7"/>
        <w:numId w:val="1"/>
      </w:numPr>
      <w:spacing w:before="240" w:after="64" w:line="320" w:lineRule="auto"/>
      <w:outlineLvl w:val="7"/>
    </w:pPr>
    <w:rPr>
      <w:rFonts w:ascii="Cambria" w:hAnsi="Cambria"/>
      <w:sz w:val="24"/>
    </w:rPr>
  </w:style>
  <w:style w:type="paragraph" w:styleId="11">
    <w:name w:val="heading 9"/>
    <w:basedOn w:val="1"/>
    <w:next w:val="1"/>
    <w:link w:val="57"/>
    <w:unhideWhenUsed/>
    <w:qFormat/>
    <w:uiPriority w:val="0"/>
    <w:pPr>
      <w:keepNext/>
      <w:keepLines/>
      <w:numPr>
        <w:ilvl w:val="8"/>
        <w:numId w:val="1"/>
      </w:numPr>
      <w:spacing w:before="240" w:after="64" w:line="320" w:lineRule="auto"/>
      <w:outlineLvl w:val="8"/>
    </w:pPr>
    <w:rPr>
      <w:rFonts w:ascii="Cambria" w:hAnsi="Cambria"/>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1"/>
    <w:basedOn w:val="1"/>
    <w:qFormat/>
    <w:uiPriority w:val="0"/>
    <w:pPr>
      <w:spacing w:after="120"/>
      <w:ind w:left="420" w:leftChars="200"/>
    </w:pPr>
    <w:rPr>
      <w:rFonts w:cs="黑体"/>
    </w:rPr>
  </w:style>
  <w:style w:type="paragraph" w:styleId="12">
    <w:name w:val="toc 7"/>
    <w:basedOn w:val="1"/>
    <w:next w:val="1"/>
    <w:unhideWhenUsed/>
    <w:qFormat/>
    <w:uiPriority w:val="39"/>
    <w:pPr>
      <w:widowControl w:val="0"/>
      <w:ind w:left="2520" w:leftChars="1200"/>
      <w:jc w:val="both"/>
    </w:pPr>
    <w:rPr>
      <w:rFonts w:asciiTheme="minorHAnsi" w:hAnsiTheme="minorHAnsi" w:eastAsiaTheme="minorEastAsia" w:cstheme="minorBidi"/>
      <w:szCs w:val="22"/>
    </w:rPr>
  </w:style>
  <w:style w:type="paragraph" w:styleId="13">
    <w:name w:val="Normal Indent"/>
    <w:basedOn w:val="1"/>
    <w:next w:val="14"/>
    <w:link w:val="48"/>
    <w:qFormat/>
    <w:uiPriority w:val="0"/>
    <w:pPr>
      <w:spacing w:beforeLines="60" w:afterLines="60"/>
      <w:ind w:firstLine="256" w:firstLineChars="256"/>
    </w:pPr>
    <w:rPr>
      <w:rFonts w:ascii="宋体"/>
      <w:snapToGrid w:val="0"/>
      <w:kern w:val="0"/>
      <w:szCs w:val="20"/>
    </w:rPr>
  </w:style>
  <w:style w:type="paragraph" w:styleId="14">
    <w:name w:val="Body Text First Indent 2"/>
    <w:basedOn w:val="15"/>
    <w:next w:val="16"/>
    <w:link w:val="49"/>
    <w:qFormat/>
    <w:uiPriority w:val="0"/>
    <w:pPr>
      <w:spacing w:before="0" w:line="240" w:lineRule="auto"/>
      <w:ind w:firstLine="420" w:firstLineChars="200"/>
      <w:jc w:val="both"/>
    </w:pPr>
    <w:rPr>
      <w:b w:val="0"/>
      <w:sz w:val="21"/>
      <w:szCs w:val="24"/>
    </w:rPr>
  </w:style>
  <w:style w:type="paragraph" w:styleId="15">
    <w:name w:val="Body Text Indent"/>
    <w:basedOn w:val="1"/>
    <w:next w:val="13"/>
    <w:link w:val="50"/>
    <w:qFormat/>
    <w:uiPriority w:val="0"/>
    <w:pPr>
      <w:spacing w:before="200" w:after="120" w:line="0" w:lineRule="atLeast"/>
      <w:ind w:left="420" w:leftChars="200"/>
    </w:pPr>
    <w:rPr>
      <w:b/>
      <w:spacing w:val="10"/>
      <w:sz w:val="28"/>
      <w:szCs w:val="20"/>
    </w:rPr>
  </w:style>
  <w:style w:type="paragraph" w:styleId="16">
    <w:name w:val="Body Text First Indent"/>
    <w:basedOn w:val="1"/>
    <w:next w:val="13"/>
    <w:link w:val="69"/>
    <w:qFormat/>
    <w:uiPriority w:val="0"/>
    <w:pPr>
      <w:ind w:firstLine="100" w:firstLineChars="100"/>
    </w:pPr>
  </w:style>
  <w:style w:type="paragraph" w:styleId="17">
    <w:name w:val="caption"/>
    <w:basedOn w:val="1"/>
    <w:next w:val="1"/>
    <w:unhideWhenUsed/>
    <w:qFormat/>
    <w:uiPriority w:val="0"/>
    <w:rPr>
      <w:rFonts w:ascii="Cambria" w:hAnsi="Cambria" w:eastAsia="黑体"/>
      <w:sz w:val="20"/>
      <w:szCs w:val="20"/>
    </w:rPr>
  </w:style>
  <w:style w:type="paragraph" w:styleId="18">
    <w:name w:val="Document Map"/>
    <w:basedOn w:val="1"/>
    <w:link w:val="60"/>
    <w:semiHidden/>
    <w:qFormat/>
    <w:uiPriority w:val="99"/>
    <w:pPr>
      <w:shd w:val="clear" w:color="auto" w:fill="000080"/>
    </w:pPr>
  </w:style>
  <w:style w:type="paragraph" w:styleId="19">
    <w:name w:val="annotation text"/>
    <w:basedOn w:val="1"/>
    <w:link w:val="51"/>
    <w:qFormat/>
    <w:uiPriority w:val="0"/>
  </w:style>
  <w:style w:type="paragraph" w:styleId="20">
    <w:name w:val="Body Text"/>
    <w:basedOn w:val="1"/>
    <w:next w:val="21"/>
    <w:link w:val="68"/>
    <w:qFormat/>
    <w:uiPriority w:val="0"/>
    <w:pPr>
      <w:ind w:firstLine="420" w:firstLineChars="200"/>
    </w:pPr>
    <w:rPr>
      <w:rFonts w:eastAsia="仿宋"/>
      <w:sz w:val="28"/>
    </w:rPr>
  </w:style>
  <w:style w:type="paragraph" w:customStyle="1" w:styleId="2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2">
    <w:name w:val="toc 5"/>
    <w:basedOn w:val="1"/>
    <w:next w:val="1"/>
    <w:unhideWhenUsed/>
    <w:qFormat/>
    <w:uiPriority w:val="39"/>
    <w:pPr>
      <w:widowControl w:val="0"/>
      <w:ind w:left="1680" w:leftChars="800"/>
      <w:jc w:val="both"/>
    </w:pPr>
    <w:rPr>
      <w:rFonts w:asciiTheme="minorHAnsi" w:hAnsiTheme="minorHAnsi" w:eastAsiaTheme="minorEastAsia" w:cstheme="minorBidi"/>
      <w:szCs w:val="22"/>
    </w:rPr>
  </w:style>
  <w:style w:type="paragraph" w:styleId="23">
    <w:name w:val="toc 3"/>
    <w:basedOn w:val="1"/>
    <w:next w:val="1"/>
    <w:qFormat/>
    <w:uiPriority w:val="39"/>
    <w:pPr>
      <w:spacing w:line="240" w:lineRule="atLeast"/>
      <w:ind w:left="400"/>
    </w:pPr>
    <w:rPr>
      <w:rFonts w:eastAsia="仿宋"/>
      <w:iCs/>
      <w:snapToGrid w:val="0"/>
      <w:kern w:val="0"/>
    </w:rPr>
  </w:style>
  <w:style w:type="paragraph" w:styleId="24">
    <w:name w:val="Plain Text"/>
    <w:basedOn w:val="1"/>
    <w:link w:val="77"/>
    <w:qFormat/>
    <w:uiPriority w:val="0"/>
    <w:pPr>
      <w:widowControl w:val="0"/>
      <w:jc w:val="both"/>
    </w:pPr>
    <w:rPr>
      <w:rFonts w:ascii="宋体" w:hAnsi="Courier New"/>
      <w:szCs w:val="20"/>
    </w:rPr>
  </w:style>
  <w:style w:type="paragraph" w:styleId="25">
    <w:name w:val="toc 8"/>
    <w:basedOn w:val="1"/>
    <w:next w:val="1"/>
    <w:unhideWhenUsed/>
    <w:qFormat/>
    <w:uiPriority w:val="39"/>
    <w:pPr>
      <w:widowControl w:val="0"/>
      <w:ind w:left="2940" w:leftChars="1400"/>
      <w:jc w:val="both"/>
    </w:pPr>
    <w:rPr>
      <w:rFonts w:asciiTheme="minorHAnsi" w:hAnsiTheme="minorHAnsi" w:eastAsiaTheme="minorEastAsia" w:cstheme="minorBidi"/>
      <w:szCs w:val="22"/>
    </w:rPr>
  </w:style>
  <w:style w:type="paragraph" w:styleId="26">
    <w:name w:val="Body Text Indent 2"/>
    <w:basedOn w:val="1"/>
    <w:link w:val="74"/>
    <w:qFormat/>
    <w:uiPriority w:val="0"/>
    <w:pPr>
      <w:spacing w:after="120" w:line="480" w:lineRule="auto"/>
      <w:ind w:left="420" w:leftChars="200"/>
    </w:pPr>
  </w:style>
  <w:style w:type="paragraph" w:styleId="27">
    <w:name w:val="Balloon Text"/>
    <w:basedOn w:val="1"/>
    <w:link w:val="66"/>
    <w:qFormat/>
    <w:uiPriority w:val="0"/>
    <w:rPr>
      <w:sz w:val="18"/>
      <w:szCs w:val="18"/>
    </w:rPr>
  </w:style>
  <w:style w:type="paragraph" w:styleId="28">
    <w:name w:val="footer"/>
    <w:basedOn w:val="1"/>
    <w:link w:val="59"/>
    <w:qFormat/>
    <w:uiPriority w:val="0"/>
    <w:pPr>
      <w:tabs>
        <w:tab w:val="center" w:pos="4153"/>
        <w:tab w:val="right" w:pos="8306"/>
      </w:tabs>
      <w:snapToGrid w:val="0"/>
    </w:pPr>
    <w:rPr>
      <w:sz w:val="18"/>
      <w:szCs w:val="18"/>
    </w:rPr>
  </w:style>
  <w:style w:type="paragraph" w:styleId="29">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line="240" w:lineRule="atLeast"/>
    </w:pPr>
    <w:rPr>
      <w:rFonts w:eastAsia="仿宋"/>
      <w:b/>
      <w:bCs/>
      <w:caps/>
      <w:snapToGrid w:val="0"/>
      <w:kern w:val="0"/>
    </w:rPr>
  </w:style>
  <w:style w:type="paragraph" w:styleId="31">
    <w:name w:val="toc 4"/>
    <w:basedOn w:val="1"/>
    <w:next w:val="1"/>
    <w:qFormat/>
    <w:uiPriority w:val="39"/>
    <w:pPr>
      <w:ind w:left="1260" w:leftChars="600"/>
    </w:pPr>
  </w:style>
  <w:style w:type="paragraph" w:styleId="32">
    <w:name w:val="toc 6"/>
    <w:basedOn w:val="1"/>
    <w:next w:val="1"/>
    <w:unhideWhenUsed/>
    <w:qFormat/>
    <w:uiPriority w:val="39"/>
    <w:pPr>
      <w:widowControl w:val="0"/>
      <w:ind w:left="2100" w:leftChars="1000"/>
      <w:jc w:val="both"/>
    </w:pPr>
    <w:rPr>
      <w:rFonts w:asciiTheme="minorHAnsi" w:hAnsiTheme="minorHAnsi" w:eastAsiaTheme="minorEastAsia" w:cstheme="minorBidi"/>
      <w:szCs w:val="22"/>
    </w:rPr>
  </w:style>
  <w:style w:type="paragraph" w:styleId="33">
    <w:name w:val="toc 2"/>
    <w:basedOn w:val="1"/>
    <w:next w:val="1"/>
    <w:qFormat/>
    <w:uiPriority w:val="39"/>
    <w:pPr>
      <w:spacing w:line="240" w:lineRule="atLeast"/>
      <w:ind w:left="200"/>
    </w:pPr>
    <w:rPr>
      <w:smallCaps/>
      <w:snapToGrid w:val="0"/>
      <w:kern w:val="0"/>
    </w:rPr>
  </w:style>
  <w:style w:type="paragraph" w:styleId="34">
    <w:name w:val="toc 9"/>
    <w:basedOn w:val="1"/>
    <w:next w:val="1"/>
    <w:unhideWhenUsed/>
    <w:qFormat/>
    <w:uiPriority w:val="39"/>
    <w:pPr>
      <w:widowControl w:val="0"/>
      <w:ind w:left="3360" w:leftChars="1600"/>
      <w:jc w:val="both"/>
    </w:pPr>
    <w:rPr>
      <w:rFonts w:asciiTheme="minorHAnsi" w:hAnsiTheme="minorHAnsi" w:eastAsiaTheme="minorEastAsia" w:cstheme="minorBidi"/>
      <w:szCs w:val="22"/>
    </w:rPr>
  </w:style>
  <w:style w:type="paragraph" w:styleId="35">
    <w:name w:val="Normal (Web)"/>
    <w:basedOn w:val="1"/>
    <w:unhideWhenUsed/>
    <w:qFormat/>
    <w:uiPriority w:val="99"/>
    <w:pPr>
      <w:spacing w:before="100" w:beforeAutospacing="1" w:after="100" w:afterAutospacing="1"/>
    </w:pPr>
    <w:rPr>
      <w:rFonts w:ascii="宋体" w:hAnsi="宋体" w:cs="宋体"/>
      <w:kern w:val="0"/>
      <w:sz w:val="24"/>
    </w:rPr>
  </w:style>
  <w:style w:type="paragraph" w:styleId="36">
    <w:name w:val="index 1"/>
    <w:basedOn w:val="37"/>
    <w:next w:val="18"/>
    <w:semiHidden/>
    <w:qFormat/>
    <w:uiPriority w:val="0"/>
  </w:style>
  <w:style w:type="paragraph" w:styleId="37">
    <w:name w:val="Title"/>
    <w:basedOn w:val="1"/>
    <w:qFormat/>
    <w:uiPriority w:val="0"/>
    <w:pPr>
      <w:spacing w:before="240" w:after="60"/>
      <w:jc w:val="center"/>
      <w:outlineLvl w:val="0"/>
    </w:pPr>
    <w:rPr>
      <w:rFonts w:ascii="Arial" w:hAnsi="Arial" w:cs="Arial"/>
      <w:b/>
      <w:bCs/>
      <w:sz w:val="32"/>
      <w:szCs w:val="32"/>
    </w:rPr>
  </w:style>
  <w:style w:type="paragraph" w:styleId="38">
    <w:name w:val="annotation subject"/>
    <w:basedOn w:val="19"/>
    <w:next w:val="19"/>
    <w:link w:val="65"/>
    <w:qFormat/>
    <w:uiPriority w:val="0"/>
    <w:rPr>
      <w:b/>
      <w:bCs/>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2 Char"/>
    <w:link w:val="4"/>
    <w:qFormat/>
    <w:uiPriority w:val="0"/>
    <w:rPr>
      <w:rFonts w:ascii="宋体" w:hAnsi="宋体" w:eastAsia="宋体"/>
      <w:b/>
      <w:bCs/>
      <w:kern w:val="2"/>
      <w:sz w:val="28"/>
      <w:szCs w:val="28"/>
    </w:rPr>
  </w:style>
  <w:style w:type="character" w:customStyle="1" w:styleId="46">
    <w:name w:val="标题 3 Char"/>
    <w:link w:val="5"/>
    <w:qFormat/>
    <w:uiPriority w:val="0"/>
    <w:rPr>
      <w:rFonts w:ascii="宋体" w:hAnsi="宋体" w:eastAsia="仿宋"/>
      <w:bCs/>
      <w:kern w:val="2"/>
      <w:sz w:val="28"/>
      <w:szCs w:val="28"/>
    </w:rPr>
  </w:style>
  <w:style w:type="character" w:customStyle="1" w:styleId="47">
    <w:name w:val="标题 4 Char"/>
    <w:link w:val="6"/>
    <w:qFormat/>
    <w:uiPriority w:val="0"/>
    <w:rPr>
      <w:rFonts w:ascii="宋体" w:hAnsi="宋体"/>
      <w:b/>
      <w:bCs/>
      <w:kern w:val="2"/>
      <w:sz w:val="32"/>
      <w:szCs w:val="32"/>
    </w:rPr>
  </w:style>
  <w:style w:type="character" w:customStyle="1" w:styleId="48">
    <w:name w:val="正文缩进 Char"/>
    <w:link w:val="13"/>
    <w:qFormat/>
    <w:uiPriority w:val="0"/>
    <w:rPr>
      <w:rFonts w:ascii="宋体"/>
      <w:snapToGrid/>
      <w:sz w:val="21"/>
    </w:rPr>
  </w:style>
  <w:style w:type="character" w:customStyle="1" w:styleId="49">
    <w:name w:val="正文首行缩进 2 Char"/>
    <w:link w:val="14"/>
    <w:qFormat/>
    <w:uiPriority w:val="0"/>
    <w:rPr>
      <w:spacing w:val="10"/>
      <w:kern w:val="2"/>
      <w:sz w:val="21"/>
      <w:szCs w:val="24"/>
    </w:rPr>
  </w:style>
  <w:style w:type="character" w:customStyle="1" w:styleId="50">
    <w:name w:val="正文文本缩进 Char"/>
    <w:link w:val="15"/>
    <w:qFormat/>
    <w:uiPriority w:val="0"/>
    <w:rPr>
      <w:b/>
      <w:spacing w:val="10"/>
      <w:kern w:val="2"/>
      <w:sz w:val="28"/>
    </w:rPr>
  </w:style>
  <w:style w:type="character" w:customStyle="1" w:styleId="51">
    <w:name w:val="批注文字 Char"/>
    <w:link w:val="19"/>
    <w:qFormat/>
    <w:uiPriority w:val="0"/>
    <w:rPr>
      <w:kern w:val="2"/>
      <w:sz w:val="21"/>
      <w:szCs w:val="24"/>
    </w:rPr>
  </w:style>
  <w:style w:type="paragraph" w:customStyle="1" w:styleId="52">
    <w:name w:val="正文首行缩进 21"/>
    <w:basedOn w:val="15"/>
    <w:next w:val="1"/>
    <w:qFormat/>
    <w:uiPriority w:val="99"/>
    <w:pPr>
      <w:spacing w:line="240" w:lineRule="auto"/>
      <w:ind w:firstLine="420" w:firstLineChars="200"/>
    </w:pPr>
  </w:style>
  <w:style w:type="character" w:customStyle="1" w:styleId="53">
    <w:name w:val="标题 5 Char"/>
    <w:link w:val="7"/>
    <w:qFormat/>
    <w:uiPriority w:val="0"/>
    <w:rPr>
      <w:b/>
      <w:bCs/>
      <w:kern w:val="2"/>
      <w:sz w:val="28"/>
      <w:szCs w:val="28"/>
    </w:rPr>
  </w:style>
  <w:style w:type="character" w:customStyle="1" w:styleId="54">
    <w:name w:val="标题 6 Char"/>
    <w:link w:val="8"/>
    <w:qFormat/>
    <w:uiPriority w:val="0"/>
    <w:rPr>
      <w:rFonts w:ascii="Cambria" w:hAnsi="Cambria"/>
      <w:b/>
      <w:bCs/>
      <w:kern w:val="2"/>
      <w:sz w:val="24"/>
      <w:szCs w:val="24"/>
    </w:rPr>
  </w:style>
  <w:style w:type="character" w:customStyle="1" w:styleId="55">
    <w:name w:val="标题 7 Char"/>
    <w:link w:val="9"/>
    <w:qFormat/>
    <w:uiPriority w:val="0"/>
    <w:rPr>
      <w:b/>
      <w:bCs/>
      <w:kern w:val="2"/>
      <w:sz w:val="24"/>
      <w:szCs w:val="24"/>
    </w:rPr>
  </w:style>
  <w:style w:type="character" w:customStyle="1" w:styleId="56">
    <w:name w:val="标题 8 Char"/>
    <w:link w:val="10"/>
    <w:qFormat/>
    <w:uiPriority w:val="0"/>
    <w:rPr>
      <w:rFonts w:ascii="Cambria" w:hAnsi="Cambria"/>
      <w:kern w:val="2"/>
      <w:sz w:val="24"/>
      <w:szCs w:val="24"/>
    </w:rPr>
  </w:style>
  <w:style w:type="character" w:customStyle="1" w:styleId="57">
    <w:name w:val="标题 9 Char"/>
    <w:link w:val="11"/>
    <w:qFormat/>
    <w:uiPriority w:val="0"/>
    <w:rPr>
      <w:rFonts w:ascii="Cambria" w:hAnsi="Cambria"/>
      <w:kern w:val="2"/>
      <w:sz w:val="21"/>
      <w:szCs w:val="21"/>
    </w:rPr>
  </w:style>
  <w:style w:type="character" w:customStyle="1" w:styleId="58">
    <w:name w:val="页眉 Char"/>
    <w:link w:val="29"/>
    <w:qFormat/>
    <w:uiPriority w:val="0"/>
    <w:rPr>
      <w:kern w:val="2"/>
      <w:sz w:val="18"/>
      <w:szCs w:val="18"/>
    </w:rPr>
  </w:style>
  <w:style w:type="character" w:customStyle="1" w:styleId="59">
    <w:name w:val="页脚 Char"/>
    <w:link w:val="28"/>
    <w:qFormat/>
    <w:uiPriority w:val="0"/>
    <w:rPr>
      <w:kern w:val="2"/>
      <w:sz w:val="18"/>
      <w:szCs w:val="18"/>
    </w:rPr>
  </w:style>
  <w:style w:type="character" w:customStyle="1" w:styleId="60">
    <w:name w:val="文档结构图 Char"/>
    <w:link w:val="18"/>
    <w:semiHidden/>
    <w:qFormat/>
    <w:uiPriority w:val="99"/>
    <w:rPr>
      <w:kern w:val="2"/>
      <w:sz w:val="21"/>
      <w:szCs w:val="24"/>
      <w:shd w:val="clear" w:color="auto" w:fill="000080"/>
    </w:rPr>
  </w:style>
  <w:style w:type="paragraph" w:customStyle="1" w:styleId="61">
    <w:name w:val="默认段落字体 Para Char Char Char Char Char Char Char"/>
    <w:basedOn w:val="1"/>
    <w:qFormat/>
    <w:uiPriority w:val="0"/>
  </w:style>
  <w:style w:type="paragraph" w:styleId="62">
    <w:name w:val="List Paragraph"/>
    <w:basedOn w:val="1"/>
    <w:link w:val="63"/>
    <w:qFormat/>
    <w:uiPriority w:val="34"/>
    <w:pPr>
      <w:ind w:firstLine="420" w:firstLineChars="200"/>
    </w:pPr>
    <w:rPr>
      <w:rFonts w:ascii="Calibri" w:hAnsi="Calibri"/>
      <w:szCs w:val="22"/>
    </w:rPr>
  </w:style>
  <w:style w:type="character" w:customStyle="1" w:styleId="63">
    <w:name w:val="列出段落 Char"/>
    <w:basedOn w:val="41"/>
    <w:link w:val="62"/>
    <w:qFormat/>
    <w:uiPriority w:val="34"/>
    <w:rPr>
      <w:rFonts w:ascii="Calibri" w:hAnsi="Calibri"/>
      <w:kern w:val="2"/>
      <w:sz w:val="21"/>
      <w:szCs w:val="22"/>
    </w:rPr>
  </w:style>
  <w:style w:type="paragraph" w:customStyle="1" w:styleId="64">
    <w:name w:val="Char"/>
    <w:basedOn w:val="1"/>
    <w:qFormat/>
    <w:uiPriority w:val="0"/>
    <w:pPr>
      <w:adjustRightInd w:val="0"/>
      <w:spacing w:line="360" w:lineRule="auto"/>
    </w:pPr>
    <w:rPr>
      <w:kern w:val="0"/>
      <w:sz w:val="24"/>
      <w:szCs w:val="20"/>
    </w:rPr>
  </w:style>
  <w:style w:type="character" w:customStyle="1" w:styleId="65">
    <w:name w:val="批注主题 Char"/>
    <w:link w:val="38"/>
    <w:qFormat/>
    <w:uiPriority w:val="0"/>
    <w:rPr>
      <w:b/>
      <w:bCs/>
      <w:kern w:val="2"/>
      <w:sz w:val="21"/>
      <w:szCs w:val="24"/>
    </w:rPr>
  </w:style>
  <w:style w:type="character" w:customStyle="1" w:styleId="66">
    <w:name w:val="批注框文本 Char"/>
    <w:link w:val="27"/>
    <w:qFormat/>
    <w:uiPriority w:val="0"/>
    <w:rPr>
      <w:kern w:val="2"/>
      <w:sz w:val="18"/>
      <w:szCs w:val="18"/>
    </w:rPr>
  </w:style>
  <w:style w:type="paragraph" w:customStyle="1" w:styleId="67">
    <w:name w:val="_Style 14"/>
    <w:basedOn w:val="1"/>
    <w:qFormat/>
    <w:uiPriority w:val="0"/>
  </w:style>
  <w:style w:type="character" w:customStyle="1" w:styleId="68">
    <w:name w:val="正文文本 Char"/>
    <w:link w:val="20"/>
    <w:qFormat/>
    <w:uiPriority w:val="0"/>
    <w:rPr>
      <w:rFonts w:ascii="Times New Roman" w:hAnsi="Times New Roman" w:eastAsia="仿宋"/>
      <w:kern w:val="2"/>
      <w:sz w:val="28"/>
      <w:szCs w:val="24"/>
    </w:rPr>
  </w:style>
  <w:style w:type="character" w:customStyle="1" w:styleId="69">
    <w:name w:val="正文首行缩进 Char"/>
    <w:basedOn w:val="68"/>
    <w:link w:val="16"/>
    <w:qFormat/>
    <w:uiPriority w:val="0"/>
    <w:rPr>
      <w:rFonts w:ascii="Times New Roman" w:hAnsi="Times New Roman" w:eastAsia="仿宋"/>
      <w:kern w:val="2"/>
      <w:sz w:val="21"/>
      <w:szCs w:val="24"/>
    </w:rPr>
  </w:style>
  <w:style w:type="paragraph" w:customStyle="1" w:styleId="70">
    <w:name w:val="表内容"/>
    <w:qFormat/>
    <w:uiPriority w:val="0"/>
    <w:rPr>
      <w:rFonts w:ascii="宋体" w:hAnsi="Times New Roman" w:eastAsia="宋体" w:cs="Times New Roman"/>
      <w:kern w:val="21"/>
      <w:sz w:val="24"/>
      <w:szCs w:val="24"/>
      <w:lang w:val="en-US" w:eastAsia="zh-CN" w:bidi="ar-SA"/>
    </w:rPr>
  </w:style>
  <w:style w:type="paragraph" w:customStyle="1" w:styleId="71">
    <w:name w:val="列表数字1）"/>
    <w:next w:val="16"/>
    <w:qFormat/>
    <w:uiPriority w:val="0"/>
    <w:pPr>
      <w:numPr>
        <w:ilvl w:val="0"/>
        <w:numId w:val="2"/>
      </w:numPr>
      <w:tabs>
        <w:tab w:val="left" w:pos="814"/>
        <w:tab w:val="left" w:pos="900"/>
      </w:tabs>
      <w:spacing w:line="360" w:lineRule="auto"/>
    </w:pPr>
    <w:rPr>
      <w:rFonts w:ascii="Times New Roman" w:hAnsi="Times New Roman" w:eastAsia="宋体" w:cs="Times New Roman"/>
      <w:sz w:val="24"/>
      <w:lang w:val="en-US" w:eastAsia="zh-CN" w:bidi="ar-SA"/>
    </w:rPr>
  </w:style>
  <w:style w:type="paragraph" w:customStyle="1" w:styleId="72">
    <w:name w:val="列表数字1"/>
    <w:next w:val="16"/>
    <w:qFormat/>
    <w:uiPriority w:val="0"/>
    <w:pPr>
      <w:numPr>
        <w:ilvl w:val="0"/>
        <w:numId w:val="3"/>
      </w:numPr>
      <w:tabs>
        <w:tab w:val="left" w:pos="900"/>
        <w:tab w:val="left" w:pos="1145"/>
      </w:tabs>
      <w:spacing w:before="120" w:line="360" w:lineRule="auto"/>
    </w:pPr>
    <w:rPr>
      <w:rFonts w:ascii="Times New Roman" w:hAnsi="Times New Roman" w:eastAsia="宋体" w:cs="Times New Roman"/>
      <w:sz w:val="24"/>
      <w:lang w:val="en-US" w:eastAsia="zh-CN" w:bidi="ar-SA"/>
    </w:rPr>
  </w:style>
  <w:style w:type="paragraph" w:customStyle="1" w:styleId="73">
    <w:name w:val="Out Box 1"/>
    <w:basedOn w:val="1"/>
    <w:qFormat/>
    <w:uiPriority w:val="0"/>
    <w:pPr>
      <w:overflowPunct w:val="0"/>
      <w:autoSpaceDE w:val="0"/>
      <w:autoSpaceDN w:val="0"/>
      <w:adjustRightInd w:val="0"/>
      <w:spacing w:before="120"/>
      <w:ind w:left="1170" w:right="86" w:hanging="450"/>
      <w:textAlignment w:val="baseline"/>
    </w:pPr>
    <w:rPr>
      <w:rFonts w:ascii="Times" w:hAnsi="Times"/>
      <w:color w:val="000000"/>
      <w:kern w:val="0"/>
      <w:sz w:val="20"/>
      <w:szCs w:val="20"/>
    </w:rPr>
  </w:style>
  <w:style w:type="character" w:customStyle="1" w:styleId="74">
    <w:name w:val="正文文本缩进 2 Char"/>
    <w:link w:val="26"/>
    <w:qFormat/>
    <w:uiPriority w:val="0"/>
    <w:rPr>
      <w:kern w:val="2"/>
      <w:sz w:val="21"/>
      <w:szCs w:val="24"/>
    </w:rPr>
  </w:style>
  <w:style w:type="paragraph" w:customStyle="1" w:styleId="75">
    <w:name w:val="HP_Table_Title"/>
    <w:basedOn w:val="1"/>
    <w:next w:val="1"/>
    <w:qFormat/>
    <w:uiPriority w:val="0"/>
    <w:pPr>
      <w:keepNext/>
      <w:keepLines/>
      <w:spacing w:before="240" w:after="60"/>
    </w:pPr>
    <w:rPr>
      <w:rFonts w:ascii="Futura Bk" w:hAnsi="Futura Bk"/>
      <w:b/>
      <w:bCs/>
      <w:kern w:val="0"/>
      <w:sz w:val="18"/>
      <w:szCs w:val="18"/>
      <w:lang w:val="en-GB" w:eastAsia="en-US"/>
    </w:rPr>
  </w:style>
  <w:style w:type="paragraph" w:customStyle="1" w:styleId="76">
    <w:name w:val="Table_Sm_Heading"/>
    <w:basedOn w:val="1"/>
    <w:qFormat/>
    <w:uiPriority w:val="0"/>
    <w:pPr>
      <w:keepNext/>
      <w:keepLines/>
      <w:spacing w:before="60" w:after="40"/>
    </w:pPr>
    <w:rPr>
      <w:rFonts w:ascii="Futura Bk" w:hAnsi="Futura Bk"/>
      <w:b/>
      <w:bCs/>
      <w:kern w:val="0"/>
      <w:sz w:val="16"/>
      <w:szCs w:val="16"/>
      <w:lang w:val="en-GB" w:eastAsia="en-US"/>
    </w:rPr>
  </w:style>
  <w:style w:type="character" w:customStyle="1" w:styleId="77">
    <w:name w:val="纯文本 Char"/>
    <w:link w:val="24"/>
    <w:qFormat/>
    <w:uiPriority w:val="0"/>
    <w:rPr>
      <w:rFonts w:ascii="宋体" w:hAnsi="Courier New"/>
      <w:kern w:val="2"/>
      <w:sz w:val="21"/>
    </w:rPr>
  </w:style>
  <w:style w:type="paragraph" w:customStyle="1" w:styleId="78">
    <w:name w:val="样式3"/>
    <w:basedOn w:val="13"/>
    <w:link w:val="79"/>
    <w:qFormat/>
    <w:uiPriority w:val="0"/>
    <w:pPr>
      <w:widowControl w:val="0"/>
      <w:spacing w:beforeLines="0" w:afterLines="0" w:line="360" w:lineRule="auto"/>
      <w:ind w:firstLine="480" w:firstLineChars="200"/>
    </w:pPr>
    <w:rPr>
      <w:rFonts w:ascii="楷体_GB2312" w:eastAsia="楷体_GB2312"/>
      <w:i/>
      <w:snapToGrid/>
      <w:color w:val="3366FF"/>
      <w:kern w:val="2"/>
      <w:sz w:val="24"/>
      <w:szCs w:val="24"/>
    </w:rPr>
  </w:style>
  <w:style w:type="character" w:customStyle="1" w:styleId="79">
    <w:name w:val="样式3 Char"/>
    <w:link w:val="78"/>
    <w:qFormat/>
    <w:uiPriority w:val="0"/>
    <w:rPr>
      <w:rFonts w:ascii="楷体_GB2312" w:eastAsia="楷体_GB2312"/>
      <w:i/>
      <w:snapToGrid w:val="0"/>
      <w:color w:val="3366FF"/>
      <w:kern w:val="2"/>
      <w:sz w:val="24"/>
      <w:szCs w:val="24"/>
    </w:rPr>
  </w:style>
  <w:style w:type="character" w:customStyle="1" w:styleId="80">
    <w:name w:val="未处理的提及1"/>
    <w:basedOn w:val="41"/>
    <w:semiHidden/>
    <w:unhideWhenUsed/>
    <w:qFormat/>
    <w:uiPriority w:val="99"/>
    <w:rPr>
      <w:color w:val="605E5C"/>
      <w:shd w:val="clear" w:color="auto" w:fill="E1DFDD"/>
    </w:rPr>
  </w:style>
  <w:style w:type="paragraph" w:customStyle="1" w:styleId="81">
    <w:name w:val="Sub Bullet 2"/>
    <w:basedOn w:val="1"/>
    <w:qFormat/>
    <w:uiPriority w:val="0"/>
    <w:pPr>
      <w:numPr>
        <w:ilvl w:val="0"/>
        <w:numId w:val="4"/>
      </w:numPr>
      <w:tabs>
        <w:tab w:val="clear" w:pos="480"/>
      </w:tabs>
      <w:spacing w:line="300" w:lineRule="exact"/>
      <w:ind w:left="993" w:hanging="302"/>
    </w:pPr>
    <w:rPr>
      <w:rFonts w:ascii="Arial" w:hAnsi="Arial" w:eastAsia="Arial" w:cs="Arial"/>
      <w:b/>
      <w:i/>
      <w:snapToGrid w:val="0"/>
      <w:kern w:val="0"/>
      <w:szCs w:val="21"/>
      <w:lang w:eastAsia="en-US"/>
    </w:rPr>
  </w:style>
  <w:style w:type="character" w:customStyle="1" w:styleId="82">
    <w:name w:val="未处理的提及11"/>
    <w:basedOn w:val="41"/>
    <w:semiHidden/>
    <w:unhideWhenUsed/>
    <w:qFormat/>
    <w:uiPriority w:val="99"/>
    <w:rPr>
      <w:color w:val="605E5C"/>
      <w:shd w:val="clear" w:color="auto" w:fill="E1DFDD"/>
    </w:rPr>
  </w:style>
  <w:style w:type="paragraph" w:customStyle="1" w:styleId="83">
    <w:name w:val="列表段落1"/>
    <w:basedOn w:val="1"/>
    <w:qFormat/>
    <w:uiPriority w:val="34"/>
    <w:pPr>
      <w:widowControl w:val="0"/>
      <w:spacing w:after="160" w:line="360" w:lineRule="auto"/>
      <w:ind w:firstLine="420" w:firstLineChars="200"/>
      <w:jc w:val="both"/>
    </w:pPr>
    <w:rPr>
      <w:rFonts w:ascii="Calibri" w:hAnsi="Calibri"/>
      <w:szCs w:val="22"/>
    </w:rPr>
  </w:style>
  <w:style w:type="paragraph" w:customStyle="1" w:styleId="84">
    <w:name w:val="Table Text"/>
    <w:basedOn w:val="1"/>
    <w:qFormat/>
    <w:uiPriority w:val="0"/>
    <w:pPr>
      <w:widowControl w:val="0"/>
      <w:topLinePunct/>
      <w:adjustRightInd w:val="0"/>
      <w:snapToGrid w:val="0"/>
      <w:spacing w:before="80" w:after="80" w:line="240" w:lineRule="atLeast"/>
      <w:jc w:val="both"/>
    </w:pPr>
    <w:rPr>
      <w:rFonts w:cs="Arial"/>
      <w:snapToGrid w:val="0"/>
      <w:szCs w:val="21"/>
    </w:rPr>
  </w:style>
  <w:style w:type="paragraph" w:customStyle="1" w:styleId="85">
    <w:name w:val="规范正文"/>
    <w:basedOn w:val="1"/>
    <w:qFormat/>
    <w:uiPriority w:val="0"/>
    <w:pPr>
      <w:widowControl w:val="0"/>
      <w:spacing w:after="160" w:line="360" w:lineRule="auto"/>
      <w:ind w:firstLine="200" w:firstLineChars="200"/>
      <w:jc w:val="both"/>
    </w:pPr>
    <w:rPr>
      <w:rFonts w:ascii="宋体" w:hAnsi="宋体" w:cs="宋体"/>
      <w:szCs w:val="20"/>
    </w:rPr>
  </w:style>
  <w:style w:type="paragraph" w:customStyle="1" w:styleId="86">
    <w:name w:val="标题3"/>
    <w:basedOn w:val="5"/>
    <w:link w:val="87"/>
    <w:qFormat/>
    <w:uiPriority w:val="0"/>
    <w:pPr>
      <w:numPr>
        <w:ilvl w:val="0"/>
        <w:numId w:val="5"/>
      </w:numPr>
    </w:pPr>
    <w:rPr>
      <w:rFonts w:ascii="Calibri" w:hAnsi="Calibri"/>
      <w:b/>
      <w:szCs w:val="24"/>
    </w:rPr>
  </w:style>
  <w:style w:type="character" w:customStyle="1" w:styleId="87">
    <w:name w:val="标题3 字符"/>
    <w:link w:val="86"/>
    <w:qFormat/>
    <w:uiPriority w:val="0"/>
    <w:rPr>
      <w:rFonts w:ascii="Calibri" w:hAnsi="Calibri" w:eastAsia="仿宋"/>
      <w:b/>
      <w:bCs/>
      <w:kern w:val="2"/>
      <w:sz w:val="28"/>
      <w:szCs w:val="24"/>
    </w:rPr>
  </w:style>
  <w:style w:type="paragraph" w:customStyle="1" w:styleId="88">
    <w:name w:val="Char Char Char Char1 Char Char Char Char Char Char"/>
    <w:basedOn w:val="1"/>
    <w:qFormat/>
    <w:uiPriority w:val="99"/>
    <w:pPr>
      <w:widowControl w:val="0"/>
      <w:jc w:val="both"/>
    </w:pPr>
    <w:rPr>
      <w:rFonts w:ascii="Tahoma" w:hAnsi="Tahoma"/>
      <w:sz w:val="24"/>
      <w:szCs w:val="20"/>
    </w:rPr>
  </w:style>
  <w:style w:type="paragraph" w:customStyle="1" w:styleId="89">
    <w:name w:val="QB表内文字"/>
    <w:basedOn w:val="1"/>
    <w:qFormat/>
    <w:uiPriority w:val="99"/>
    <w:pPr>
      <w:widowControl w:val="0"/>
      <w:autoSpaceDE w:val="0"/>
      <w:autoSpaceDN w:val="0"/>
      <w:jc w:val="both"/>
    </w:pPr>
    <w:rPr>
      <w:rFonts w:ascii="宋体"/>
      <w:kern w:val="0"/>
      <w:szCs w:val="20"/>
    </w:rPr>
  </w:style>
  <w:style w:type="paragraph" w:customStyle="1" w:styleId="90">
    <w:name w:val="列出段落2"/>
    <w:basedOn w:val="1"/>
    <w:link w:val="91"/>
    <w:qFormat/>
    <w:uiPriority w:val="34"/>
    <w:pPr>
      <w:widowControl w:val="0"/>
      <w:ind w:firstLine="420" w:firstLineChars="200"/>
      <w:jc w:val="both"/>
    </w:pPr>
  </w:style>
  <w:style w:type="character" w:customStyle="1" w:styleId="91">
    <w:name w:val="列表段落 字符"/>
    <w:link w:val="90"/>
    <w:qFormat/>
    <w:uiPriority w:val="34"/>
    <w:rPr>
      <w:kern w:val="2"/>
      <w:sz w:val="21"/>
      <w:szCs w:val="24"/>
    </w:rPr>
  </w:style>
  <w:style w:type="paragraph" w:customStyle="1" w:styleId="92">
    <w:name w:val="标题 3（绿盟科技）"/>
    <w:basedOn w:val="5"/>
    <w:next w:val="1"/>
    <w:qFormat/>
    <w:uiPriority w:val="0"/>
    <w:pPr>
      <w:numPr>
        <w:numId w:val="6"/>
      </w:numPr>
      <w:tabs>
        <w:tab w:val="left" w:pos="960"/>
      </w:tabs>
    </w:pPr>
    <w:rPr>
      <w:rFonts w:ascii="Arial" w:hAnsi="Arial"/>
      <w:bCs w:val="0"/>
      <w:kern w:val="0"/>
      <w:sz w:val="30"/>
      <w:szCs w:val="30"/>
    </w:rPr>
  </w:style>
  <w:style w:type="paragraph" w:customStyle="1" w:styleId="93">
    <w:name w:val="标题 1（绿盟科技）"/>
    <w:basedOn w:val="3"/>
    <w:next w:val="1"/>
    <w:qFormat/>
    <w:uiPriority w:val="0"/>
    <w:pPr>
      <w:numPr>
        <w:numId w:val="6"/>
      </w:numPr>
      <w:pBdr>
        <w:top w:val="none" w:color="auto" w:sz="0" w:space="1"/>
        <w:left w:val="none" w:color="auto" w:sz="0" w:space="4"/>
        <w:bottom w:val="single" w:color="auto" w:sz="48" w:space="1"/>
        <w:right w:val="none" w:color="auto" w:sz="0" w:space="4"/>
      </w:pBdr>
      <w:tabs>
        <w:tab w:val="left" w:pos="0"/>
      </w:tabs>
      <w:spacing w:before="200" w:after="330" w:line="576" w:lineRule="auto"/>
    </w:pPr>
    <w:rPr>
      <w:rFonts w:ascii="Arial" w:hAnsi="Arial"/>
      <w:sz w:val="44"/>
      <w:szCs w:val="44"/>
    </w:rPr>
  </w:style>
  <w:style w:type="character" w:customStyle="1" w:styleId="94">
    <w:name w:val="正文（首行缩进两字） Char1"/>
    <w:qFormat/>
    <w:uiPriority w:val="0"/>
    <w:rPr>
      <w:kern w:val="2"/>
      <w:sz w:val="24"/>
      <w:szCs w:val="24"/>
    </w:rPr>
  </w:style>
  <w:style w:type="paragraph" w:customStyle="1" w:styleId="95">
    <w:name w:val="Normal_6"/>
    <w:qFormat/>
    <w:uiPriority w:val="0"/>
    <w:pPr>
      <w:widowControl w:val="0"/>
      <w:jc w:val="both"/>
    </w:pPr>
    <w:rPr>
      <w:rFonts w:ascii="宋体" w:hAnsi="宋体" w:eastAsia="宋体" w:cs="宋体"/>
      <w:lang w:val="en-US" w:eastAsia="zh-CN" w:bidi="ar-SA"/>
    </w:rPr>
  </w:style>
  <w:style w:type="paragraph" w:customStyle="1" w:styleId="96">
    <w:name w:val="AX-正文"/>
    <w:basedOn w:val="95"/>
    <w:qFormat/>
    <w:uiPriority w:val="0"/>
    <w:pPr>
      <w:spacing w:line="480" w:lineRule="exact"/>
      <w:ind w:firstLine="200" w:firstLineChars="200"/>
    </w:pPr>
    <w:rPr>
      <w:rFonts w:ascii="Times New Roman" w:hAnsi="Times New Roman" w:eastAsia="仿宋_GB2312" w:cs="Times New Roman"/>
      <w:sz w:val="24"/>
      <w:szCs w:val="24"/>
    </w:rPr>
  </w:style>
  <w:style w:type="paragraph" w:customStyle="1" w:styleId="9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8">
    <w:name w:val="正文样式"/>
    <w:basedOn w:val="1"/>
    <w:qFormat/>
    <w:uiPriority w:val="7"/>
    <w:pPr>
      <w:spacing w:line="360" w:lineRule="auto"/>
      <w:ind w:firstLine="420" w:firstLineChars="200"/>
    </w:pPr>
    <w:rPr>
      <w:rFonts w:ascii="华文楷体" w:hAnsi="华文楷体" w:eastAsia="Songti SC"/>
    </w:rPr>
  </w:style>
  <w:style w:type="paragraph" w:customStyle="1" w:styleId="99">
    <w:name w:val="正文内容"/>
    <w:basedOn w:val="1"/>
    <w:qFormat/>
    <w:uiPriority w:val="0"/>
    <w:pPr>
      <w:ind w:firstLine="560" w:firstLineChars="200"/>
    </w:pPr>
    <w:rPr>
      <w:rFonts w:hint="eastAsia" w:ascii="仿宋" w:hAnsi="仿宋" w:eastAsia="仿宋" w:cs="仿宋"/>
      <w:sz w:val="28"/>
      <w:szCs w:val="28"/>
    </w:rPr>
  </w:style>
  <w:style w:type="character" w:customStyle="1" w:styleId="100">
    <w:name w:val="font11"/>
    <w:basedOn w:val="41"/>
    <w:qFormat/>
    <w:uiPriority w:val="0"/>
    <w:rPr>
      <w:rFonts w:hint="eastAsia" w:ascii="黑体" w:hAnsi="宋体" w:eastAsia="黑体" w:cs="黑体"/>
      <w:color w:val="000000"/>
      <w:sz w:val="18"/>
      <w:szCs w:val="18"/>
      <w:u w:val="none"/>
    </w:rPr>
  </w:style>
  <w:style w:type="character" w:customStyle="1" w:styleId="101">
    <w:name w:val="font31"/>
    <w:basedOn w:val="41"/>
    <w:qFormat/>
    <w:uiPriority w:val="0"/>
    <w:rPr>
      <w:rFonts w:hint="eastAsia" w:ascii="黑体" w:hAnsi="宋体" w:eastAsia="黑体" w:cs="黑体"/>
      <w:color w:val="FF0000"/>
      <w:sz w:val="18"/>
      <w:szCs w:val="18"/>
      <w:u w:val="none"/>
    </w:rPr>
  </w:style>
  <w:style w:type="character" w:customStyle="1" w:styleId="102">
    <w:name w:val="font41"/>
    <w:basedOn w:val="41"/>
    <w:qFormat/>
    <w:uiPriority w:val="0"/>
    <w:rPr>
      <w:rFonts w:hint="eastAsia" w:ascii="黑体" w:hAnsi="宋体" w:eastAsia="黑体" w:cs="黑体"/>
      <w:color w:val="000000"/>
      <w:sz w:val="18"/>
      <w:szCs w:val="18"/>
      <w:u w:val="none"/>
    </w:rPr>
  </w:style>
  <w:style w:type="character" w:customStyle="1" w:styleId="103">
    <w:name w:val="font51"/>
    <w:basedOn w:val="41"/>
    <w:qFormat/>
    <w:uiPriority w:val="0"/>
    <w:rPr>
      <w:rFonts w:hint="eastAsia" w:ascii="黑体" w:hAnsi="宋体" w:eastAsia="黑体" w:cs="黑体"/>
      <w:strike/>
      <w:color w:val="FF0000"/>
      <w:sz w:val="18"/>
      <w:szCs w:val="18"/>
    </w:rPr>
  </w:style>
  <w:style w:type="character" w:customStyle="1" w:styleId="104">
    <w:name w:val="font21"/>
    <w:basedOn w:val="41"/>
    <w:qFormat/>
    <w:uiPriority w:val="0"/>
    <w:rPr>
      <w:rFonts w:hint="eastAsia" w:ascii="黑体" w:hAnsi="宋体" w:eastAsia="黑体" w:cs="黑体"/>
      <w:color w:val="000000"/>
      <w:sz w:val="18"/>
      <w:szCs w:val="18"/>
      <w:u w:val="none"/>
    </w:rPr>
  </w:style>
  <w:style w:type="character" w:customStyle="1" w:styleId="105">
    <w:name w:val="font61"/>
    <w:basedOn w:val="41"/>
    <w:qFormat/>
    <w:uiPriority w:val="0"/>
    <w:rPr>
      <w:rFonts w:hint="default" w:ascii="Times New Roman" w:hAnsi="Times New Roman" w:cs="Times New Roman"/>
      <w:color w:val="000000"/>
      <w:sz w:val="18"/>
      <w:szCs w:val="18"/>
      <w:u w:val="none"/>
    </w:rPr>
  </w:style>
  <w:style w:type="character" w:customStyle="1" w:styleId="106">
    <w:name w:val="font71"/>
    <w:basedOn w:val="41"/>
    <w:qFormat/>
    <w:uiPriority w:val="0"/>
    <w:rPr>
      <w:rFonts w:hint="default" w:ascii="Times New Roman" w:hAnsi="Times New Roman" w:cs="Times New Roman"/>
      <w:color w:val="000000"/>
      <w:sz w:val="18"/>
      <w:szCs w:val="18"/>
      <w:u w:val="none"/>
    </w:rPr>
  </w:style>
  <w:style w:type="paragraph" w:customStyle="1" w:styleId="107">
    <w:name w:val="正文(缩进) 五号"/>
    <w:basedOn w:val="1"/>
    <w:qFormat/>
    <w:uiPriority w:val="0"/>
    <w:pPr>
      <w:spacing w:after="120" w:line="360" w:lineRule="auto"/>
      <w:ind w:firstLine="480" w:firstLineChars="200"/>
    </w:pPr>
    <w:rPr>
      <w:rFonts w:ascii="Arial" w:hAnsi="Arial"/>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19</Pages>
  <Words>1364</Words>
  <Characters>1511</Characters>
  <Lines>157</Lines>
  <Paragraphs>44</Paragraphs>
  <TotalTime>8</TotalTime>
  <ScaleCrop>false</ScaleCrop>
  <LinksUpToDate>false</LinksUpToDate>
  <CharactersWithSpaces>1587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2025-03-19T00:56:00Z</dcterms:created>
  <dc:creator>meimei</dc:creator>
  <cp:lastModifiedBy>cmq</cp:lastModifiedBy>
  <cp:lastPrinted>2013-08-26T22:41:00Z</cp:lastPrinted>
  <dcterms:modified xsi:type="dcterms:W3CDTF">2025-11-13T06:12:57Z</dcterms:modified>
  <dc:title>文档基本信息</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7243C6A7F3E549E48BCA5E040D4C2F68_13</vt:lpwstr>
  </property>
  <property fmtid="{D5CDD505-2E9C-101B-9397-08002B2CF9AE}" pid="4" name="KSOTemplateDocerSaveRecord">
    <vt:lpwstr>eyJoZGlkIjoiNjg3NTRkODE4OWI5MzNmZjI4ZTA1NGIyN2QzNjI2NWMiLCJ1c2VySWQiOiIxMTM1NDA4OTI5In0=</vt:lpwstr>
  </property>
</Properties>
</file>