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苏银理财启源现金4号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苏银理财启源现金4号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2023年04月27日</w:t>
      </w:r>
      <w:r>
        <w:rPr>
          <w:rFonts w:hint="eastAsia" w:ascii="楷体" w:hAnsi="楷体" w:eastAsia="楷体" w:cs="楷体"/>
        </w:rPr>
        <w:t>成立，于</w:t>
      </w:r>
      <w:r>
        <w:rPr>
          <w:rFonts w:hint="eastAsia" w:ascii="楷体" w:hAnsi="楷体" w:eastAsia="楷体" w:cs="楷体"/>
          <w:spacing w:val="-7"/>
        </w:rPr>
        <w:t>2023年04月27日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9,636,448,719.64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9,636,448,719.64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31000188000526706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9,837,622,419.43</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102.09%</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苏银理财启源现金4号JS鑫福款</w:t>
            </w:r>
          </w:p>
        </w:tc>
        <w:tc>
          <w:tcPr>
            <w:tcW w:w="1462" w:type="dxa"/>
          </w:tcPr>
          <w:p>
            <w:pPr>
              <w:jc w:val="left"/>
              <w:rPr>
                <w:rFonts w:ascii="楷体" w:hAnsi="楷体" w:eastAsia="楷体" w:cs="楷体"/>
                <w:sz w:val="22"/>
              </w:rPr>
            </w:pPr>
            <w:r>
              <w:rPr>
                <w:rFonts w:hint="eastAsia" w:ascii="楷体" w:hAnsi="楷体" w:eastAsia="楷体" w:cs="楷体"/>
                <w:sz w:val="22"/>
              </w:rPr>
              <w:t>0.7096</w:t>
            </w:r>
          </w:p>
        </w:tc>
        <w:tc>
          <w:tcPr>
            <w:tcW w:w="1712" w:type="dxa"/>
          </w:tcPr>
          <w:p>
            <w:pPr>
              <w:jc w:val="left"/>
              <w:rPr>
                <w:rFonts w:ascii="楷体" w:hAnsi="楷体" w:eastAsia="楷体" w:cs="楷体"/>
                <w:sz w:val="22"/>
              </w:rPr>
            </w:pPr>
            <w:r>
              <w:rPr>
                <w:rFonts w:hint="eastAsia" w:ascii="楷体" w:hAnsi="楷体" w:eastAsia="楷体" w:cs="楷体"/>
                <w:sz w:val="22"/>
              </w:rPr>
              <w:t>2.62%</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苏银理财启源现金4号K</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0.7926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苏银理财启源现金4号B</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0.3760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1.38%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0.8078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苏银理财启源现金4号Q</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0.4582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苏银理财启源现金4号DG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苏银理财启源现金4号F</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0.4555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1.67%</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71.94%</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28.06%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71.94%</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28.06%</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383,619,788.82</w:t>
            </w:r>
          </w:p>
        </w:tc>
        <w:tc>
          <w:tcPr>
            <w:tcW w:w="1800" w:type="dxa"/>
            <w:vAlign w:val="center"/>
          </w:tcPr>
          <w:p>
            <w:pPr>
              <w:jc w:val="center"/>
              <w:rPr>
                <w:rFonts w:ascii="楷体" w:hAnsi="楷体" w:eastAsia="楷体" w:cs="楷体"/>
                <w:sz w:val="22"/>
              </w:rPr>
            </w:pPr>
            <w:r>
              <w:rPr>
                <w:rFonts w:hint="eastAsia" w:ascii="楷体" w:hAnsi="楷体" w:eastAsia="楷体" w:cs="楷体"/>
                <w:sz w:val="22"/>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24光大银行CD155</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299,177,165.76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203,786,898.79</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24交通银行CD268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199,447,779.77</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24浦发银行CD249</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198,863,339.30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24建设银行CD410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198,466,767.67</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20240819</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152,633,332.28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23农发清发22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122,329,400.74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24广发10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101,220,547.95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24财通F4</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101,214,383.56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1.02%</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924"/>
        <w:gridCol w:w="2999"/>
        <w:gridCol w:w="2698"/>
      </w:tblGrid>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2,470,474,375.31</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1,722,151.55</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593,225.17</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81,000,000.00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9,636,448,719.64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12,362,148,123.49</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面对二季度市场利率的下行，管理人积极调整投资策略，通过上季度和季初提前锁定收益并把握市场机会，增配了一二级信用债。另一方面，产品利用自身资产配置情况，适时增加产品杠杆，较大幅度提高了高收益资管计划投资比例，这一策略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21869C6"/>
    <w:rsid w:val="0ECE1AD5"/>
    <w:rsid w:val="382158BF"/>
    <w:rsid w:val="3BDB58D0"/>
    <w:rsid w:val="6FD5134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0c61e8-74b3-4ee0-aa63-2fb44e791f0d}">
  <ds:schemaRefs/>
</ds:datastoreItem>
</file>

<file path=customXml/itemProps3.xml><?xml version="1.0" encoding="utf-8"?>
<ds:datastoreItem xmlns:ds="http://schemas.openxmlformats.org/officeDocument/2006/customXml" ds:itemID="{d53d4ae9-2e3f-4f0b-a1b7-e8b28c4b3142}">
  <ds:schemaRefs/>
</ds:datastoreItem>
</file>

<file path=customXml/itemProps4.xml><?xml version="1.0" encoding="utf-8"?>
<ds:datastoreItem xmlns:ds="http://schemas.openxmlformats.org/officeDocument/2006/customXml" ds:itemID="{6475e688-47ba-4dd3-8d77-af7b823a6b2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2025-07-16T09:05:44Z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3683A505A50B47D49CB5F5EE546023B0</vt:lpwstr>
  </property>
</Properties>
</file>