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杭银理财幸福99季添益1913期理财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杭银理财幸福99季添益1913期理财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TYG3M1913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2.4490%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2.1014%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2.9247%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2.4102%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3.2873%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3.5098%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3.2794%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4.6586%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1.5797%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0.2305%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4.8455%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5.0519%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4.0254%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4.0448%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2021-05-19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3.7454%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2021-05-18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2021-05-19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3.8657%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3.7723%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3.8149%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2020-05-20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3.8122%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2020-05-19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2020-05-20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4.0535%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4.1658%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杭银理财幸福99季添益1913期理财B款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TYG3M1913B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1.3441%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2.4769%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2.1591%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2.9830%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3.3805%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4.7250%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1.6774%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0.3292%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4.9891%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杭银理财幸福99季添益1913期理财C款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TYG3M1913C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1.3726%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2.5409%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2.1883%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3.0127%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3.4074%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3.5996%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3.4154%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4.7964%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1.6777%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0.3952%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2025年10月10日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