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1470"/>
        </w:tabs>
        <w:spacing w:line="540" w:lineRule="atLeast"/>
        <w:jc w:val="center"/>
        <w:rPr>
          <w:rFonts w:hint="eastAsia" w:ascii="宋体" w:hAnsi="宋体" w:eastAsia="宋体" w:cs="宋体"/>
          <w:b/>
          <w:kern w:val="0"/>
          <w:sz w:val="30"/>
          <w:szCs w:val="30"/>
          <w:lang w:val="en-US" w:eastAsia="zh-CN" w:bidi="ar-SA"/>
        </w:rPr>
      </w:pPr>
      <w:r>
        <w:rPr>
          <w:rFonts w:hint="eastAsia" w:ascii="宋体" w:hAnsi="宋体" w:eastAsia="宋体" w:cs="宋体"/>
          <w:b/>
          <w:sz w:val="30"/>
          <w:szCs w:val="30"/>
          <w:lang w:val="en-US" w:eastAsia="zh-CN"/>
        </w:rPr>
        <w:t>关于</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双周盈14天持有期6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民生理财贵竹固收增利双周盈14天持有期6号理财产品</w:t>
      </w:r>
      <w:r>
        <w:rPr>
          <w:rFonts w:hint="eastAsia" w:ascii="宋体" w:hAnsi="宋体" w:eastAsia="宋体" w:cs="宋体"/>
          <w:b/>
          <w:kern w:val="0"/>
          <w:sz w:val="30"/>
          <w:szCs w:val="30"/>
          <w:lang w:val="en-US" w:eastAsia="zh-CN" w:bidi="ar-SA"/>
        </w:rPr>
        <w:fldChar w:fldCharType="end"/>
      </w:r>
      <w:bookmarkEnd w:id="0"/>
    </w:p>
    <w:p>
      <w:pPr>
        <w:pStyle w:val="6"/>
        <w:tabs>
          <w:tab w:val="left" w:pos="1470"/>
        </w:tabs>
        <w:spacing w:line="540" w:lineRule="atLeast"/>
        <w:jc w:val="center"/>
        <w:rPr>
          <w:rFonts w:hint="eastAsia" w:ascii="宋体" w:hAnsi="宋体" w:eastAsia="宋体" w:cs="宋体"/>
          <w:b/>
          <w:sz w:val="30"/>
          <w:szCs w:val="30"/>
          <w:lang w:val="en-US" w:eastAsia="zh-CN"/>
        </w:rPr>
      </w:pPr>
      <w:r>
        <w:rPr>
          <w:rFonts w:hint="eastAsia" w:ascii="宋体" w:hAnsi="宋体" w:cs="宋体"/>
          <w:b/>
          <w:kern w:val="0"/>
          <w:sz w:val="30"/>
          <w:szCs w:val="30"/>
          <w:lang w:val="en-US" w:eastAsia="zh-CN" w:bidi="ar-SA"/>
        </w:rPr>
        <w:t>增加销售对象及合同调整</w:t>
      </w:r>
      <w:r>
        <w:rPr>
          <w:rFonts w:hint="eastAsia" w:ascii="宋体" w:hAnsi="宋体" w:eastAsia="宋体" w:cs="宋体"/>
          <w:b/>
          <w:sz w:val="30"/>
          <w:szCs w:val="30"/>
          <w:lang w:val="en-US" w:eastAsia="zh-CN"/>
        </w:rPr>
        <w:t>的公告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sz w:val="21"/>
          <w:szCs w:val="21"/>
        </w:rPr>
      </w:pPr>
      <w:r>
        <w:rPr>
          <w:rFonts w:hint="eastAsia" w:ascii="宋体" w:hAnsi="宋体" w:eastAsia="宋体" w:cs="宋体"/>
          <w:sz w:val="21"/>
          <w:szCs w:val="21"/>
        </w:rPr>
        <w:t>尊敬的投资者：</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sz w:val="21"/>
          <w:szCs w:val="21"/>
          <w:lang w:val="en-US" w:eastAsia="zh-CN"/>
        </w:rPr>
        <w:t>为满足投资者的投资需求，我司拟自</w:t>
      </w:r>
      <w:bookmarkStart w:id="1" w:name="XX机构"/>
      <w:r>
        <w:rPr>
          <w:rFonts w:hint="eastAsia" w:ascii="Times New Roman" w:hAnsi="Times New Roman" w:eastAsia="宋体" w:cs="Times New Roman"/>
          <w:kern w:val="0"/>
          <w:sz w:val="21"/>
          <w:szCs w:val="24"/>
          <w:highlight w:val="none"/>
          <w:lang w:val="en-US" w:eastAsia="zh-CN" w:bidi="ar-SA"/>
        </w:rPr>
        <w:fldChar w:fldCharType="begin">
          <w:ffData>
            <w:name w:val="XX机构"/>
            <w:enabled/>
            <w:calcOnExit w:val="0"/>
            <w:textInput>
              <w:default w:val="2025年10月14日（含）"/>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2025年10月14日（含）</w:t>
      </w:r>
      <w:r>
        <w:rPr>
          <w:rFonts w:hint="eastAsia" w:ascii="Times New Roman" w:hAnsi="Times New Roman" w:eastAsia="宋体" w:cs="Times New Roman"/>
          <w:kern w:val="0"/>
          <w:sz w:val="21"/>
          <w:szCs w:val="24"/>
          <w:highlight w:val="none"/>
          <w:lang w:val="en-US" w:eastAsia="zh-CN" w:bidi="ar-SA"/>
        </w:rPr>
        <w:fldChar w:fldCharType="end"/>
      </w:r>
      <w:bookmarkEnd w:id="1"/>
      <w:r>
        <w:rPr>
          <w:rFonts w:hint="eastAsia" w:ascii="Times New Roman" w:hAnsi="Times New Roman" w:cs="Times New Roman"/>
          <w:kern w:val="0"/>
          <w:sz w:val="21"/>
          <w:szCs w:val="24"/>
          <w:highlight w:val="none"/>
          <w:lang w:val="en-US" w:eastAsia="zh-CN" w:bidi="ar-SA"/>
        </w:rPr>
        <w:t>起，对</w:t>
      </w:r>
      <w:bookmarkStart w:id="2" w:name="FileSave"/>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民生理财贵竹固收增利双周盈14天持有期6号理财产品（产品代码：FBAE41216）"/>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民生理财贵竹固收增利双周盈14天持有期6号理财产品（产品代码：FBAE41216）</w:t>
      </w:r>
      <w:r>
        <w:rPr>
          <w:rFonts w:hint="eastAsia" w:ascii="Times New Roman" w:hAnsi="Times New Roman" w:eastAsia="宋体" w:cs="Times New Roman"/>
          <w:kern w:val="0"/>
          <w:sz w:val="21"/>
          <w:szCs w:val="24"/>
          <w:highlight w:val="none"/>
          <w:lang w:val="en-US" w:eastAsia="zh-CN" w:bidi="ar-SA"/>
        </w:rPr>
        <w:fldChar w:fldCharType="end"/>
      </w:r>
      <w:bookmarkEnd w:id="2"/>
      <w:r>
        <w:rPr>
          <w:rFonts w:hint="eastAsia" w:ascii="Times New Roman" w:hAnsi="Times New Roman" w:cs="Times New Roman"/>
          <w:kern w:val="0"/>
          <w:sz w:val="21"/>
          <w:szCs w:val="24"/>
          <w:highlight w:val="none"/>
          <w:lang w:val="en-US" w:eastAsia="zh-CN" w:bidi="ar-SA"/>
        </w:rPr>
        <w:t>新增</w:t>
      </w:r>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B、E、F、Q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B、E、F、Q份额</w:t>
      </w:r>
      <w:r>
        <w:rPr>
          <w:rFonts w:hint="eastAsia" w:ascii="Times New Roman" w:hAnsi="Times New Roman" w:eastAsia="宋体" w:cs="Times New Roman"/>
          <w:kern w:val="0"/>
          <w:sz w:val="21"/>
          <w:szCs w:val="24"/>
          <w:highlight w:val="none"/>
          <w:lang w:val="en-US" w:eastAsia="zh-CN" w:bidi="ar-SA"/>
        </w:rPr>
        <w:fldChar w:fldCharType="end"/>
      </w:r>
      <w:r>
        <w:rPr>
          <w:rFonts w:hint="eastAsia" w:ascii="Times New Roman" w:hAnsi="Times New Roman" w:cs="Times New Roman"/>
          <w:kern w:val="0"/>
          <w:sz w:val="21"/>
          <w:szCs w:val="24"/>
          <w:highlight w:val="none"/>
          <w:lang w:val="en-US" w:eastAsia="zh-CN" w:bidi="ar-SA"/>
        </w:rPr>
        <w:t>，</w:t>
      </w:r>
      <w:bookmarkStart w:id="3" w:name="Text3"/>
      <w:r>
        <w:rPr>
          <w:rFonts w:hint="eastAsia" w:ascii="Times New Roman" w:hAnsi="Times New Roman" w:eastAsia="宋体" w:cs="Times New Roman"/>
          <w:kern w:val="0"/>
          <w:sz w:val="21"/>
          <w:szCs w:val="24"/>
          <w:highlight w:val="none"/>
          <w:lang w:val="en-US" w:eastAsia="zh-CN" w:bidi="ar-SA"/>
        </w:rPr>
        <w:fldChar w:fldCharType="begin">
          <w:ffData>
            <w:name w:val="Text3"/>
            <w:enabled/>
            <w:calcOnExit w:val="0"/>
            <w:textInput>
              <w:default w:val="并分别面向中国民生银行股份有限公司、广东华兴银行股份有限公司、厦门国际银行股份有限公司、广州银行股份有限公司、广东南粤银行股份有限公司、吉林银行股份有限公司、大连银行股份有限公司、广州农村商业银行股份有限公司进行销售"/>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并分别面向中国民生银行股份有限公司、广东华兴银行股份有限公司、厦门国际银行股份有限公司、广州银行股份有限公司、广东南粤银行股份有限公司、吉林银行股份有限公司、大连银行股份有限公司、广州农村商业银行股份有限公司进行销售</w:t>
      </w:r>
      <w:r>
        <w:rPr>
          <w:rFonts w:hint="eastAsia" w:ascii="Times New Roman" w:hAnsi="Times New Roman" w:eastAsia="宋体" w:cs="Times New Roman"/>
          <w:kern w:val="0"/>
          <w:sz w:val="21"/>
          <w:szCs w:val="24"/>
          <w:highlight w:val="none"/>
          <w:lang w:val="en-US" w:eastAsia="zh-CN" w:bidi="ar-SA"/>
        </w:rPr>
        <w:fldChar w:fldCharType="end"/>
      </w:r>
      <w:bookmarkEnd w:id="3"/>
      <w:r>
        <w:rPr>
          <w:rFonts w:hint="eastAsia" w:ascii="Times New Roman" w:hAnsi="Times New Roman" w:cs="Times New Roman"/>
          <w:kern w:val="0"/>
          <w:sz w:val="21"/>
          <w:szCs w:val="24"/>
          <w:highlight w:val="none"/>
          <w:lang w:val="en-US" w:eastAsia="zh-CN" w:bidi="ar-SA"/>
        </w:rPr>
        <w:t>。</w:t>
      </w:r>
      <w:bookmarkStart w:id="16" w:name="_GoBack"/>
      <w:bookmarkEnd w:id="16"/>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由于</w:t>
      </w:r>
      <w:r>
        <w:rPr>
          <w:rFonts w:hint="eastAsia" w:ascii="宋体" w:hAnsi="宋体" w:eastAsia="宋体" w:cs="宋体"/>
          <w:b w:val="0"/>
          <w:bCs/>
          <w:kern w:val="2"/>
          <w:sz w:val="21"/>
          <w:szCs w:val="21"/>
          <w:lang w:val="en-US" w:eastAsia="zh-CN" w:bidi="ar-SA"/>
        </w:rPr>
        <w:fldChar w:fldCharType="begin">
          <w:ffData>
            <w:name w:val="Text1"/>
            <w:enabled/>
            <w:calcOnExit w:val="0"/>
            <w:textInput>
              <w:default w:val="不同份额的销售对象及适合投资者、认购/申购起点金额、认购/申购递增金额、最小赎回份额、认购/申购金额限制、赎回份额限制、业绩比较基准"/>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不同份额的销售对象及适合投资者、认购/申购起点金额、认购/申购递增金额、最小赎回份额、认购/申购金额限制、赎回份额限制、业绩比较基准</w:t>
      </w:r>
      <w:r>
        <w:rPr>
          <w:rFonts w:hint="eastAsia" w:ascii="宋体" w:hAnsi="宋体" w:eastAsia="宋体" w:cs="宋体"/>
          <w:b w:val="0"/>
          <w:bCs/>
          <w:kern w:val="2"/>
          <w:sz w:val="21"/>
          <w:szCs w:val="21"/>
          <w:lang w:val="en-US" w:eastAsia="zh-CN" w:bidi="ar-SA"/>
        </w:rPr>
        <w:fldChar w:fldCharType="end"/>
      </w:r>
      <w:r>
        <w:rPr>
          <w:rFonts w:hint="eastAsia" w:ascii="宋体" w:hAnsi="宋体" w:eastAsia="宋体" w:cs="宋体"/>
          <w:b w:val="0"/>
          <w:bCs/>
          <w:kern w:val="2"/>
          <w:sz w:val="21"/>
          <w:szCs w:val="21"/>
          <w:lang w:val="en-US" w:eastAsia="zh-CN" w:bidi="ar-SA"/>
        </w:rPr>
        <w:t>等产品要素可能存在差异，因此，产品合同中的相关内容将按照不同份额进行表述。</w:t>
      </w:r>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B、E、F、Q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B、E、F、Q份额</w:t>
      </w:r>
      <w:r>
        <w:rPr>
          <w:rFonts w:hint="eastAsia" w:ascii="Times New Roman" w:hAnsi="Times New Roman" w:eastAsia="宋体" w:cs="Times New Roman"/>
          <w:kern w:val="0"/>
          <w:sz w:val="21"/>
          <w:szCs w:val="24"/>
          <w:highlight w:val="none"/>
          <w:lang w:val="en-US" w:eastAsia="zh-CN" w:bidi="ar-SA"/>
        </w:rPr>
        <w:fldChar w:fldCharType="end"/>
      </w:r>
      <w:r>
        <w:rPr>
          <w:rFonts w:hint="eastAsia" w:ascii="宋体" w:hAnsi="宋体" w:eastAsia="宋体" w:cs="宋体"/>
          <w:b w:val="0"/>
          <w:bCs/>
          <w:kern w:val="2"/>
          <w:sz w:val="21"/>
          <w:szCs w:val="21"/>
          <w:lang w:val="en-US" w:eastAsia="zh-CN" w:bidi="ar-SA"/>
        </w:rPr>
        <w:t>主要要素信息更新如下：</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3"/>
            <w:enabled/>
            <w:calcOnExit w:val="0"/>
            <w:textInput>
              <w:default w:val="一、“一、理财产品基本信息”中："/>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eastAsia="宋体" w:cs="宋体"/>
          <w:b w:val="0"/>
          <w:bCs/>
          <w:kern w:val="2"/>
          <w:sz w:val="21"/>
          <w:szCs w:val="21"/>
          <w:lang w:val="en-US" w:eastAsia="zh-CN" w:bidi="ar-SA"/>
        </w:rPr>
        <w:t>一、“一、理财产品基本信息”中：</w:t>
      </w:r>
      <w:r>
        <w:rPr>
          <w:rFonts w:hint="eastAsia" w:ascii="宋体" w:hAnsi="宋体" w:eastAsia="宋体" w:cs="宋体"/>
          <w:b w:val="0"/>
          <w:bCs/>
          <w:kern w:val="2"/>
          <w:sz w:val="21"/>
          <w:szCs w:val="21"/>
          <w:lang w:val="en-US" w:eastAsia="zh-CN" w:bidi="ar-SA"/>
        </w:rPr>
        <w:fldChar w:fldCharType="end"/>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产品代码</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B份额：FBAE41206B"/>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B份额：FBAE41206B</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E份额：FBAE41206E"/>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E份额：FBAE41206E</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F份额：FBAE41206F"/>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F份额：FBAE41206F</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kern w:val="44"/>
                <w:highlight w:val="none"/>
                <w:lang w:bidi="ar"/>
              </w:rPr>
            </w:pPr>
            <w:bookmarkStart w:id="4" w:name="Text68"/>
            <w:r>
              <w:rPr>
                <w:rFonts w:ascii="Times New Roman" w:hAnsi="Times New Roman" w:eastAsia="宋体" w:cs="Times New Roman"/>
                <w:kern w:val="0"/>
                <w:sz w:val="21"/>
                <w:szCs w:val="24"/>
                <w:highlight w:val="none"/>
                <w:lang w:val="en-US" w:eastAsia="zh-CN" w:bidi="ar-SA"/>
              </w:rPr>
              <w:fldChar w:fldCharType="begin">
                <w:ffData>
                  <w:name w:val="Text68"/>
                  <w:enabled/>
                  <w:calcOnExit w:val="0"/>
                  <w:textInput>
                    <w:default w:val="Q份额：FBAE41206Q"/>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Q份额：FBAE41206Q</w:t>
            </w:r>
            <w:r>
              <w:rPr>
                <w:rFonts w:ascii="Times New Roman" w:hAnsi="Times New Roman" w:eastAsia="宋体" w:cs="Times New Roman"/>
                <w:kern w:val="0"/>
                <w:sz w:val="21"/>
                <w:szCs w:val="24"/>
                <w:highlight w:val="none"/>
                <w:lang w:val="en-US" w:eastAsia="zh-CN" w:bidi="ar-SA"/>
              </w:rPr>
              <w:fldChar w:fldCharType="end"/>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highlight w:val="none"/>
              </w:rPr>
            </w:pPr>
            <w:r>
              <w:rPr>
                <w:kern w:val="0"/>
                <w:highlight w:val="none"/>
              </w:rPr>
              <w:t>销售对象及适合投资者</w:t>
            </w:r>
          </w:p>
        </w:tc>
        <w:tc>
          <w:tcPr>
            <w:tcW w:w="6837"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bidi w:val="0"/>
              <w:spacing w:beforeLines="0" w:afterLines="0" w:line="360" w:lineRule="auto"/>
              <w:ind w:right="0" w:rightChars="0"/>
              <w:textAlignment w:val="auto"/>
              <w:rPr>
                <w:color w:val="000000"/>
                <w:kern w:val="0"/>
                <w:highlight w:val="none"/>
              </w:rPr>
            </w:pPr>
            <w:r>
              <w:rPr>
                <w:kern w:val="44"/>
                <w:highlight w:val="none"/>
                <w:lang w:bidi="ar"/>
              </w:rPr>
              <w:t>本理财产品面向不特定社会公众销售</w:t>
            </w:r>
            <w:bookmarkStart w:id="5" w:name="Text74"/>
            <w:r>
              <w:rPr>
                <w:rFonts w:ascii="Times New Roman" w:hAnsi="Times New Roman" w:eastAsia="宋体" w:cs="Times New Roman"/>
                <w:kern w:val="44"/>
                <w:sz w:val="21"/>
                <w:szCs w:val="24"/>
                <w:highlight w:val="none"/>
                <w:lang w:val="en-US" w:eastAsia="zh-CN" w:bidi="ar"/>
              </w:rPr>
              <w:fldChar w:fldCharType="begin">
                <w:ffData>
                  <w:name w:val="Text74"/>
                  <w:enabled/>
                  <w:calcOnExit w:val="0"/>
                  <w:textInput>
                    <w:default w:val="。其中，B、Q份额：民生银行个人客户；E份额：非民生银行客户；F份额：非民生银行客户，具体以代理销售机构为准。"/>
                  </w:textInput>
                </w:ffData>
              </w:fldChar>
            </w:r>
            <w:r>
              <w:rPr>
                <w:rFonts w:ascii="Times New Roman" w:hAnsi="Times New Roman" w:eastAsia="宋体" w:cs="Times New Roman"/>
                <w:kern w:val="44"/>
                <w:sz w:val="21"/>
                <w:szCs w:val="24"/>
                <w:highlight w:val="none"/>
                <w:lang w:val="en-US" w:eastAsia="zh-CN" w:bidi="ar"/>
              </w:rPr>
              <w:instrText xml:space="preserve">FORMTEXT</w:instrText>
            </w:r>
            <w:r>
              <w:rPr>
                <w:rFonts w:ascii="Times New Roman" w:hAnsi="Times New Roman" w:eastAsia="宋体" w:cs="Times New Roman"/>
                <w:kern w:val="44"/>
                <w:sz w:val="21"/>
                <w:szCs w:val="24"/>
                <w:highlight w:val="none"/>
                <w:lang w:val="en-US" w:eastAsia="zh-CN" w:bidi="ar"/>
              </w:rPr>
              <w:fldChar w:fldCharType="separate"/>
            </w:r>
            <w:r>
              <w:rPr>
                <w:rFonts w:ascii="Times New Roman" w:hAnsi="Times New Roman" w:eastAsia="宋体" w:cs="Times New Roman"/>
                <w:kern w:val="44"/>
                <w:sz w:val="21"/>
                <w:szCs w:val="24"/>
                <w:highlight w:val="none"/>
                <w:lang w:val="en-US" w:eastAsia="zh-CN" w:bidi="ar"/>
              </w:rPr>
              <w:t>。其中，B、Q份额：民生银行个人客户；E份额：非民生银行客户；F份额：非民生银行客户，具体以代理销售机构为准。</w:t>
            </w:r>
            <w:r>
              <w:rPr>
                <w:rFonts w:ascii="Times New Roman" w:hAnsi="Times New Roman" w:eastAsia="宋体" w:cs="Times New Roman"/>
                <w:kern w:val="44"/>
                <w:sz w:val="21"/>
                <w:szCs w:val="24"/>
                <w:highlight w:val="none"/>
                <w:lang w:val="en-US" w:eastAsia="zh-CN" w:bidi="ar"/>
              </w:rPr>
              <w:fldChar w:fldCharType="end"/>
            </w:r>
            <w:bookmarkEnd w:id="5"/>
            <w:r>
              <w:rPr>
                <w:kern w:val="44"/>
                <w:sz w:val="21"/>
                <w:szCs w:val="24"/>
                <w:highlight w:val="none"/>
                <w:lang w:val="en-US" w:eastAsia="zh-CN" w:bidi="ar"/>
              </w:rPr>
              <w:fldChar w:fldCharType="begin">
                <w:ffData>
                  <w:name w:val="Text11"/>
                  <w:enabled/>
                  <w:calcOnExit w:val="0"/>
                  <w:textInput>
                    <w:default w:val="经理财产品管理人评估，购买本理财产品的投资者的风险承受能力评级须为稳健型、平衡型、成长型和进取型。"/>
                  </w:textInput>
                </w:ffData>
              </w:fldChar>
            </w:r>
            <w:r>
              <w:rPr>
                <w:kern w:val="44"/>
                <w:sz w:val="21"/>
                <w:szCs w:val="24"/>
                <w:highlight w:val="none"/>
                <w:lang w:val="en-US" w:eastAsia="zh-CN" w:bidi="ar"/>
              </w:rPr>
              <w:instrText xml:space="preserve">FORMTEXT</w:instrText>
            </w:r>
            <w:r>
              <w:rPr>
                <w:kern w:val="44"/>
                <w:sz w:val="21"/>
                <w:szCs w:val="24"/>
                <w:highlight w:val="none"/>
                <w:lang w:val="en-US" w:eastAsia="zh-CN" w:bidi="ar"/>
              </w:rPr>
              <w:fldChar w:fldCharType="separate"/>
            </w:r>
            <w:r>
              <w:rPr>
                <w:kern w:val="44"/>
                <w:sz w:val="21"/>
                <w:szCs w:val="24"/>
                <w:highlight w:val="none"/>
                <w:lang w:val="en-US" w:eastAsia="zh-CN" w:bidi="ar"/>
              </w:rPr>
              <w:t>经理财产品管理人评估，购买本理财产品的投资者的风险承受能力评级须为稳健型、平衡型、成长型和进取型。</w:t>
            </w:r>
            <w:r>
              <w:rPr>
                <w:kern w:val="44"/>
                <w:sz w:val="21"/>
                <w:szCs w:val="24"/>
                <w:highlight w:val="none"/>
                <w:lang w:val="en-US" w:eastAsia="zh-CN" w:bidi="ar"/>
              </w:rPr>
              <w:fldChar w:fldCharType="end"/>
            </w:r>
            <w:bookmarkStart w:id="6" w:name="Text52"/>
            <w:r>
              <w:rPr>
                <w:rFonts w:hint="default"/>
                <w:kern w:val="44"/>
                <w:sz w:val="21"/>
                <w:szCs w:val="24"/>
                <w:highlight w:val="none"/>
                <w:lang w:val="en-US" w:eastAsia="zh-CN" w:bidi="ar"/>
              </w:rPr>
              <w:fldChar w:fldCharType="begin">
                <w:ffData>
                  <w:name w:val="Text52"/>
                  <w:enabled/>
                  <w:calcOnExit w:val="0"/>
                  <w:textInput>
                    <w:default w:val="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
                  </w:textInput>
                </w:ffData>
              </w:fldChar>
            </w:r>
            <w:r>
              <w:rPr>
                <w:rFonts w:hint="default"/>
                <w:kern w:val="44"/>
                <w:sz w:val="21"/>
                <w:szCs w:val="24"/>
                <w:highlight w:val="none"/>
                <w:lang w:val="en-US" w:eastAsia="zh-CN" w:bidi="ar"/>
              </w:rPr>
              <w:instrText xml:space="preserve">FORMTEXT</w:instrText>
            </w:r>
            <w:r>
              <w:rPr>
                <w:rFonts w:hint="default"/>
                <w:kern w:val="44"/>
                <w:sz w:val="21"/>
                <w:szCs w:val="24"/>
                <w:highlight w:val="none"/>
                <w:lang w:val="en-US" w:eastAsia="zh-CN" w:bidi="ar"/>
              </w:rPr>
              <w:fldChar w:fldCharType="separate"/>
            </w:r>
            <w:r>
              <w:rPr>
                <w:rFonts w:hint="default"/>
                <w:kern w:val="44"/>
                <w:sz w:val="21"/>
                <w:szCs w:val="24"/>
                <w:highlight w:val="none"/>
                <w:lang w:val="en-US" w:eastAsia="zh-CN" w:bidi="ar"/>
              </w:rPr>
              <w:t>如代理销售机构对本理财产品的风险评级与管理人评级不一致，以代理销售机构最终披露的评级结果对应的销售对象及适合投资者为准。如代理销售机构适用和管理人不同的投资者与理财产品的匹配方法，以代理销售机构向投资者最终披露的匹配方法为准。</w:t>
            </w:r>
            <w:r>
              <w:rPr>
                <w:rFonts w:hint="default"/>
                <w:kern w:val="44"/>
                <w:sz w:val="21"/>
                <w:szCs w:val="24"/>
                <w:highlight w:val="none"/>
                <w:lang w:val="en-US" w:eastAsia="zh-CN" w:bidi="ar"/>
              </w:rPr>
              <w:fldChar w:fldCharType="end"/>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认购/申购起点金额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bookmarkStart w:id="7" w:name="Text60"/>
            <w:r>
              <w:rPr>
                <w:rFonts w:ascii="Times New Roman" w:hAnsi="Times New Roman" w:eastAsia="宋体" w:cs="Times New Roman"/>
                <w:kern w:val="0"/>
                <w:sz w:val="21"/>
                <w:szCs w:val="24"/>
                <w:highlight w:val="none"/>
                <w:lang w:val="en-US" w:eastAsia="zh-CN" w:bidi="ar-SA"/>
              </w:rPr>
              <w:fldChar w:fldCharType="begin">
                <w:ffData>
                  <w:name w:val="Text60"/>
                  <w:enabled/>
                  <w:calcOnExit w:val="0"/>
                  <w:textInput>
                    <w:default w:val="B份额：【10】万元；E份额：【1】元；F份额：【1】元；Q份额：【1000】万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B份额：【10】万元；E份额：【1】元；</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F份额：【1】元；Q份额：【1000】万元。</w:t>
            </w:r>
            <w:r>
              <w:rPr>
                <w:rFonts w:ascii="Times New Roman" w:hAnsi="Times New Roman" w:eastAsia="宋体" w:cs="Times New Roman"/>
                <w:kern w:val="0"/>
                <w:sz w:val="21"/>
                <w:szCs w:val="24"/>
                <w:highlight w:val="none"/>
                <w:lang w:val="en-US" w:eastAsia="zh-CN" w:bidi="ar-SA"/>
              </w:rPr>
              <w:fldChar w:fldCharType="end"/>
            </w:r>
            <w:bookmarkEnd w:id="7"/>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认购/申购递增金额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bookmarkStart w:id="8" w:name="Text41"/>
            <w:r>
              <w:rPr>
                <w:rFonts w:ascii="Times New Roman" w:hAnsi="Times New Roman" w:eastAsia="宋体" w:cs="Times New Roman"/>
                <w:kern w:val="0"/>
                <w:sz w:val="21"/>
                <w:szCs w:val="24"/>
                <w:highlight w:val="none"/>
                <w:lang w:val="en-US" w:eastAsia="zh-CN" w:bidi="ar-SA"/>
              </w:rPr>
              <w:fldChar w:fldCharType="begin">
                <w:ffData>
                  <w:name w:val="Text41"/>
                  <w:enabled/>
                  <w:calcOnExit w:val="0"/>
                  <w:textInput>
                    <w:default w:val="B份额：【1】元；E份额：【1】元；F份额：【1】元；Q份额：【1】元。"/>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B份额：【1】元；E份额：【1】元；</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F份额：【1】元；Q份额：【1】元。</w:t>
            </w:r>
            <w:r>
              <w:rPr>
                <w:rFonts w:ascii="Times New Roman" w:hAnsi="Times New Roman" w:eastAsia="宋体" w:cs="Times New Roman"/>
                <w:kern w:val="0"/>
                <w:sz w:val="21"/>
                <w:szCs w:val="24"/>
                <w:highlight w:val="none"/>
                <w:lang w:val="en-US" w:eastAsia="zh-CN" w:bidi="ar-SA"/>
              </w:rPr>
              <w:fldChar w:fldCharType="end"/>
            </w:r>
            <w:bookmarkEnd w:id="8"/>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最小赎回份额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B份额：【0.01】份；E份额：【0.01】份；F份额：【0.01】份；Q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B份额：【0.01】份；E份额：【0.01】份；</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F份额：【0.01】份；Q份额：【0.01】份。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最低持有份额</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eastAsia="宋体" w:cs="Times New Roman"/>
                <w:kern w:val="0"/>
                <w:sz w:val="21"/>
                <w:szCs w:val="24"/>
                <w:highlight w:val="none"/>
                <w:lang w:val="en-US" w:eastAsia="zh-CN" w:bidi="ar-SA"/>
              </w:rPr>
            </w:pPr>
            <w:r>
              <w:rPr>
                <w:rFonts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B份额：【0.01】份；E份额：【0.01】份；F份额：【0.01】份；Q份额：【0.01】份。"/>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B份额：【0.01】份；E份额：【0.01】份；</w:t>
            </w:r>
          </w:p>
          <w:p>
            <w:pPr>
              <w:spacing w:beforeLines="0" w:afterLines="0" w:line="360" w:lineRule="auto"/>
              <w:rPr>
                <w:kern w:val="44"/>
                <w:highlight w:val="none"/>
                <w:lang w:bidi="ar"/>
              </w:rPr>
            </w:pPr>
            <w:r>
              <w:rPr>
                <w:rFonts w:ascii="Times New Roman" w:hAnsi="Times New Roman" w:eastAsia="宋体" w:cs="Times New Roman"/>
                <w:kern w:val="0"/>
                <w:sz w:val="21"/>
                <w:szCs w:val="24"/>
                <w:highlight w:val="none"/>
                <w:lang w:val="en-US" w:eastAsia="zh-CN" w:bidi="ar-SA"/>
              </w:rPr>
              <w:t>F份额：【0.01】份；Q份额：【0.01】份。</w:t>
            </w:r>
            <w:r>
              <w:rPr>
                <w:rFonts w:ascii="Times New Roman" w:hAnsi="Times New Roman" w:eastAsia="宋体" w:cs="Times New Roman"/>
                <w:kern w:val="0"/>
                <w:sz w:val="21"/>
                <w:szCs w:val="24"/>
                <w:highlight w:val="none"/>
                <w:lang w:val="en-US" w:eastAsia="zh-CN" w:bidi="ar-SA"/>
              </w:rPr>
              <w:fldChar w:fldCharType="end"/>
            </w:r>
            <w:r>
              <w:rPr>
                <w:rFonts w:ascii="Times New Roman" w:hAnsi="Times New Roman" w:cs="Times New Roman"/>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认购/申购</w:t>
            </w:r>
            <w:r>
              <w:rPr>
                <w:rFonts w:hint="eastAsia"/>
                <w:color w:val="000000"/>
                <w:kern w:val="0"/>
                <w:szCs w:val="21"/>
                <w:highlight w:val="none"/>
                <w:lang w:eastAsia="zh-CN"/>
              </w:rPr>
              <w:t>金额限制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kern w:val="0"/>
                <w:sz w:val="21"/>
                <w:szCs w:val="24"/>
                <w:highlight w:val="none"/>
                <w:lang w:val="en-US" w:eastAsia="zh-CN" w:bidi="ar-SA"/>
              </w:rPr>
            </w:pPr>
            <w:bookmarkStart w:id="9" w:name="Text43"/>
            <w:r>
              <w:rPr>
                <w:rFonts w:hint="eastAsia"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B份额：无限制。&#13;&#10;E份额：无限制。&#13;&#10;F份额：无限制。&#13;&#10;Q份额：无限制。"/>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B份额：无限制。</w:t>
            </w:r>
            <w:r>
              <w:rPr>
                <w:rFonts w:hint="eastAsia" w:ascii="Times New Roman" w:hAnsi="Times New Roman" w:eastAsia="宋体" w:cs="Times New Roman"/>
                <w:kern w:val="0"/>
                <w:sz w:val="21"/>
                <w:szCs w:val="24"/>
                <w:highlight w:val="none"/>
                <w:lang w:val="en-US" w:eastAsia="zh-CN" w:bidi="ar-SA"/>
              </w:rPr>
              <w:cr/>
            </w:r>
            <w:r>
              <w:rPr>
                <w:rFonts w:hint="eastAsia" w:ascii="Times New Roman" w:hAnsi="Times New Roman" w:eastAsia="宋体" w:cs="Times New Roman"/>
                <w:kern w:val="0"/>
                <w:sz w:val="21"/>
                <w:szCs w:val="24"/>
                <w:highlight w:val="none"/>
                <w:lang w:val="en-US" w:eastAsia="zh-CN" w:bidi="ar-SA"/>
              </w:rPr>
              <w:t>E份额：无限制。</w:t>
            </w:r>
            <w:r>
              <w:rPr>
                <w:rFonts w:hint="eastAsia" w:ascii="Times New Roman" w:hAnsi="Times New Roman" w:eastAsia="宋体" w:cs="Times New Roman"/>
                <w:kern w:val="0"/>
                <w:sz w:val="21"/>
                <w:szCs w:val="24"/>
                <w:highlight w:val="none"/>
                <w:lang w:val="en-US" w:eastAsia="zh-CN" w:bidi="ar-SA"/>
              </w:rPr>
              <w:cr/>
            </w:r>
            <w:r>
              <w:rPr>
                <w:rFonts w:hint="eastAsia" w:ascii="Times New Roman" w:hAnsi="Times New Roman" w:eastAsia="宋体" w:cs="Times New Roman"/>
                <w:kern w:val="0"/>
                <w:sz w:val="21"/>
                <w:szCs w:val="24"/>
                <w:highlight w:val="none"/>
                <w:lang w:val="en-US" w:eastAsia="zh-CN" w:bidi="ar-SA"/>
              </w:rPr>
              <w:t>F份额：无限制。</w:t>
            </w:r>
            <w:r>
              <w:rPr>
                <w:rFonts w:hint="eastAsia" w:ascii="Times New Roman" w:hAnsi="Times New Roman" w:eastAsia="宋体" w:cs="Times New Roman"/>
                <w:kern w:val="0"/>
                <w:sz w:val="21"/>
                <w:szCs w:val="24"/>
                <w:highlight w:val="none"/>
                <w:lang w:val="en-US" w:eastAsia="zh-CN" w:bidi="ar-SA"/>
              </w:rPr>
              <w:cr/>
            </w:r>
            <w:r>
              <w:rPr>
                <w:rFonts w:hint="eastAsia" w:ascii="Times New Roman" w:hAnsi="Times New Roman" w:eastAsia="宋体" w:cs="Times New Roman"/>
                <w:kern w:val="0"/>
                <w:sz w:val="21"/>
                <w:szCs w:val="24"/>
                <w:highlight w:val="none"/>
                <w:lang w:val="en-US" w:eastAsia="zh-CN" w:bidi="ar-SA"/>
              </w:rPr>
              <w:t>Q份额：无限制。</w:t>
            </w:r>
            <w:r>
              <w:rPr>
                <w:rFonts w:hint="eastAsia" w:ascii="Times New Roman" w:hAnsi="Times New Roman" w:eastAsia="宋体" w:cs="Times New Roman"/>
                <w:kern w:val="0"/>
                <w:sz w:val="21"/>
                <w:szCs w:val="24"/>
                <w:highlight w:val="none"/>
                <w:lang w:val="en-US" w:eastAsia="zh-CN" w:bidi="ar-SA"/>
              </w:rPr>
              <w:fldChar w:fldCharType="end"/>
            </w:r>
          </w:p>
          <w:p>
            <w:pPr>
              <w:keepLines w:val="0"/>
              <w:pageBreakBefore w:val="0"/>
              <w:kinsoku/>
              <w:wordWrap/>
              <w:overflowPunct/>
              <w:topLinePunct w:val="0"/>
              <w:bidi w:val="0"/>
              <w:spacing w:beforeLines="0" w:afterLines="0" w:line="360" w:lineRule="auto"/>
              <w:ind w:right="0" w:rightChars="0"/>
              <w:textAlignment w:val="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Text43"/>
                  <w:enabled/>
                  <w:calcOnExit w:val="0"/>
                  <w:textInput>
                    <w:default w:val="管理人可对认购/申购金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管理人可对认购/申购金额限制进行调整，并以公告方式进行信息披露。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color w:val="000000"/>
                <w:kern w:val="0"/>
                <w:szCs w:val="21"/>
                <w:highlight w:val="none"/>
              </w:rPr>
            </w:pPr>
            <w:r>
              <w:rPr>
                <w:rFonts w:hint="default" w:ascii="Times New Roman" w:hAnsi="Times New Roman" w:cs="Times New Roman"/>
                <w:b w:val="0"/>
                <w:bCs w:val="0"/>
                <w:color w:val="000000"/>
                <w:kern w:val="0"/>
                <w:szCs w:val="21"/>
                <w:highlight w:val="none"/>
                <w:lang w:val="en-US" w:eastAsia="zh-CN"/>
              </w:rPr>
              <w:t>最高持有份额限制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rFonts w:hint="eastAsia" w:ascii="Times New Roman" w:hAnsi="Times New Roman" w:eastAsia="宋体" w:cs="Times New Roman"/>
                <w:kern w:val="0"/>
                <w:sz w:val="21"/>
                <w:szCs w:val="24"/>
                <w:highlight w:val="none"/>
                <w:lang w:val="en-US" w:eastAsia="zh-CN" w:bidi="ar-SA"/>
              </w:rPr>
            </w:pPr>
            <w:r>
              <w:rPr>
                <w:rFonts w:hint="eastAsia"/>
                <w:b/>
                <w:bCs/>
                <w:kern w:val="0"/>
                <w:highlight w:val="none"/>
                <w:lang w:val="en-US" w:eastAsia="zh-CN"/>
              </w:rPr>
              <w:fldChar w:fldCharType="begin">
                <w:ffData>
                  <w:name w:val="Text55"/>
                  <w:enabled/>
                  <w:calcOnExit w:val="0"/>
                  <w:textInput>
                    <w:default w:val="单一投资者持有份额不超过本理财产品总份额的50%。"/>
                  </w:textInput>
                </w:ffData>
              </w:fldChar>
            </w:r>
            <w:r>
              <w:rPr>
                <w:rFonts w:hint="eastAsia"/>
                <w:b/>
                <w:bCs/>
                <w:kern w:val="0"/>
                <w:highlight w:val="none"/>
                <w:lang w:val="en-US" w:eastAsia="zh-CN"/>
              </w:rPr>
              <w:instrText xml:space="preserve">FORMTEXT</w:instrText>
            </w:r>
            <w:r>
              <w:rPr>
                <w:rFonts w:hint="eastAsia"/>
                <w:b/>
                <w:bCs/>
                <w:kern w:val="0"/>
                <w:highlight w:val="none"/>
                <w:lang w:val="en-US" w:eastAsia="zh-CN"/>
              </w:rPr>
              <w:fldChar w:fldCharType="separate"/>
            </w:r>
            <w:r>
              <w:rPr>
                <w:rFonts w:hint="eastAsia"/>
                <w:b/>
                <w:bCs/>
                <w:kern w:val="0"/>
                <w:highlight w:val="none"/>
                <w:lang w:val="en-US" w:eastAsia="zh-CN"/>
              </w:rPr>
              <w:t>单一投资者持有份额不超过本理财产品总份额的50%。</w:t>
            </w:r>
            <w:r>
              <w:rPr>
                <w:rFonts w:hint="eastAsia"/>
                <w:b/>
                <w:bCs/>
                <w:kern w:val="0"/>
                <w:highlight w:val="no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kern w:val="0"/>
                <w:highlight w:val="none"/>
              </w:rPr>
            </w:pPr>
            <w:r>
              <w:rPr>
                <w:color w:val="000000"/>
                <w:kern w:val="0"/>
                <w:szCs w:val="21"/>
                <w:highlight w:val="none"/>
              </w:rPr>
              <w:t>赎回</w:t>
            </w:r>
            <w:r>
              <w:rPr>
                <w:rFonts w:hint="eastAsia"/>
                <w:color w:val="000000"/>
                <w:kern w:val="0"/>
                <w:szCs w:val="21"/>
                <w:highlight w:val="none"/>
                <w:lang w:eastAsia="zh-CN"/>
              </w:rPr>
              <w:t>份额限制</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textAlignment w:val="auto"/>
              <w:rPr>
                <w:kern w:val="0"/>
                <w:sz w:val="21"/>
                <w:szCs w:val="24"/>
                <w:highlight w:val="none"/>
                <w:lang w:val="en-US" w:eastAsia="zh-CN" w:bidi="ar-SA"/>
              </w:rPr>
            </w:pPr>
            <w:r>
              <w:rPr>
                <w:rFonts w:hint="eastAsia"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B份额：无限制。&#13;&#10;E份额：无限制。&#13;&#10;F份额：无限制。&#13;&#10;Q份额：无限制。"/>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B份额：无限制。</w:t>
            </w:r>
            <w:r>
              <w:rPr>
                <w:rFonts w:hint="eastAsia" w:ascii="Times New Roman" w:hAnsi="Times New Roman" w:eastAsia="宋体" w:cs="Times New Roman"/>
                <w:kern w:val="0"/>
                <w:sz w:val="21"/>
                <w:szCs w:val="24"/>
                <w:highlight w:val="none"/>
                <w:lang w:val="en-US" w:eastAsia="zh-CN" w:bidi="ar-SA"/>
              </w:rPr>
              <w:cr/>
            </w:r>
            <w:r>
              <w:rPr>
                <w:rFonts w:hint="eastAsia" w:ascii="Times New Roman" w:hAnsi="Times New Roman" w:eastAsia="宋体" w:cs="Times New Roman"/>
                <w:kern w:val="0"/>
                <w:sz w:val="21"/>
                <w:szCs w:val="24"/>
                <w:highlight w:val="none"/>
                <w:lang w:val="en-US" w:eastAsia="zh-CN" w:bidi="ar-SA"/>
              </w:rPr>
              <w:t>E份额：无限制。</w:t>
            </w:r>
            <w:r>
              <w:rPr>
                <w:rFonts w:hint="eastAsia" w:ascii="Times New Roman" w:hAnsi="Times New Roman" w:eastAsia="宋体" w:cs="Times New Roman"/>
                <w:kern w:val="0"/>
                <w:sz w:val="21"/>
                <w:szCs w:val="24"/>
                <w:highlight w:val="none"/>
                <w:lang w:val="en-US" w:eastAsia="zh-CN" w:bidi="ar-SA"/>
              </w:rPr>
              <w:cr/>
            </w:r>
            <w:r>
              <w:rPr>
                <w:rFonts w:hint="eastAsia" w:ascii="Times New Roman" w:hAnsi="Times New Roman" w:eastAsia="宋体" w:cs="Times New Roman"/>
                <w:kern w:val="0"/>
                <w:sz w:val="21"/>
                <w:szCs w:val="24"/>
                <w:highlight w:val="none"/>
                <w:lang w:val="en-US" w:eastAsia="zh-CN" w:bidi="ar-SA"/>
              </w:rPr>
              <w:t>F份额：无限制。</w:t>
            </w:r>
            <w:r>
              <w:rPr>
                <w:rFonts w:hint="eastAsia" w:ascii="Times New Roman" w:hAnsi="Times New Roman" w:eastAsia="宋体" w:cs="Times New Roman"/>
                <w:kern w:val="0"/>
                <w:sz w:val="21"/>
                <w:szCs w:val="24"/>
                <w:highlight w:val="none"/>
                <w:lang w:val="en-US" w:eastAsia="zh-CN" w:bidi="ar-SA"/>
              </w:rPr>
              <w:cr/>
            </w:r>
            <w:r>
              <w:rPr>
                <w:rFonts w:hint="eastAsia" w:ascii="Times New Roman" w:hAnsi="Times New Roman" w:eastAsia="宋体" w:cs="Times New Roman"/>
                <w:kern w:val="0"/>
                <w:sz w:val="21"/>
                <w:szCs w:val="24"/>
                <w:highlight w:val="none"/>
                <w:lang w:val="en-US" w:eastAsia="zh-CN" w:bidi="ar-SA"/>
              </w:rPr>
              <w:t>Q份额：无限制。</w:t>
            </w:r>
            <w:r>
              <w:rPr>
                <w:rFonts w:hint="eastAsia"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kern w:val="44"/>
                <w:highlight w:val="none"/>
                <w:lang w:bidi="ar"/>
              </w:rPr>
            </w:pPr>
            <w:r>
              <w:rPr>
                <w:rFonts w:hint="eastAsia" w:ascii="Times New Roman" w:hAnsi="Times New Roman" w:eastAsia="宋体" w:cs="Times New Roman"/>
                <w:kern w:val="0"/>
                <w:sz w:val="21"/>
                <w:szCs w:val="24"/>
                <w:highlight w:val="none"/>
                <w:lang w:val="en-US" w:eastAsia="zh-CN" w:bidi="ar-SA"/>
              </w:rPr>
              <w:fldChar w:fldCharType="begin">
                <w:ffData>
                  <w:name w:val="FileSave"/>
                  <w:enabled/>
                  <w:calcOnExit w:val="0"/>
                  <w:textInput>
                    <w:default w:val="管理人可对赎回份额限制进行调整，并以公告方式进行信息披露。"/>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管理人可对赎回份额限制进行调整，并以公告方式进行信息披露。</w:t>
            </w:r>
            <w:r>
              <w:rPr>
                <w:rFonts w:hint="eastAsia" w:ascii="Times New Roman" w:hAnsi="Times New Roman" w:eastAsia="宋体" w:cs="Times New Roman"/>
                <w:kern w:val="0"/>
                <w:sz w:val="21"/>
                <w:szCs w:val="24"/>
                <w:highlight w:val="none"/>
                <w:lang w:val="en-US" w:eastAsia="zh-CN" w:bidi="ar-SA"/>
              </w:rPr>
              <w:fldChar w:fldCharType="end"/>
            </w:r>
            <w:r>
              <w:rPr>
                <w:b/>
                <w:bCs/>
                <w:highlight w:val="none"/>
              </w:rPr>
              <w:t>如发生巨额赎回，</w:t>
            </w:r>
            <w:r>
              <w:rPr>
                <w:rFonts w:hint="eastAsia"/>
                <w:b/>
                <w:bCs/>
                <w:highlight w:val="none"/>
                <w:lang w:eastAsia="zh-CN"/>
              </w:rPr>
              <w:t>则</w:t>
            </w:r>
            <w:r>
              <w:rPr>
                <w:b/>
                <w:bCs/>
                <w:highlight w:val="none"/>
              </w:rPr>
              <w:t>按照理财产品合同约定的巨额赎回处理。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pacing w:beforeLines="0" w:afterLines="0" w:line="360" w:lineRule="auto"/>
              <w:ind w:right="0" w:rightChars="0"/>
              <w:jc w:val="center"/>
              <w:textAlignment w:val="auto"/>
              <w:rPr>
                <w:rFonts w:ascii="Times New Roman" w:hAnsi="Times New Roman" w:cs="Times New Roman"/>
                <w:color w:val="000000"/>
                <w:kern w:val="0"/>
                <w:szCs w:val="21"/>
                <w:highlight w:val="none"/>
              </w:rPr>
            </w:pPr>
            <w:r>
              <w:rPr>
                <w:color w:val="000000"/>
                <w:kern w:val="0"/>
                <w:szCs w:val="21"/>
                <w:highlight w:val="none"/>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B份额：1.50%-2.1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B份额：1.50%-2.10%（年化）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E份额：1.50%-2.1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E份额：1.50%-2.10%（年化）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F份额：1.50%-2.1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F份额：1.50%-2.10%（年化）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kern w:val="44"/>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Q份额：1.50%-2.1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Q份额：1.50%-2.10%（年化）</w:t>
            </w:r>
            <w:r>
              <w:rPr>
                <w:rFonts w:hint="default" w:ascii="Times New Roman" w:hAnsi="Times New Roman" w:eastAsia="宋体" w:cs="Times New Roman"/>
                <w:kern w:val="0"/>
                <w:sz w:val="21"/>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highlight w:val="none"/>
                <w:lang w:val="en-US" w:eastAsia="zh-CN"/>
              </w:rPr>
            </w:pPr>
            <w:r>
              <w:rPr>
                <w:rFonts w:hint="default"/>
                <w:kern w:val="44"/>
                <w:sz w:val="21"/>
                <w:szCs w:val="24"/>
                <w:highlight w:val="none"/>
                <w:lang w:val="en-US" w:eastAsia="zh-CN" w:bidi="ar-SA"/>
              </w:rPr>
              <w:fldChar w:fldCharType="begin">
                <w:ffData>
                  <w:name w:val="Text77"/>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default"/>
                <w:kern w:val="44"/>
                <w:sz w:val="21"/>
                <w:szCs w:val="24"/>
                <w:highlight w:val="none"/>
                <w:lang w:val="en-US" w:eastAsia="zh-CN" w:bidi="ar-SA"/>
              </w:rPr>
              <w:instrText xml:space="preserve">FORMTEXT</w:instrText>
            </w:r>
            <w:r>
              <w:rPr>
                <w:rFonts w:hint="default"/>
                <w:kern w:val="44"/>
                <w:sz w:val="21"/>
                <w:szCs w:val="24"/>
                <w:highlight w:val="none"/>
                <w:lang w:val="en-US" w:eastAsia="zh-CN" w:bidi="ar-SA"/>
              </w:rPr>
              <w:fldChar w:fldCharType="separate"/>
            </w:r>
            <w:r>
              <w:rPr>
                <w:rFonts w:hint="default"/>
                <w:kern w:val="44"/>
                <w:sz w:val="21"/>
                <w:szCs w:val="24"/>
                <w:highlight w:val="none"/>
                <w:lang w:val="en-US" w:eastAsia="zh-CN" w:bidi="ar-SA"/>
              </w:rPr>
              <w:t>业绩比较基准不是预期收益率，不代表产品的未来表现和实际收益，不构成对产品收益的承诺。本理财产品计划投资于固定收益类资产的比例不低于85%；投资于优先股等权益类资产的比例不超过10%；投资于商品及金融衍生品类资产的比例不超过5%。本业绩比较基准由管理人依据理财产品的投资范围及比例、投资策略、收益测算、产品费用，并综合考量市场环境等因素制定。</w:t>
            </w:r>
            <w:r>
              <w:rPr>
                <w:rFonts w:hint="default"/>
                <w:kern w:val="44"/>
                <w:sz w:val="21"/>
                <w:szCs w:val="24"/>
                <w:highlight w:val="none"/>
                <w:lang w:val="en-US" w:eastAsia="zh-CN"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jc w:val="center"/>
              <w:rPr>
                <w:color w:val="000000"/>
                <w:kern w:val="0"/>
                <w:szCs w:val="21"/>
                <w:highlight w:val="none"/>
              </w:rPr>
            </w:pPr>
            <w:r>
              <w:rPr>
                <w:rFonts w:ascii="Times New Roman" w:hAnsi="Times New Roman" w:cs="Times New Roman"/>
                <w:color w:val="000000"/>
                <w:kern w:val="0"/>
                <w:szCs w:val="21"/>
                <w:highlight w:val="none"/>
              </w:rPr>
              <w:t>产品费用</w:t>
            </w:r>
          </w:p>
        </w:tc>
        <w:tc>
          <w:tcPr>
            <w:tcW w:w="6837" w:type="dxa"/>
            <w:tcBorders>
              <w:top w:val="single" w:color="auto" w:sz="4" w:space="0"/>
              <w:left w:val="single" w:color="auto" w:sz="4" w:space="0"/>
              <w:bottom w:val="single" w:color="auto" w:sz="4" w:space="0"/>
              <w:right w:val="single" w:color="auto" w:sz="4" w:space="0"/>
            </w:tcBorders>
            <w:vAlign w:val="center"/>
          </w:tcPr>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1. 固定管理费率：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3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【0.30】%/年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2. 销售费率：</w:t>
            </w:r>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30】%/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【0.30】%/年</w:t>
            </w:r>
            <w:r>
              <w:rPr>
                <w:rFonts w:ascii="Times New Roman" w:hAnsi="Times New Roman" w:eastAsia="宋体" w:cs="Times New Roman"/>
                <w:kern w:val="0"/>
                <w:sz w:val="21"/>
                <w:szCs w:val="24"/>
                <w:highlight w:val="none"/>
                <w:lang w:val="en-US" w:eastAsia="zh-CN" w:bidi="ar-SA"/>
              </w:rPr>
              <w:fldChar w:fldCharType="end"/>
            </w:r>
          </w:p>
          <w:p>
            <w:pPr>
              <w:spacing w:beforeLines="0" w:afterLines="0" w:line="360" w:lineRule="auto"/>
              <w:rPr>
                <w:rFonts w:ascii="Times New Roman" w:hAnsi="Times New Roman" w:cs="Times New Roman"/>
                <w:kern w:val="0"/>
                <w:highlight w:val="none"/>
              </w:rPr>
            </w:pPr>
            <w:r>
              <w:rPr>
                <w:rFonts w:ascii="Times New Roman" w:hAnsi="Times New Roman" w:cs="Times New Roman"/>
                <w:kern w:val="0"/>
                <w:highlight w:val="none"/>
              </w:rPr>
              <w:t>3. 托管费率：</w:t>
            </w:r>
            <w:bookmarkStart w:id="10" w:name="Text14"/>
            <w:r>
              <w:rPr>
                <w:rFonts w:ascii="Times New Roman" w:hAnsi="Times New Roman" w:eastAsia="宋体" w:cs="Times New Roman"/>
                <w:kern w:val="0"/>
                <w:sz w:val="21"/>
                <w:szCs w:val="24"/>
                <w:highlight w:val="none"/>
                <w:lang w:val="en-US" w:eastAsia="zh-CN" w:bidi="ar-SA"/>
              </w:rPr>
              <w:fldChar w:fldCharType="begin">
                <w:ffData>
                  <w:name w:val="Text14"/>
                  <w:enabled/>
                  <w:calcOnExit w:val="0"/>
                  <w:textInput>
                    <w:default w:val="【0.03】%/年"/>
                  </w:textInput>
                </w:ffData>
              </w:fldChar>
            </w:r>
            <w:r>
              <w:rPr>
                <w:rFonts w:ascii="Times New Roman" w:hAnsi="Times New Roman" w:eastAsia="宋体" w:cs="Times New Roman"/>
                <w:kern w:val="0"/>
                <w:sz w:val="21"/>
                <w:szCs w:val="24"/>
                <w:highlight w:val="none"/>
                <w:lang w:val="en-US" w:eastAsia="zh-CN" w:bidi="ar-SA"/>
              </w:rPr>
              <w:instrText xml:space="preserve">FORMTEXT</w:instrText>
            </w:r>
            <w:r>
              <w:rPr>
                <w:rFonts w:ascii="Times New Roman" w:hAnsi="Times New Roman" w:eastAsia="宋体" w:cs="Times New Roman"/>
                <w:kern w:val="0"/>
                <w:sz w:val="21"/>
                <w:szCs w:val="24"/>
                <w:highlight w:val="none"/>
                <w:lang w:val="en-US" w:eastAsia="zh-CN" w:bidi="ar-SA"/>
              </w:rPr>
              <w:fldChar w:fldCharType="separate"/>
            </w:r>
            <w:r>
              <w:rPr>
                <w:rFonts w:ascii="Times New Roman" w:hAnsi="Times New Roman" w:eastAsia="宋体" w:cs="Times New Roman"/>
                <w:kern w:val="0"/>
                <w:sz w:val="21"/>
                <w:szCs w:val="24"/>
                <w:highlight w:val="none"/>
                <w:lang w:val="en-US" w:eastAsia="zh-CN" w:bidi="ar-SA"/>
              </w:rPr>
              <w:t>【0.03】%/年</w:t>
            </w:r>
            <w:r>
              <w:rPr>
                <w:rFonts w:ascii="Times New Roman" w:hAnsi="Times New Roman" w:eastAsia="宋体" w:cs="Times New Roman"/>
                <w:kern w:val="0"/>
                <w:sz w:val="21"/>
                <w:szCs w:val="24"/>
                <w:highlight w:val="none"/>
                <w:lang w:val="en-US" w:eastAsia="zh-CN" w:bidi="ar-SA"/>
              </w:rPr>
              <w:fldChar w:fldCharType="end"/>
            </w:r>
            <w:bookmarkEnd w:id="10"/>
          </w:p>
          <w:p>
            <w:pPr>
              <w:spacing w:beforeLines="0" w:afterLines="0" w:line="360" w:lineRule="auto"/>
              <w:rPr>
                <w:rFonts w:hint="default"/>
                <w:kern w:val="44"/>
                <w:sz w:val="21"/>
                <w:szCs w:val="24"/>
                <w:highlight w:val="none"/>
                <w:lang w:val="en-US" w:eastAsia="zh-CN" w:bidi="ar-SA"/>
              </w:rPr>
            </w:pPr>
            <w:r>
              <w:rPr>
                <w:rFonts w:hint="default" w:ascii="Times New Roman" w:hAnsi="Times New Roman" w:cs="Times New Roman"/>
                <w:highlight w:val="none"/>
                <w:lang w:val="en-US" w:eastAsia="zh-CN"/>
              </w:rPr>
              <w:t>4</w:t>
            </w:r>
            <w:r>
              <w:rPr>
                <w:rFonts w:ascii="Times New Roman" w:hAnsi="Times New Roman" w:cs="Times New Roman"/>
                <w:b/>
                <w:bCs/>
                <w:color w:val="000000"/>
                <w:kern w:val="0"/>
                <w:szCs w:val="21"/>
                <w:highlight w:val="none"/>
              </w:rPr>
              <w:t xml:space="preserve">. </w:t>
            </w:r>
            <w:r>
              <w:rPr>
                <w:rFonts w:ascii="Times New Roman" w:hAnsi="Times New Roman" w:cs="Times New Roman"/>
                <w:color w:val="000000"/>
                <w:kern w:val="0"/>
                <w:szCs w:val="21"/>
                <w:highlight w:val="none"/>
              </w:rPr>
              <w:t>其他费用：</w:t>
            </w:r>
            <w:r>
              <w:rPr>
                <w:rFonts w:ascii="Times New Roman" w:hAnsi="Times New Roman" w:cs="Times New Roman"/>
                <w:color w:val="000000"/>
                <w:kern w:val="44"/>
                <w:szCs w:val="21"/>
                <w:highlight w:val="none"/>
              </w:rPr>
              <w:t>会计师费、律师费、交易费、手续费等按照国家有关法令规定属于理财资产应列支和承担的一切费用，具体以实际发生为准，按相关法令规定或合同约定支付。</w:t>
            </w:r>
          </w:p>
        </w:tc>
      </w:tr>
    </w:tbl>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2" w:firstLineChars="200"/>
        <w:jc w:val="left"/>
        <w:textAlignment w:val="auto"/>
        <w:rPr>
          <w:rFonts w:hint="eastAsia" w:cs="宋体" w:asciiTheme="minorEastAsia" w:hAnsiTheme="minorEastAsia" w:eastAsiaTheme="minorEastAsia"/>
          <w:b/>
          <w:bCs w:val="0"/>
          <w:sz w:val="21"/>
          <w:szCs w:val="21"/>
          <w:lang w:val="en-US" w:eastAsia="zh-CN"/>
        </w:rPr>
      </w:pP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0" w:firstLineChars="200"/>
        <w:jc w:val="left"/>
        <w:textAlignment w:val="auto"/>
        <w:rPr>
          <w:rFonts w:hint="default" w:cs="宋体" w:asciiTheme="minorEastAsia" w:hAnsiTheme="minorEastAsia" w:eastAsiaTheme="minorEastAsia"/>
          <w:b w:val="0"/>
          <w:bCs/>
          <w:sz w:val="21"/>
          <w:szCs w:val="21"/>
          <w:lang w:val="en-US" w:eastAsia="zh-CN"/>
        </w:rPr>
      </w:pPr>
      <w:r>
        <w:rPr>
          <w:rFonts w:hint="eastAsia" w:ascii="宋体" w:hAnsi="宋体" w:eastAsia="宋体" w:cs="宋体"/>
          <w:kern w:val="44"/>
          <w:sz w:val="21"/>
          <w:szCs w:val="24"/>
          <w:highlight w:val="none"/>
          <w:lang w:val="en-US" w:eastAsia="zh-CN" w:bidi="ar-SA"/>
        </w:rPr>
        <w:fldChar w:fldCharType="begin">
          <w:ffData>
            <w:name w:val="Text39"/>
            <w:enabled/>
            <w:calcOnExit w:val="0"/>
            <w:textInput>
              <w:default w:val="二、调整产品的业绩比较基准及其测算依据"/>
            </w:textInput>
          </w:ffData>
        </w:fldChar>
      </w:r>
      <w:r>
        <w:rPr>
          <w:rFonts w:hint="eastAsia" w:ascii="宋体" w:hAnsi="宋体" w:eastAsia="宋体" w:cs="宋体"/>
          <w:kern w:val="44"/>
          <w:sz w:val="21"/>
          <w:szCs w:val="24"/>
          <w:highlight w:val="none"/>
          <w:lang w:val="en-US" w:eastAsia="zh-CN" w:bidi="ar-SA"/>
        </w:rPr>
        <w:instrText xml:space="preserve">FORMTEXT</w:instrText>
      </w:r>
      <w:r>
        <w:rPr>
          <w:rFonts w:hint="eastAsia" w:ascii="宋体" w:hAnsi="宋体" w:eastAsia="宋体" w:cs="宋体"/>
          <w:kern w:val="44"/>
          <w:sz w:val="21"/>
          <w:szCs w:val="24"/>
          <w:highlight w:val="none"/>
          <w:lang w:val="en-US" w:eastAsia="zh-CN" w:bidi="ar-SA"/>
        </w:rPr>
        <w:fldChar w:fldCharType="separate"/>
      </w:r>
      <w:r>
        <w:rPr>
          <w:rFonts w:hint="eastAsia" w:ascii="宋体" w:hAnsi="宋体" w:eastAsia="宋体" w:cs="宋体"/>
          <w:kern w:val="44"/>
          <w:sz w:val="21"/>
          <w:szCs w:val="24"/>
          <w:highlight w:val="none"/>
          <w:lang w:val="en-US" w:eastAsia="zh-CN" w:bidi="ar-SA"/>
        </w:rPr>
        <w:t>二、调整产品的业绩比较基准及其测算依据</w:t>
      </w:r>
      <w:r>
        <w:rPr>
          <w:rFonts w:hint="eastAsia" w:ascii="宋体" w:hAnsi="宋体" w:eastAsia="宋体" w:cs="宋体"/>
          <w:kern w:val="44"/>
          <w:sz w:val="21"/>
          <w:szCs w:val="24"/>
          <w:highlight w:val="none"/>
          <w:lang w:val="en-US" w:eastAsia="zh-CN" w:bidi="ar-SA"/>
        </w:rPr>
        <w:fldChar w:fldCharType="end"/>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eastAsiaTheme="minorEastAsia"/>
          <w:bCs/>
          <w:sz w:val="21"/>
          <w:szCs w:val="21"/>
        </w:rPr>
      </w:pPr>
      <w:r>
        <w:rPr>
          <w:rFonts w:hint="eastAsia" w:cs="宋体" w:asciiTheme="minorEastAsia" w:hAnsiTheme="minorEastAsia" w:eastAsiaTheme="minorEastAsia"/>
          <w:bCs/>
          <w:kern w:val="2"/>
          <w:sz w:val="21"/>
          <w:szCs w:val="21"/>
          <w:lang w:val="en-US" w:eastAsia="zh-CN" w:bidi="ar-SA"/>
        </w:rPr>
        <w:t>根据本产品说明书约定、实际投资运作情况及当前市场情况，拟调整本产品</w:t>
      </w:r>
      <w:bookmarkStart w:id="11" w:name="正文"/>
      <w:r>
        <w:rPr>
          <w:rFonts w:hint="eastAsia" w:ascii="Times New Roman" w:hAnsi="Times New Roman" w:eastAsia="宋体" w:cs="Times New Roman"/>
          <w:kern w:val="0"/>
          <w:sz w:val="21"/>
          <w:szCs w:val="24"/>
          <w:highlight w:val="none"/>
          <w:lang w:val="en-US" w:eastAsia="zh-CN" w:bidi="ar-SA"/>
        </w:rPr>
        <w:fldChar w:fldCharType="begin">
          <w:ffData>
            <w:name w:val="正文"/>
            <w:enabled/>
            <w:calcOnExit w:val="0"/>
            <w:textInput>
              <w:default w:val="A、S份额"/>
            </w:textInput>
          </w:ffData>
        </w:fldChar>
      </w:r>
      <w:r>
        <w:rPr>
          <w:rFonts w:hint="eastAsia" w:ascii="Times New Roman" w:hAnsi="Times New Roman" w:eastAsia="宋体" w:cs="Times New Roman"/>
          <w:kern w:val="0"/>
          <w:sz w:val="21"/>
          <w:szCs w:val="24"/>
          <w:highlight w:val="none"/>
          <w:lang w:val="en-US" w:eastAsia="zh-CN" w:bidi="ar-SA"/>
        </w:rPr>
        <w:instrText xml:space="preserve">FORMTEXT</w:instrText>
      </w:r>
      <w:r>
        <w:rPr>
          <w:rFonts w:hint="eastAsia" w:ascii="Times New Roman" w:hAnsi="Times New Roman" w:eastAsia="宋体" w:cs="Times New Roman"/>
          <w:kern w:val="0"/>
          <w:sz w:val="21"/>
          <w:szCs w:val="24"/>
          <w:highlight w:val="none"/>
          <w:lang w:val="en-US" w:eastAsia="zh-CN" w:bidi="ar-SA"/>
        </w:rPr>
        <w:fldChar w:fldCharType="separate"/>
      </w:r>
      <w:r>
        <w:rPr>
          <w:rFonts w:hint="eastAsia" w:ascii="Times New Roman" w:hAnsi="Times New Roman" w:eastAsia="宋体" w:cs="Times New Roman"/>
          <w:kern w:val="0"/>
          <w:sz w:val="21"/>
          <w:szCs w:val="24"/>
          <w:highlight w:val="none"/>
          <w:lang w:val="en-US" w:eastAsia="zh-CN" w:bidi="ar-SA"/>
        </w:rPr>
        <w:t>A、S份额</w:t>
      </w:r>
      <w:r>
        <w:rPr>
          <w:rFonts w:hint="eastAsia" w:ascii="Times New Roman" w:hAnsi="Times New Roman" w:eastAsia="宋体" w:cs="Times New Roman"/>
          <w:kern w:val="0"/>
          <w:sz w:val="21"/>
          <w:szCs w:val="24"/>
          <w:highlight w:val="none"/>
          <w:lang w:val="en-US" w:eastAsia="zh-CN" w:bidi="ar-SA"/>
        </w:rPr>
        <w:fldChar w:fldCharType="end"/>
      </w:r>
      <w:bookmarkEnd w:id="11"/>
      <w:r>
        <w:rPr>
          <w:rFonts w:hint="eastAsia" w:cs="宋体" w:asciiTheme="minorEastAsia" w:hAnsiTheme="minorEastAsia" w:eastAsiaTheme="minorEastAsia"/>
          <w:bCs/>
          <w:kern w:val="2"/>
          <w:sz w:val="21"/>
          <w:szCs w:val="21"/>
          <w:lang w:val="en-US" w:eastAsia="zh-CN" w:bidi="ar-SA"/>
        </w:rPr>
        <w:t>的业绩比较基准</w:t>
      </w:r>
      <w:r>
        <w:rPr>
          <w:rFonts w:hint="eastAsia" w:cs="宋体" w:asciiTheme="minorEastAsia" w:hAnsiTheme="minorEastAsia" w:eastAsiaTheme="minorEastAsia"/>
          <w:b w:val="0"/>
          <w:bCs/>
          <w:sz w:val="21"/>
          <w:szCs w:val="21"/>
          <w:lang w:val="en-US" w:eastAsia="zh-CN"/>
        </w:rPr>
        <w:t>及其测算依据</w:t>
      </w:r>
      <w:r>
        <w:rPr>
          <w:rFonts w:hint="eastAsia" w:cs="宋体" w:asciiTheme="minorEastAsia" w:hAnsiTheme="minorEastAsia" w:eastAsiaTheme="minorEastAsia"/>
          <w:bCs/>
          <w:kern w:val="2"/>
          <w:sz w:val="21"/>
          <w:szCs w:val="21"/>
          <w:lang w:val="en-US" w:eastAsia="zh-CN" w:bidi="ar-SA"/>
        </w:rPr>
        <w:t>，</w:t>
      </w:r>
      <w:r>
        <w:rPr>
          <w:rFonts w:hint="eastAsia" w:cs="宋体" w:asciiTheme="minorEastAsia" w:hAnsiTheme="minorEastAsia" w:eastAsiaTheme="minorEastAsia"/>
          <w:bCs/>
          <w:sz w:val="21"/>
          <w:szCs w:val="21"/>
        </w:rPr>
        <w:t>原表述为：</w:t>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4"/>
                <w:highlight w:val="none"/>
                <w:lang w:val="en-US" w:eastAsia="zh-CN" w:bidi="ar-SA"/>
              </w:rPr>
            </w:pPr>
            <w:bookmarkStart w:id="12" w:name="Text80"/>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A份额：2.10%-2.6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A份额：2.10%-2.60%（年化）</w:t>
            </w:r>
            <w:r>
              <w:rPr>
                <w:rFonts w:hint="default" w:ascii="Times New Roman" w:hAnsi="Times New Roman" w:eastAsia="宋体" w:cs="Times New Roman"/>
                <w:kern w:val="0"/>
                <w:sz w:val="21"/>
                <w:szCs w:val="24"/>
                <w:highlight w:val="none"/>
                <w:lang w:val="en-US" w:eastAsia="zh-CN" w:bidi="ar-SA"/>
              </w:rPr>
              <w:fldChar w:fldCharType="end"/>
            </w:r>
          </w:p>
          <w:p>
            <w:pPr>
              <w:spacing w:line="360" w:lineRule="auto"/>
              <w:rPr>
                <w:rFonts w:hint="default"/>
                <w:kern w:val="44"/>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S份额：2.10%-2.6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S份额：2.10%-2.60%（年化）</w:t>
            </w:r>
            <w:r>
              <w:rPr>
                <w:rFonts w:hint="default" w:ascii="Times New Roman" w:hAnsi="Times New Roman" w:eastAsia="宋体" w:cs="Times New Roman"/>
                <w:kern w:val="0"/>
                <w:sz w:val="21"/>
                <w:szCs w:val="24"/>
                <w:highlight w:val="none"/>
                <w:lang w:val="en-US" w:eastAsia="zh-CN" w:bidi="ar-SA"/>
              </w:rPr>
              <w:fldChar w:fldCharType="end"/>
            </w:r>
          </w:p>
          <w:bookmarkEnd w:id="12"/>
          <w:p>
            <w:pPr>
              <w:pStyle w:val="2"/>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kern w:val="44"/>
                <w:sz w:val="21"/>
                <w:szCs w:val="21"/>
                <w:lang w:bidi="ar"/>
              </w:rPr>
            </w:pPr>
            <w:r>
              <w:rPr>
                <w:rFonts w:hint="default"/>
                <w:kern w:val="44"/>
                <w:sz w:val="21"/>
                <w:szCs w:val="24"/>
                <w:highlight w:val="none"/>
                <w:lang w:val="en-US" w:eastAsia="zh-CN" w:bidi="ar-SA"/>
              </w:rPr>
              <w:fldChar w:fldCharType="begin">
                <w:ffData>
                  <w:name w:val="Text77"/>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default"/>
                <w:kern w:val="44"/>
                <w:sz w:val="21"/>
                <w:szCs w:val="24"/>
                <w:highlight w:val="none"/>
                <w:lang w:val="en-US" w:eastAsia="zh-CN" w:bidi="ar-SA"/>
              </w:rPr>
              <w:instrText xml:space="preserve">FORMTEXT</w:instrText>
            </w:r>
            <w:r>
              <w:rPr>
                <w:rFonts w:hint="default"/>
                <w:kern w:val="44"/>
                <w:sz w:val="21"/>
                <w:szCs w:val="24"/>
                <w:highlight w:val="none"/>
                <w:lang w:val="en-US" w:eastAsia="zh-CN" w:bidi="ar-SA"/>
              </w:rPr>
              <w:fldChar w:fldCharType="separate"/>
            </w:r>
            <w:r>
              <w:rPr>
                <w:rFonts w:hint="default"/>
                <w:kern w:val="44"/>
                <w:sz w:val="21"/>
                <w:szCs w:val="24"/>
                <w:highlight w:val="none"/>
                <w:lang w:val="en-US" w:eastAsia="zh-CN" w:bidi="ar-SA"/>
              </w:rPr>
              <w:t>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w:t>
            </w:r>
            <w:r>
              <w:rPr>
                <w:rFonts w:hint="default"/>
                <w:kern w:val="44"/>
                <w:sz w:val="21"/>
                <w:szCs w:val="24"/>
                <w:highlight w:val="none"/>
                <w:lang w:val="en-US" w:eastAsia="zh-CN" w:bidi="ar-SA"/>
              </w:rPr>
              <w:fldChar w:fldCharType="end"/>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bCs/>
          <w:sz w:val="21"/>
          <w:szCs w:val="21"/>
        </w:rPr>
      </w:pPr>
      <w:r>
        <w:rPr>
          <w:rFonts w:hint="eastAsia" w:cs="宋体" w:asciiTheme="minorEastAsia" w:hAnsiTheme="minorEastAsia" w:eastAsiaTheme="minorEastAsia"/>
          <w:bCs/>
          <w:sz w:val="21"/>
          <w:szCs w:val="21"/>
        </w:rPr>
        <w:t>调</w:t>
      </w:r>
      <w:r>
        <w:rPr>
          <w:rFonts w:hint="eastAsia" w:asciiTheme="minorEastAsia" w:hAnsiTheme="minorEastAsia" w:eastAsiaTheme="minorEastAsia"/>
          <w:bCs/>
          <w:sz w:val="21"/>
          <w:szCs w:val="21"/>
        </w:rPr>
        <w:t>整为：</w:t>
      </w:r>
    </w:p>
    <w:tbl>
      <w:tblPr>
        <w:tblStyle w:val="3"/>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imes New Roman" w:hAnsi="Times New Roman" w:eastAsia="宋体" w:cs="Times New Roman"/>
                <w:kern w:val="0"/>
                <w:sz w:val="21"/>
                <w:szCs w:val="24"/>
                <w:highlight w:val="none"/>
                <w:lang w:val="en-US" w:eastAsia="zh-CN" w:bidi="ar-SA"/>
              </w:rPr>
            </w:pPr>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A份额：1.50%-2.1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A份额：1.50%-2.10%（年化）</w:t>
            </w:r>
            <w:r>
              <w:rPr>
                <w:rFonts w:hint="default" w:ascii="Times New Roman" w:hAnsi="Times New Roman" w:eastAsia="宋体" w:cs="Times New Roman"/>
                <w:kern w:val="0"/>
                <w:sz w:val="21"/>
                <w:szCs w:val="24"/>
                <w:highlight w:val="none"/>
                <w:lang w:val="en-US" w:eastAsia="zh-CN" w:bidi="ar-SA"/>
              </w:rPr>
              <w:fldChar w:fldCharType="end"/>
            </w:r>
          </w:p>
          <w:p>
            <w:pPr>
              <w:spacing w:line="360" w:lineRule="auto"/>
              <w:rPr>
                <w:rFonts w:hint="default"/>
                <w:kern w:val="44"/>
                <w:sz w:val="21"/>
                <w:szCs w:val="24"/>
                <w:highlight w:val="none"/>
                <w:lang w:val="en-US" w:eastAsia="zh-CN" w:bidi="ar-SA"/>
              </w:rPr>
            </w:pPr>
            <w:bookmarkStart w:id="13" w:name="Text87"/>
            <w:r>
              <w:rPr>
                <w:rFonts w:hint="default" w:ascii="Times New Roman" w:hAnsi="Times New Roman" w:eastAsia="宋体" w:cs="Times New Roman"/>
                <w:kern w:val="0"/>
                <w:sz w:val="21"/>
                <w:szCs w:val="24"/>
                <w:highlight w:val="none"/>
                <w:lang w:val="en-US" w:eastAsia="zh-CN" w:bidi="ar-SA"/>
              </w:rPr>
              <w:fldChar w:fldCharType="begin">
                <w:ffData>
                  <w:name w:val="Text87"/>
                  <w:enabled/>
                  <w:calcOnExit w:val="0"/>
                  <w:textInput>
                    <w:default w:val="S份额：1.50%-2.10%（年化）"/>
                  </w:textInput>
                </w:ffData>
              </w:fldChar>
            </w:r>
            <w:r>
              <w:rPr>
                <w:rFonts w:hint="default" w:ascii="Times New Roman" w:hAnsi="Times New Roman" w:eastAsia="宋体" w:cs="Times New Roman"/>
                <w:kern w:val="0"/>
                <w:sz w:val="21"/>
                <w:szCs w:val="24"/>
                <w:highlight w:val="none"/>
                <w:lang w:val="en-US" w:eastAsia="zh-CN" w:bidi="ar-SA"/>
              </w:rPr>
              <w:instrText xml:space="preserve">FORMTEXT</w:instrText>
            </w:r>
            <w:r>
              <w:rPr>
                <w:rFonts w:hint="default" w:ascii="Times New Roman" w:hAnsi="Times New Roman" w:eastAsia="宋体" w:cs="Times New Roman"/>
                <w:kern w:val="0"/>
                <w:sz w:val="21"/>
                <w:szCs w:val="24"/>
                <w:highlight w:val="none"/>
                <w:lang w:val="en-US" w:eastAsia="zh-CN" w:bidi="ar-SA"/>
              </w:rPr>
              <w:fldChar w:fldCharType="separate"/>
            </w:r>
            <w:r>
              <w:rPr>
                <w:rFonts w:hint="default" w:ascii="Times New Roman" w:hAnsi="Times New Roman" w:eastAsia="宋体" w:cs="Times New Roman"/>
                <w:kern w:val="0"/>
                <w:sz w:val="21"/>
                <w:szCs w:val="24"/>
                <w:highlight w:val="none"/>
                <w:lang w:val="en-US" w:eastAsia="zh-CN" w:bidi="ar-SA"/>
              </w:rPr>
              <w:t>S份额：1.50%-2.10%（年化）</w:t>
            </w:r>
            <w:r>
              <w:rPr>
                <w:rFonts w:hint="default" w:ascii="Times New Roman" w:hAnsi="Times New Roman" w:eastAsia="宋体" w:cs="Times New Roman"/>
                <w:kern w:val="0"/>
                <w:sz w:val="21"/>
                <w:szCs w:val="24"/>
                <w:highlight w:val="none"/>
                <w:lang w:val="en-US" w:eastAsia="zh-CN" w:bidi="ar-SA"/>
              </w:rPr>
              <w:fldChar w:fldCharType="end"/>
            </w:r>
            <w:bookmarkEnd w:id="13"/>
          </w:p>
          <w:p>
            <w:pPr>
              <w:pStyle w:val="2"/>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kern w:val="44"/>
                <w:sz w:val="21"/>
                <w:szCs w:val="21"/>
                <w:lang w:bidi="ar"/>
              </w:rPr>
            </w:pPr>
            <w:r>
              <w:rPr>
                <w:rFonts w:hint="default"/>
                <w:kern w:val="44"/>
                <w:sz w:val="21"/>
                <w:szCs w:val="24"/>
                <w:highlight w:val="none"/>
                <w:lang w:val="en-US" w:eastAsia="zh-CN" w:bidi="ar-SA"/>
              </w:rPr>
              <w:fldChar w:fldCharType="begin">
                <w:ffData>
                  <w:name w:val="Text77"/>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default"/>
                <w:kern w:val="44"/>
                <w:sz w:val="21"/>
                <w:szCs w:val="24"/>
                <w:highlight w:val="none"/>
                <w:lang w:val="en-US" w:eastAsia="zh-CN" w:bidi="ar-SA"/>
              </w:rPr>
              <w:instrText xml:space="preserve">FORMTEXT</w:instrText>
            </w:r>
            <w:r>
              <w:rPr>
                <w:rFonts w:hint="default"/>
                <w:kern w:val="44"/>
                <w:sz w:val="21"/>
                <w:szCs w:val="24"/>
                <w:highlight w:val="none"/>
                <w:lang w:val="en-US" w:eastAsia="zh-CN" w:bidi="ar-SA"/>
              </w:rPr>
              <w:fldChar w:fldCharType="separate"/>
            </w:r>
            <w:r>
              <w:rPr>
                <w:rFonts w:hint="default"/>
                <w:kern w:val="44"/>
                <w:sz w:val="21"/>
                <w:szCs w:val="24"/>
                <w:highlight w:val="none"/>
                <w:lang w:val="en-US" w:eastAsia="zh-CN" w:bidi="ar-SA"/>
              </w:rPr>
              <w:t>业绩比较基准不是预期收益率，不代表产品的未来表现和实际收益，不构成对产品收益的承诺。本理财产品计划投资于固定收益类资产的比例不低于85%；投资于优先股等权益类资产的比例不超过10%；投资于商品及金融衍生品类资产的比例不超过5%。本业绩比较基准由管理人依据理财产品的投资范围及比例、投资策略、收益测算、产品费用，并综合考量市场环境等因素制定。</w:t>
            </w:r>
            <w:r>
              <w:rPr>
                <w:rFonts w:hint="default"/>
                <w:kern w:val="44"/>
                <w:sz w:val="21"/>
                <w:szCs w:val="24"/>
                <w:highlight w:val="none"/>
                <w:lang w:val="en-US" w:eastAsia="zh-CN" w:bidi="ar-SA"/>
              </w:rPr>
              <w:fldChar w:fldCharType="end"/>
            </w:r>
          </w:p>
        </w:tc>
      </w:tr>
    </w:tbl>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cs="Times New Roman" w:asciiTheme="minorEastAsia" w:hAnsiTheme="minorEastAsia" w:eastAsiaTheme="minorEastAsia"/>
          <w:sz w:val="21"/>
          <w:szCs w:val="21"/>
          <w:lang w:val="en-US" w:eastAsia="zh-CN"/>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bookmarkStart w:id="14" w:name="Text5"/>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b/>
          <w:bCs/>
          <w:sz w:val="21"/>
          <w:szCs w:val="21"/>
          <w:lang w:val="en-US" w:eastAsia="zh-CN"/>
        </w:rPr>
      </w:pPr>
      <w:r>
        <w:rPr>
          <w:rFonts w:hint="eastAsia" w:cs="宋体" w:asciiTheme="minorEastAsia" w:hAnsiTheme="minorEastAsia" w:eastAsiaTheme="minorEastAsia"/>
          <w:kern w:val="2"/>
          <w:sz w:val="21"/>
          <w:szCs w:val="21"/>
          <w:lang w:val="en-US" w:eastAsia="zh-CN" w:bidi="ar-SA"/>
        </w:rPr>
        <w:fldChar w:fldCharType="begin">
          <w:ffData>
            <w:name w:val="Text6"/>
            <w:enabled/>
            <w:calcOnExit w:val="0"/>
            <w:textInput>
              <w:default w:val="三、调整产品投资范围"/>
            </w:textInput>
          </w:ffData>
        </w:fldChar>
      </w:r>
      <w:r>
        <w:rPr>
          <w:rFonts w:hint="eastAsia" w:cs="宋体" w:asciiTheme="minorEastAsia" w:hAnsiTheme="minorEastAsia" w:eastAsiaTheme="minorEastAsia"/>
          <w:kern w:val="2"/>
          <w:sz w:val="21"/>
          <w:szCs w:val="21"/>
          <w:lang w:val="en-US" w:eastAsia="zh-CN" w:bidi="ar-SA"/>
        </w:rPr>
        <w:instrText xml:space="preserve">FORMTEXT</w:instrText>
      </w:r>
      <w:r>
        <w:rPr>
          <w:rFonts w:hint="eastAsia" w:cs="宋体" w:asciiTheme="minorEastAsia" w:hAnsiTheme="minorEastAsia" w:eastAsiaTheme="minorEastAsia"/>
          <w:kern w:val="2"/>
          <w:sz w:val="21"/>
          <w:szCs w:val="21"/>
          <w:lang w:val="en-US" w:eastAsia="zh-CN" w:bidi="ar-SA"/>
        </w:rPr>
        <w:fldChar w:fldCharType="separate"/>
      </w:r>
      <w:r>
        <w:rPr>
          <w:rFonts w:hint="eastAsia" w:cs="宋体" w:asciiTheme="minorEastAsia" w:hAnsiTheme="minorEastAsia" w:eastAsiaTheme="minorEastAsia"/>
          <w:kern w:val="2"/>
          <w:sz w:val="21"/>
          <w:szCs w:val="21"/>
          <w:lang w:val="en-US" w:eastAsia="zh-CN" w:bidi="ar-SA"/>
        </w:rPr>
        <w:t>三、调整产品投资范围</w:t>
      </w:r>
      <w:r>
        <w:rPr>
          <w:rFonts w:hint="eastAsia" w:cs="宋体" w:asciiTheme="minorEastAsia" w:hAnsiTheme="minorEastAsia" w:eastAsiaTheme="minorEastAsia"/>
          <w:kern w:val="2"/>
          <w:sz w:val="21"/>
          <w:szCs w:val="21"/>
          <w:lang w:val="en-US" w:eastAsia="zh-CN" w:bidi="ar-SA"/>
        </w:rPr>
        <w:fldChar w:fldCharType="end"/>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cs="宋体" w:asciiTheme="minorEastAsia" w:hAnsiTheme="minorEastAsia" w:eastAsiaTheme="minorEastAsia"/>
          <w:kern w:val="2"/>
          <w:sz w:val="21"/>
          <w:szCs w:val="21"/>
          <w:lang w:val="en-US" w:eastAsia="zh-CN" w:bidi="ar-SA"/>
        </w:rPr>
      </w:pPr>
      <w:r>
        <w:rPr>
          <w:rFonts w:hint="eastAsia" w:asciiTheme="minorEastAsia" w:hAnsiTheme="minorEastAsia" w:eastAsiaTheme="minorEastAsia"/>
          <w:sz w:val="21"/>
          <w:szCs w:val="21"/>
          <w:lang w:val="en-US" w:eastAsia="zh-CN"/>
        </w:rPr>
        <w:t>根据产品实际运作需要，拟对本理财产品的投资范围进行调整，调整产品合同中关于</w:t>
      </w:r>
      <w:r>
        <w:rPr>
          <w:rFonts w:hint="eastAsia" w:cs="宋体" w:asciiTheme="minorEastAsia" w:hAnsiTheme="minorEastAsia" w:eastAsiaTheme="minorEastAsia"/>
          <w:kern w:val="2"/>
          <w:sz w:val="21"/>
          <w:szCs w:val="21"/>
          <w:lang w:val="en-US" w:eastAsia="zh-CN" w:bidi="ar-SA"/>
        </w:rPr>
        <w:fldChar w:fldCharType="begin">
          <w:ffData>
            <w:name w:val="Text3"/>
            <w:enabled/>
            <w:calcOnExit w:val="0"/>
            <w:textInput>
              <w:default w:val="“权益类资产”"/>
            </w:textInput>
          </w:ffData>
        </w:fldChar>
      </w:r>
      <w:r>
        <w:rPr>
          <w:rFonts w:hint="eastAsia" w:cs="宋体" w:asciiTheme="minorEastAsia" w:hAnsiTheme="minorEastAsia" w:eastAsiaTheme="minorEastAsia"/>
          <w:kern w:val="2"/>
          <w:sz w:val="21"/>
          <w:szCs w:val="21"/>
          <w:lang w:val="en-US" w:eastAsia="zh-CN" w:bidi="ar-SA"/>
        </w:rPr>
        <w:instrText xml:space="preserve">FORMTEXT</w:instrText>
      </w:r>
      <w:r>
        <w:rPr>
          <w:rFonts w:hint="eastAsia" w:cs="宋体" w:asciiTheme="minorEastAsia" w:hAnsiTheme="minorEastAsia" w:eastAsiaTheme="minorEastAsia"/>
          <w:kern w:val="2"/>
          <w:sz w:val="21"/>
          <w:szCs w:val="21"/>
          <w:lang w:val="en-US" w:eastAsia="zh-CN" w:bidi="ar-SA"/>
        </w:rPr>
        <w:fldChar w:fldCharType="separate"/>
      </w:r>
      <w:r>
        <w:rPr>
          <w:rFonts w:hint="eastAsia" w:cs="宋体" w:asciiTheme="minorEastAsia" w:hAnsiTheme="minorEastAsia" w:eastAsiaTheme="minorEastAsia"/>
          <w:kern w:val="2"/>
          <w:sz w:val="21"/>
          <w:szCs w:val="21"/>
          <w:lang w:val="en-US" w:eastAsia="zh-CN" w:bidi="ar-SA"/>
        </w:rPr>
        <w:t>“权益类资产”</w:t>
      </w:r>
      <w:r>
        <w:rPr>
          <w:rFonts w:hint="eastAsia" w:cs="宋体" w:asciiTheme="minorEastAsia" w:hAnsiTheme="minorEastAsia" w:eastAsiaTheme="minorEastAsia"/>
          <w:kern w:val="2"/>
          <w:sz w:val="21"/>
          <w:szCs w:val="21"/>
          <w:lang w:val="en-US" w:eastAsia="zh-CN" w:bidi="ar-SA"/>
        </w:rPr>
        <w:fldChar w:fldCharType="end"/>
      </w:r>
      <w:r>
        <w:rPr>
          <w:rFonts w:hint="eastAsia" w:cs="宋体" w:asciiTheme="minorEastAsia" w:hAnsiTheme="minorEastAsia" w:eastAsiaTheme="minorEastAsia"/>
          <w:kern w:val="2"/>
          <w:sz w:val="21"/>
          <w:szCs w:val="21"/>
          <w:lang w:val="en-US" w:eastAsia="zh-CN" w:bidi="ar-SA"/>
        </w:rPr>
        <w:t>的相关表述，调整后的投资范围如下：</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rPr>
      </w:pPr>
      <w:r>
        <w:rPr>
          <w:rFonts w:asciiTheme="minorEastAsia" w:hAnsiTheme="minorEastAsia" w:eastAsiaTheme="minorEastAsia"/>
          <w:sz w:val="21"/>
          <w:szCs w:val="21"/>
        </w:rPr>
        <w:fldChar w:fldCharType="begin">
          <w:ffData>
            <w:enabled/>
            <w:calcOnExit w:val="0"/>
            <w:textInput>
              <w:default w:val="（一）投资范围"/>
            </w:textInput>
          </w:ffData>
        </w:fldChar>
      </w:r>
      <w:r>
        <w:rPr>
          <w:rFonts w:asciiTheme="minorEastAsia" w:hAnsiTheme="minorEastAsia" w:eastAsiaTheme="minorEastAsia"/>
          <w:sz w:val="21"/>
          <w:szCs w:val="21"/>
        </w:rPr>
        <w:instrText xml:space="preserve"> </w:instrText>
      </w:r>
      <w:r>
        <w:rPr>
          <w:rFonts w:hint="eastAsia" w:asciiTheme="minorEastAsia" w:hAnsiTheme="minorEastAsia" w:eastAsiaTheme="minorEastAsia"/>
          <w:sz w:val="21"/>
          <w:szCs w:val="21"/>
        </w:rPr>
        <w:instrText xml:space="preserve">FORMTEXT</w:instrText>
      </w:r>
      <w:r>
        <w:rPr>
          <w:rFonts w:asciiTheme="minorEastAsia" w:hAnsiTheme="minorEastAsia" w:eastAsiaTheme="minorEastAsia"/>
          <w:sz w:val="21"/>
          <w:szCs w:val="21"/>
        </w:rPr>
        <w:instrText xml:space="preserve"> </w:instrText>
      </w:r>
      <w:r>
        <w:rPr>
          <w:rFonts w:asciiTheme="minorEastAsia" w:hAnsiTheme="minorEastAsia" w:eastAsiaTheme="minorEastAsia"/>
          <w:sz w:val="21"/>
          <w:szCs w:val="21"/>
        </w:rPr>
        <w:fldChar w:fldCharType="separate"/>
      </w:r>
      <w:r>
        <w:rPr>
          <w:rFonts w:hint="eastAsia" w:cs="宋体" w:asciiTheme="minorEastAsia" w:hAnsiTheme="minorEastAsia" w:eastAsiaTheme="minorEastAsia"/>
          <w:sz w:val="21"/>
          <w:szCs w:val="21"/>
        </w:rPr>
        <w:t>（一）投资范围</w:t>
      </w:r>
      <w:r>
        <w:rPr>
          <w:rFonts w:asciiTheme="minorEastAsia" w:hAnsiTheme="minorEastAsia" w:eastAsiaTheme="minorEastAsia"/>
          <w:sz w:val="21"/>
          <w:szCs w:val="21"/>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cs="宋体" w:asciiTheme="minorEastAsia" w:hAnsiTheme="minorEastAsia" w:eastAsiaTheme="minorEastAsia"/>
          <w:kern w:val="2"/>
          <w:sz w:val="21"/>
          <w:szCs w:val="21"/>
          <w:lang w:val="en-US" w:eastAsia="zh-CN" w:bidi="ar-SA"/>
        </w:rPr>
        <w:fldChar w:fldCharType="begin">
          <w:ffData>
            <w:name w:val="Text4"/>
            <w:enabled/>
            <w:calcOnExit w:val="0"/>
            <w:textInput>
              <w:default w:val="2.权益类资产：优先股；投资于上述资产的资产管理计划和信托计划；"/>
            </w:textInput>
          </w:ffData>
        </w:fldChar>
      </w:r>
      <w:r>
        <w:rPr>
          <w:rFonts w:hint="eastAsia" w:cs="宋体" w:asciiTheme="minorEastAsia" w:hAnsiTheme="minorEastAsia" w:eastAsiaTheme="minorEastAsia"/>
          <w:kern w:val="2"/>
          <w:sz w:val="21"/>
          <w:szCs w:val="21"/>
          <w:lang w:val="en-US" w:eastAsia="zh-CN" w:bidi="ar-SA"/>
        </w:rPr>
        <w:instrText xml:space="preserve">FORMTEXT</w:instrText>
      </w:r>
      <w:r>
        <w:rPr>
          <w:rFonts w:hint="eastAsia" w:cs="宋体" w:asciiTheme="minorEastAsia" w:hAnsiTheme="minorEastAsia" w:eastAsiaTheme="minorEastAsia"/>
          <w:kern w:val="2"/>
          <w:sz w:val="21"/>
          <w:szCs w:val="21"/>
          <w:lang w:val="en-US" w:eastAsia="zh-CN" w:bidi="ar-SA"/>
        </w:rPr>
        <w:fldChar w:fldCharType="separate"/>
      </w:r>
      <w:r>
        <w:rPr>
          <w:rFonts w:hint="eastAsia" w:cs="宋体" w:asciiTheme="minorEastAsia" w:hAnsiTheme="minorEastAsia" w:eastAsiaTheme="minorEastAsia"/>
          <w:kern w:val="2"/>
          <w:sz w:val="21"/>
          <w:szCs w:val="21"/>
          <w:lang w:val="en-US" w:eastAsia="zh-CN" w:bidi="ar-SA"/>
        </w:rPr>
        <w:t>2.权益类资产：优先股；投资于上述资产的资产管理计划和信托计划；</w:t>
      </w:r>
      <w:r>
        <w:rPr>
          <w:rFonts w:hint="eastAsia" w:cs="宋体" w:asciiTheme="minorEastAsia" w:hAnsiTheme="minorEastAsia" w:eastAsiaTheme="minorEastAsia"/>
          <w:kern w:val="2"/>
          <w:sz w:val="21"/>
          <w:szCs w:val="21"/>
          <w:lang w:val="en-US" w:eastAsia="zh-CN" w:bidi="ar-SA"/>
        </w:rPr>
        <w:fldChar w:fldCharType="end"/>
      </w:r>
    </w:p>
    <w:p>
      <w:pPr>
        <w:pStyle w:val="2"/>
        <w:rPr>
          <w:rFonts w:hint="eastAsia"/>
          <w:lang w:val="en-US" w:eastAsia="zh-CN"/>
        </w:rPr>
      </w:pPr>
    </w:p>
    <w:p>
      <w:pPr>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fldChar w:fldCharType="begin">
          <w:ffData>
            <w:name w:val="Text5"/>
            <w:enabled/>
            <w:calcOnExit w:val="0"/>
            <w:textInput>
              <w:default w:val="二、根据《理财公司理财产品销售管理暂行办法》的相关要求，同步更新本理财产品的代理销售机构信息："/>
            </w:textInput>
          </w:ffData>
        </w:fldChar>
      </w:r>
      <w:r>
        <w:rPr>
          <w:rFonts w:hint="eastAsia" w:ascii="宋体" w:hAnsi="宋体" w:eastAsia="宋体" w:cs="宋体"/>
          <w:b w:val="0"/>
          <w:bCs/>
          <w:kern w:val="2"/>
          <w:sz w:val="21"/>
          <w:szCs w:val="21"/>
          <w:lang w:val="en-US" w:eastAsia="zh-CN" w:bidi="ar-SA"/>
        </w:rPr>
        <w:instrText xml:space="preserve">FORMTEXT</w:instrText>
      </w:r>
      <w:r>
        <w:rPr>
          <w:rFonts w:hint="eastAsia" w:ascii="宋体" w:hAnsi="宋体" w:eastAsia="宋体" w:cs="宋体"/>
          <w:b w:val="0"/>
          <w:bCs/>
          <w:kern w:val="2"/>
          <w:sz w:val="21"/>
          <w:szCs w:val="21"/>
          <w:lang w:val="en-US" w:eastAsia="zh-CN" w:bidi="ar-SA"/>
        </w:rPr>
        <w:fldChar w:fldCharType="separate"/>
      </w:r>
      <w:r>
        <w:rPr>
          <w:rFonts w:hint="eastAsia" w:ascii="宋体" w:hAnsi="宋体" w:cs="宋体"/>
          <w:b w:val="0"/>
          <w:bCs/>
          <w:kern w:val="2"/>
          <w:sz w:val="21"/>
          <w:szCs w:val="21"/>
          <w:lang w:val="en-US" w:eastAsia="zh-CN" w:bidi="ar-SA"/>
        </w:rPr>
        <w:t>四</w:t>
      </w:r>
      <w:r>
        <w:rPr>
          <w:rFonts w:hint="eastAsia" w:ascii="宋体" w:hAnsi="宋体" w:eastAsia="宋体" w:cs="宋体"/>
          <w:b w:val="0"/>
          <w:bCs/>
          <w:kern w:val="2"/>
          <w:sz w:val="21"/>
          <w:szCs w:val="21"/>
          <w:lang w:val="en-US" w:eastAsia="zh-CN" w:bidi="ar-SA"/>
        </w:rPr>
        <w:t>、根据《理财公司理财产品销售管理暂行办法》的相关要求，同步更新本理财产品的代理销售机构信息：</w:t>
      </w:r>
      <w:r>
        <w:rPr>
          <w:rFonts w:hint="eastAsia" w:ascii="宋体" w:hAnsi="宋体" w:eastAsia="宋体" w:cs="宋体"/>
          <w:b w:val="0"/>
          <w:bCs/>
          <w:kern w:val="2"/>
          <w:sz w:val="21"/>
          <w:szCs w:val="21"/>
          <w:lang w:val="en-US" w:eastAsia="zh-CN" w:bidi="ar-SA"/>
        </w:rPr>
        <w:fldChar w:fldCharType="end"/>
      </w:r>
      <w:bookmarkEnd w:id="14"/>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bidi="ar"/>
        </w:rPr>
      </w:pPr>
      <w:r>
        <w:rPr>
          <w:rFonts w:hint="eastAsia"/>
          <w:highlight w:val="none"/>
          <w:lang w:bidi="ar"/>
        </w:rPr>
        <w:fldChar w:fldCharType="begin">
          <w:ffData>
            <w:name w:val="Text44"/>
            <w:enabled/>
            <w:calcOnExit w:val="0"/>
            <w:textInput>
              <w:default w:val="机构名称：中国民生银行股份有限公司"/>
            </w:textInput>
          </w:ffData>
        </w:fldChar>
      </w:r>
      <w:r>
        <w:rPr>
          <w:rFonts w:hint="eastAsia"/>
          <w:highlight w:val="none"/>
          <w:lang w:bidi="ar"/>
        </w:rPr>
        <w:instrText xml:space="preserve">FORMTEXT</w:instrText>
      </w:r>
      <w:r>
        <w:rPr>
          <w:rFonts w:hint="eastAsia"/>
          <w:highlight w:val="none"/>
          <w:lang w:bidi="ar"/>
        </w:rPr>
        <w:fldChar w:fldCharType="separate"/>
      </w:r>
      <w:r>
        <w:rPr>
          <w:rFonts w:hint="eastAsia"/>
          <w:highlight w:val="none"/>
          <w:lang w:bidi="ar"/>
        </w:rPr>
        <w:t>机构名称：中国民生银行股份有限公司</w:t>
      </w:r>
      <w:r>
        <w:rPr>
          <w:rFonts w:hint="eastAsia"/>
          <w:highlight w:val="none"/>
          <w:lang w:bidi="ar"/>
        </w:rPr>
        <w:fldChar w:fldCharType="end"/>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bidi="ar"/>
        </w:rPr>
      </w:pPr>
      <w:r>
        <w:rPr>
          <w:rFonts w:hint="eastAsia"/>
          <w:highlight w:val="none"/>
          <w:lang w:bidi="ar"/>
        </w:rPr>
        <w:fldChar w:fldCharType="begin">
          <w:ffData>
            <w:name w:val="Text44"/>
            <w:enabled/>
            <w:calcOnExit w:val="0"/>
            <w:textInput>
              <w:default w:val="注册地址：北京市西城区复兴门内大街2号"/>
            </w:textInput>
          </w:ffData>
        </w:fldChar>
      </w:r>
      <w:r>
        <w:rPr>
          <w:rFonts w:hint="eastAsia"/>
          <w:highlight w:val="none"/>
          <w:lang w:bidi="ar"/>
        </w:rPr>
        <w:instrText xml:space="preserve">FORMTEXT</w:instrText>
      </w:r>
      <w:r>
        <w:rPr>
          <w:rFonts w:hint="eastAsia"/>
          <w:highlight w:val="none"/>
          <w:lang w:bidi="ar"/>
        </w:rPr>
        <w:fldChar w:fldCharType="separate"/>
      </w:r>
      <w:r>
        <w:rPr>
          <w:rFonts w:hint="eastAsia"/>
          <w:highlight w:val="none"/>
          <w:lang w:bidi="ar"/>
        </w:rPr>
        <w:t>注册地址：北京市西城区复兴门内大街2号</w:t>
      </w:r>
      <w:r>
        <w:rPr>
          <w:rFonts w:hint="eastAsia"/>
          <w:highlight w:val="none"/>
          <w:lang w:bidi="ar"/>
        </w:rPr>
        <w:fldChar w:fldCharType="end"/>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eastAsia"/>
          <w:highlight w:val="none"/>
          <w:lang w:val="en-US" w:eastAsia="zh-CN" w:bidi="ar"/>
        </w:rPr>
      </w:pPr>
      <w:r>
        <w:rPr>
          <w:rFonts w:hint="eastAsia"/>
          <w:highlight w:val="none"/>
          <w:lang w:val="en-US" w:eastAsia="zh-CN" w:bidi="ar"/>
        </w:rPr>
        <w:fldChar w:fldCharType="begin">
          <w:ffData>
            <w:name w:val="Text87"/>
            <w:enabled/>
            <w:calcOnExit w:val="0"/>
            <w:textInput>
              <w:default w:val="官方网站：www.cmbc.com.cn全国统一客户服务热线：95568"/>
            </w:textInput>
          </w:ffData>
        </w:fldChar>
      </w:r>
      <w:r>
        <w:rPr>
          <w:rFonts w:hint="eastAsia"/>
          <w:highlight w:val="none"/>
          <w:lang w:val="en-US" w:eastAsia="zh-CN" w:bidi="ar"/>
        </w:rPr>
        <w:instrText xml:space="preserve">FORMTEXT</w:instrText>
      </w:r>
      <w:r>
        <w:rPr>
          <w:rFonts w:hint="eastAsia"/>
          <w:highlight w:val="none"/>
          <w:lang w:val="en-US" w:eastAsia="zh-CN" w:bidi="ar"/>
        </w:rPr>
        <w:fldChar w:fldCharType="separate"/>
      </w:r>
      <w:r>
        <w:rPr>
          <w:rFonts w:hint="eastAsia"/>
          <w:highlight w:val="none"/>
          <w:lang w:val="en-US" w:eastAsia="zh-CN" w:bidi="ar"/>
        </w:rPr>
        <w:t>官方网站：www.cmbc.com.cn</w:t>
      </w:r>
    </w:p>
    <w:p>
      <w:pPr>
        <w:keepLines w:val="0"/>
        <w:pageBreakBefore w:val="0"/>
        <w:kinsoku/>
        <w:wordWrap/>
        <w:overflowPunct/>
        <w:topLinePunct w:val="0"/>
        <w:bidi w:val="0"/>
        <w:spacing w:beforeLines="0" w:afterLines="0" w:line="360" w:lineRule="auto"/>
        <w:ind w:right="0" w:rightChars="0" w:firstLine="420" w:firstLineChars="200"/>
        <w:textAlignment w:val="auto"/>
        <w:rPr>
          <w:rFonts w:hint="default"/>
          <w:b w:val="0"/>
          <w:bCs w:val="0"/>
          <w:highlight w:val="none"/>
          <w:lang w:val="en-US" w:eastAsia="zh-CN" w:bidi="ar"/>
        </w:rPr>
      </w:pPr>
      <w:r>
        <w:rPr>
          <w:rFonts w:hint="eastAsia"/>
          <w:highlight w:val="none"/>
          <w:lang w:val="en-US" w:eastAsia="zh-CN" w:bidi="ar"/>
        </w:rPr>
        <w:t>全国统一客户服务热线：95568</w:t>
      </w:r>
      <w:r>
        <w:rPr>
          <w:rFonts w:hint="eastAsia"/>
          <w:highlight w:val="none"/>
          <w:lang w:val="en-US" w:eastAsia="zh-CN" w:bidi="ar"/>
        </w:rPr>
        <w:fldChar w:fldCharType="end"/>
      </w:r>
    </w:p>
    <w:p>
      <w:pPr>
        <w:spacing w:line="360" w:lineRule="auto"/>
        <w:ind w:firstLine="420" w:firstLineChars="200"/>
        <w:rPr>
          <w:rFonts w:hint="eastAsia"/>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江西银行股份有限公司&#13;&#10;注册地址：江西省南昌市红谷滩新区金融大街699号&#13;&#10;官方网站：www.jx-bank.com&#13;&#10;客户服务热线：956055"/>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机构名称：江西银行股份有限公司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注册地址：江西省南昌市红谷滩新区金融大街699号</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官方网站：www.jx-bank.com</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客户服务热线：956055</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昆仑银行股份有限公司&#13;&#10;注册地址：新疆克拉玛依市世纪大道7号&#13;&#10;官方网站：www.klb.cn&#13;&#10;客户服务热线：95379"/>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机构名称：昆仑银行股份有限公司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注册地址：新疆克拉玛依市世纪大道7号</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官方网站：www.klb.cn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客户服务热线：95379</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fldChar w:fldCharType="begin">
          <w:ffData>
            <w:name w:val="Text44"/>
            <w:enabled/>
            <w:calcOnExit w:val="0"/>
            <w:textInput>
              <w:default w:val="机构名称：盛京银行股份有限公司&#13;&#10;注册地址：沈阳市沈河区北站路109号&#13;&#10;官方网址：www.shengjingbank.com.cn&#13;&#10;客户服务热线：95337"/>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机构名称：盛京银行股份有限公司</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注册地址：沈阳市沈河区北站路109号</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官方网址：www.shengjingbank.com.cn</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客户服务热线：95337</w:t>
      </w:r>
      <w:r>
        <w:rPr>
          <w:rFonts w:hint="eastAsia"/>
          <w:b w:val="0"/>
          <w:bCs w:val="0"/>
          <w:kern w:val="2"/>
          <w:sz w:val="21"/>
          <w:szCs w:val="24"/>
          <w:highlight w:val="none"/>
          <w:lang w:val="en-US" w:eastAsia="zh-CN" w:bidi="ar"/>
        </w:rPr>
        <w:fldChar w:fldCharType="end"/>
      </w:r>
    </w:p>
    <w:p>
      <w:pPr>
        <w:spacing w:line="360" w:lineRule="auto"/>
        <w:ind w:left="420" w:leftChars="200" w:firstLine="0" w:firstLineChars="0"/>
        <w:rPr>
          <w:rFonts w:hint="eastAsia"/>
          <w:b w:val="0"/>
          <w:bCs w:val="0"/>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广东华兴银行股份有限公司&#13;&#10;注册地址：汕头市龙湖区黄山路28号四层&#13;&#10;官方网站：www.ghbank.com.cn&#13;&#10;客户服务热线：95091"/>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机构名称：广东华兴银行股份有限公司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注册地址：汕头市龙湖区黄山路28号四层</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官方网站：www.ghbank.com.cn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客户服务热线：95091</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厦门国际银行股份有限公司&#13;&#10;注册地址：厦门市思明区鹭江道8-10号国际银行大厦1-6层&#13;&#10;官方网站：www.xib.com.cn&#13;&#10;客户服务热线：956085"/>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机构名称：厦门国际银行股份有限公司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注册地址：厦门市思明区鹭江道8-10号国际银行大厦1-6层</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官方网站：www.xib.com.cn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客户服务热线：956085</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spacing w:line="360" w:lineRule="auto"/>
        <w:ind w:left="420" w:leftChars="200" w:firstLine="0" w:firstLineChars="0"/>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广州银行股份有限公司&#13;&#10;注册地址：广州市天河区珠江东路30号&#13;&#10;官方网站：www.gzcb.com.cn&#13;&#10;客户服务热线：96699"/>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机构名称：广州银行股份有限公司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注册地址：广州市天河区珠江东路30号</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官方网站：www.gzcb.com.cn</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客户服务热线：96699</w:t>
      </w:r>
      <w:r>
        <w:rPr>
          <w:rFonts w:hint="eastAsia"/>
          <w:kern w:val="2"/>
          <w:sz w:val="21"/>
          <w:szCs w:val="24"/>
          <w:highlight w:val="none"/>
          <w:lang w:val="en-US" w:eastAsia="zh-CN" w:bidi="ar"/>
        </w:rPr>
        <w:fldChar w:fldCharType="end"/>
      </w:r>
    </w:p>
    <w:p>
      <w:pPr>
        <w:spacing w:line="360" w:lineRule="auto"/>
        <w:ind w:left="420" w:leftChars="200" w:firstLine="0" w:firstLineChars="0"/>
        <w:rPr>
          <w:rFonts w:hint="eastAsia"/>
          <w:kern w:val="2"/>
          <w:sz w:val="21"/>
          <w:szCs w:val="24"/>
          <w:highlight w:val="none"/>
          <w:lang w:val="en-US" w:eastAsia="zh-CN" w:bidi="ar"/>
        </w:rPr>
      </w:pPr>
    </w:p>
    <w:p>
      <w:pPr>
        <w:keepLines w:val="0"/>
        <w:pageBreakBefore w:val="0"/>
        <w:kinsoku/>
        <w:wordWrap/>
        <w:overflowPunct/>
        <w:topLinePunct w:val="0"/>
        <w:bidi w:val="0"/>
        <w:spacing w:beforeLines="0" w:afterLines="0" w:line="360" w:lineRule="auto"/>
        <w:ind w:left="420" w:leftChars="200" w:right="0" w:rightChars="0" w:firstLine="0" w:firstLineChars="0"/>
        <w:textAlignment w:val="auto"/>
        <w:rPr>
          <w:rFonts w:hint="eastAsia"/>
          <w:kern w:val="2"/>
          <w:sz w:val="21"/>
          <w:szCs w:val="24"/>
          <w:highlight w:val="none"/>
          <w:lang w:val="en-US" w:eastAsia="zh-CN" w:bidi="ar"/>
        </w:rPr>
      </w:pPr>
      <w:r>
        <w:rPr>
          <w:rFonts w:hint="eastAsia"/>
          <w:kern w:val="2"/>
          <w:sz w:val="21"/>
          <w:szCs w:val="24"/>
          <w:highlight w:val="none"/>
          <w:lang w:val="en-US" w:eastAsia="zh-CN" w:bidi="ar"/>
        </w:rPr>
        <w:fldChar w:fldCharType="begin">
          <w:ffData>
            <w:name w:val="Text44"/>
            <w:enabled/>
            <w:calcOnExit w:val="0"/>
            <w:textInput>
              <w:default w:val="机构名称：广东南粤银行股份有限公司&#13;&#10;注册地址：广东省湛江市湛江经济技术开发区乐山路27号财富汇金融中心1层01、02号商铺、2层01号商铺、3层01号商铺、39-45层办公室&#13;&#10;官方网站：www.gdnybank.com&#13;&#10;客户服务热线：4000961818（全国） 961818（广东）"/>
            </w:textInput>
          </w:ffData>
        </w:fldChar>
      </w:r>
      <w:r>
        <w:rPr>
          <w:rFonts w:hint="eastAsia"/>
          <w:kern w:val="2"/>
          <w:sz w:val="21"/>
          <w:szCs w:val="24"/>
          <w:highlight w:val="none"/>
          <w:lang w:val="en-US" w:eastAsia="zh-CN" w:bidi="ar"/>
        </w:rPr>
        <w:instrText xml:space="preserve">FORMTEXT</w:instrText>
      </w:r>
      <w:r>
        <w:rPr>
          <w:rFonts w:hint="eastAsia"/>
          <w:kern w:val="2"/>
          <w:sz w:val="21"/>
          <w:szCs w:val="24"/>
          <w:highlight w:val="none"/>
          <w:lang w:val="en-US" w:eastAsia="zh-CN" w:bidi="ar"/>
        </w:rPr>
        <w:fldChar w:fldCharType="separate"/>
      </w:r>
      <w:r>
        <w:rPr>
          <w:rFonts w:hint="eastAsia"/>
          <w:kern w:val="2"/>
          <w:sz w:val="21"/>
          <w:szCs w:val="24"/>
          <w:highlight w:val="none"/>
          <w:lang w:val="en-US" w:eastAsia="zh-CN" w:bidi="ar"/>
        </w:rPr>
        <w:t>机构名称：广东南粤银行股份有限公司</w:t>
      </w:r>
      <w:r>
        <w:rPr>
          <w:rFonts w:hint="eastAsia"/>
          <w:kern w:val="2"/>
          <w:sz w:val="21"/>
          <w:szCs w:val="24"/>
          <w:highlight w:val="none"/>
          <w:lang w:val="en-US" w:eastAsia="zh-CN" w:bidi="ar"/>
        </w:rPr>
        <w:cr/>
      </w:r>
      <w:r>
        <w:rPr>
          <w:rFonts w:hint="eastAsia"/>
          <w:kern w:val="2"/>
          <w:sz w:val="21"/>
          <w:szCs w:val="24"/>
          <w:highlight w:val="none"/>
          <w:lang w:val="en-US" w:eastAsia="zh-CN" w:bidi="ar"/>
        </w:rPr>
        <w:t>注册地址：广东省湛江市湛江经济技术开发区乐山路27号财富汇金融中心1层01、02号商铺、2层01号商铺、3层01号商铺、39-45层办公室</w:t>
      </w:r>
      <w:r>
        <w:rPr>
          <w:rFonts w:hint="eastAsia"/>
          <w:kern w:val="2"/>
          <w:sz w:val="21"/>
          <w:szCs w:val="24"/>
          <w:highlight w:val="none"/>
          <w:lang w:val="en-US" w:eastAsia="zh-CN" w:bidi="ar"/>
        </w:rPr>
        <w:cr/>
      </w:r>
      <w:r>
        <w:rPr>
          <w:rFonts w:hint="eastAsia"/>
          <w:kern w:val="2"/>
          <w:sz w:val="21"/>
          <w:szCs w:val="24"/>
          <w:highlight w:val="none"/>
          <w:lang w:val="en-US" w:eastAsia="zh-CN" w:bidi="ar"/>
        </w:rPr>
        <w:t>官方网站：www.gdnybank.com</w:t>
      </w:r>
      <w:r>
        <w:rPr>
          <w:rFonts w:hint="eastAsia"/>
          <w:kern w:val="2"/>
          <w:sz w:val="21"/>
          <w:szCs w:val="24"/>
          <w:highlight w:val="none"/>
          <w:lang w:val="en-US" w:eastAsia="zh-CN" w:bidi="ar"/>
        </w:rPr>
        <w:cr/>
      </w:r>
      <w:r>
        <w:rPr>
          <w:rFonts w:hint="eastAsia"/>
          <w:kern w:val="2"/>
          <w:sz w:val="21"/>
          <w:szCs w:val="24"/>
          <w:highlight w:val="none"/>
          <w:lang w:val="en-US" w:eastAsia="zh-CN" w:bidi="ar"/>
        </w:rPr>
        <w:t>客户服务热线：4000961818（全国） 961818（广东）</w:t>
      </w:r>
      <w:r>
        <w:rPr>
          <w:rFonts w:hint="eastAsia"/>
          <w:kern w:val="2"/>
          <w:sz w:val="21"/>
          <w:szCs w:val="24"/>
          <w:highlight w:val="none"/>
          <w:lang w:val="en-US" w:eastAsia="zh-CN" w:bidi="ar"/>
        </w:rPr>
        <w:fldChar w:fldCharType="end"/>
      </w:r>
    </w:p>
    <w:p>
      <w:pPr>
        <w:spacing w:line="360" w:lineRule="auto"/>
        <w:rPr>
          <w:rFonts w:hint="eastAsia"/>
          <w:b w:val="0"/>
          <w:bCs w:val="0"/>
          <w:kern w:val="2"/>
          <w:sz w:val="21"/>
          <w:szCs w:val="24"/>
          <w:highlight w:val="none"/>
          <w:lang w:val="en-US" w:eastAsia="zh-CN" w:bidi="ar"/>
        </w:rPr>
      </w:pP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fldChar w:fldCharType="begin">
          <w:ffData>
            <w:name w:val="Text44"/>
            <w:enabled/>
            <w:calcOnExit w:val="0"/>
            <w:textInput>
              <w:default w:val="机构名称：吉林银行股份有限公司注册地址：吉林省长春市南关区人民大街10666号官方网站：http://www.jlbank.com.cn客户服务热线：400-88-96666"/>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机构名称：吉林银行股份有限公司</w:t>
      </w: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t>注册地址：吉林省长春市南关区人民大街10666号</w:t>
      </w: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t>官方网站：http://www.jlbank.com.cn</w:t>
      </w: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t>客户服务热线：400-88-96666</w:t>
      </w:r>
      <w:r>
        <w:rPr>
          <w:rFonts w:hint="eastAsia"/>
          <w:b w:val="0"/>
          <w:bCs w:val="0"/>
          <w:kern w:val="2"/>
          <w:sz w:val="21"/>
          <w:szCs w:val="24"/>
          <w:highlight w:val="none"/>
          <w:lang w:val="en-US" w:eastAsia="zh-CN" w:bidi="ar"/>
        </w:rPr>
        <w:fldChar w:fldCharType="end"/>
      </w:r>
    </w:p>
    <w:p>
      <w:pPr>
        <w:spacing w:line="360" w:lineRule="auto"/>
        <w:ind w:left="420" w:leftChars="200" w:firstLine="0" w:firstLineChars="0"/>
        <w:rPr>
          <w:rFonts w:hint="eastAsia"/>
          <w:b w:val="0"/>
          <w:bCs w:val="0"/>
          <w:kern w:val="2"/>
          <w:sz w:val="21"/>
          <w:szCs w:val="24"/>
          <w:highlight w:val="none"/>
          <w:lang w:val="en-US" w:eastAsia="zh-CN" w:bidi="ar"/>
        </w:rPr>
      </w:pPr>
    </w:p>
    <w:p>
      <w:pPr>
        <w:spacing w:line="360" w:lineRule="auto"/>
        <w:ind w:left="420" w:leftChars="200" w:firstLine="0" w:firstLineChars="0"/>
        <w:rPr>
          <w:rFonts w:hint="eastAsia"/>
          <w:b w:val="0"/>
          <w:bCs w:val="0"/>
          <w:kern w:val="2"/>
          <w:sz w:val="21"/>
          <w:szCs w:val="24"/>
          <w:highlight w:val="none"/>
          <w:lang w:val="en-US" w:eastAsia="zh-CN" w:bidi="ar"/>
        </w:rPr>
      </w:pPr>
      <w:r>
        <w:rPr>
          <w:rFonts w:hint="eastAsia"/>
          <w:b w:val="0"/>
          <w:bCs w:val="0"/>
          <w:kern w:val="2"/>
          <w:sz w:val="21"/>
          <w:szCs w:val="24"/>
          <w:highlight w:val="none"/>
          <w:lang w:val="en-US" w:eastAsia="zh-CN" w:bidi="ar"/>
        </w:rPr>
        <w:fldChar w:fldCharType="begin">
          <w:ffData>
            <w:name w:val="Text44"/>
            <w:enabled/>
            <w:calcOnExit w:val="0"/>
            <w:textInput>
              <w:default w:val="机构名称：大连银行股份有限公司 &#13;&#10;注册地址：辽宁省大连市中山区中山路88号 &#13;&#10;官方网站：www.bankofdl.com&#13;&#10;客户服务热线：956169"/>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 xml:space="preserve">机构名称：大连银行股份有限公司 </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 xml:space="preserve">注册地址：辽宁省大连市中山区中山路88号 </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官方网站：www.bankofdl.com</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客户服务热线：956169</w:t>
      </w:r>
      <w:r>
        <w:rPr>
          <w:rFonts w:hint="eastAsia"/>
          <w:b w:val="0"/>
          <w:bCs w:val="0"/>
          <w:kern w:val="2"/>
          <w:sz w:val="21"/>
          <w:szCs w:val="24"/>
          <w:highlight w:val="none"/>
          <w:lang w:val="en-US" w:eastAsia="zh-CN" w:bidi="ar"/>
        </w:rPr>
        <w:fldChar w:fldCharType="end"/>
      </w:r>
    </w:p>
    <w:p>
      <w:pPr>
        <w:spacing w:line="360" w:lineRule="auto"/>
        <w:ind w:left="420" w:leftChars="200" w:firstLine="0" w:firstLineChars="0"/>
        <w:rPr>
          <w:rFonts w:hint="eastAsia"/>
          <w:b w:val="0"/>
          <w:bCs w:val="0"/>
          <w:kern w:val="2"/>
          <w:sz w:val="21"/>
          <w:szCs w:val="24"/>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kern w:val="2"/>
          <w:sz w:val="21"/>
          <w:szCs w:val="21"/>
          <w:lang w:val="en-US" w:eastAsia="zh-CN" w:bidi="ar-SA"/>
        </w:rPr>
      </w:pPr>
      <w:r>
        <w:rPr>
          <w:rFonts w:hint="eastAsia"/>
          <w:b w:val="0"/>
          <w:bCs w:val="0"/>
          <w:kern w:val="2"/>
          <w:sz w:val="21"/>
          <w:szCs w:val="24"/>
          <w:highlight w:val="none"/>
          <w:lang w:val="en-US" w:eastAsia="zh-CN" w:bidi="ar"/>
        </w:rPr>
        <w:fldChar w:fldCharType="begin">
          <w:ffData>
            <w:name w:val="Text44"/>
            <w:enabled/>
            <w:calcOnExit w:val="0"/>
            <w:textInput>
              <w:default w:val="机构名称：广州农村商业银行股份有限公司&#13;&#10;注册地址：广州市黄埔区映日路9号&#13;&#10;官方网站：www.grcbank.com&#13;&#10;客户服务热线：95313"/>
            </w:textInput>
          </w:ffData>
        </w:fldChar>
      </w:r>
      <w:r>
        <w:rPr>
          <w:rFonts w:hint="eastAsia"/>
          <w:b w:val="0"/>
          <w:bCs w:val="0"/>
          <w:kern w:val="2"/>
          <w:sz w:val="21"/>
          <w:szCs w:val="24"/>
          <w:highlight w:val="none"/>
          <w:lang w:val="en-US" w:eastAsia="zh-CN" w:bidi="ar"/>
        </w:rPr>
        <w:instrText xml:space="preserve">FORMTEXT</w:instrText>
      </w:r>
      <w:r>
        <w:rPr>
          <w:rFonts w:hint="eastAsia"/>
          <w:b w:val="0"/>
          <w:bCs w:val="0"/>
          <w:kern w:val="2"/>
          <w:sz w:val="21"/>
          <w:szCs w:val="24"/>
          <w:highlight w:val="none"/>
          <w:lang w:val="en-US" w:eastAsia="zh-CN" w:bidi="ar"/>
        </w:rPr>
        <w:fldChar w:fldCharType="separate"/>
      </w:r>
      <w:r>
        <w:rPr>
          <w:rFonts w:hint="eastAsia"/>
          <w:b w:val="0"/>
          <w:bCs w:val="0"/>
          <w:kern w:val="2"/>
          <w:sz w:val="21"/>
          <w:szCs w:val="24"/>
          <w:highlight w:val="none"/>
          <w:lang w:val="en-US" w:eastAsia="zh-CN" w:bidi="ar"/>
        </w:rPr>
        <w:t>机构名称：广州农村商业银行股份有限公司</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注册地址：广州市黄埔区映日路9号</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官方网站：www.grcbank.com</w:t>
      </w:r>
      <w:r>
        <w:rPr>
          <w:rFonts w:hint="eastAsia"/>
          <w:b w:val="0"/>
          <w:bCs w:val="0"/>
          <w:kern w:val="2"/>
          <w:sz w:val="21"/>
          <w:szCs w:val="24"/>
          <w:highlight w:val="none"/>
          <w:lang w:val="en-US" w:eastAsia="zh-CN" w:bidi="ar"/>
        </w:rPr>
        <w:cr/>
      </w:r>
      <w:r>
        <w:rPr>
          <w:rFonts w:hint="eastAsia"/>
          <w:b w:val="0"/>
          <w:bCs w:val="0"/>
          <w:kern w:val="2"/>
          <w:sz w:val="21"/>
          <w:szCs w:val="24"/>
          <w:highlight w:val="none"/>
          <w:lang w:val="en-US" w:eastAsia="zh-CN" w:bidi="ar"/>
        </w:rPr>
        <w:t>客户服务热线：95313</w:t>
      </w:r>
      <w:r>
        <w:rPr>
          <w:rFonts w:hint="eastAsia"/>
          <w:b w:val="0"/>
          <w:bCs w:val="0"/>
          <w:kern w:val="2"/>
          <w:sz w:val="21"/>
          <w:szCs w:val="24"/>
          <w:highlight w:val="none"/>
          <w:lang w:val="en-US" w:eastAsia="zh-CN" w:bidi="ar"/>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Calibri" w:hAnsi="Calibri" w:eastAsia="宋体" w:cs="Times New Roman"/>
          <w:b w:val="0"/>
          <w:bCs w:val="0"/>
          <w:kern w:val="2"/>
          <w:sz w:val="21"/>
          <w:szCs w:val="22"/>
          <w:highlight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kern w:val="0"/>
          <w:sz w:val="21"/>
          <w:szCs w:val="24"/>
          <w:highlight w:val="none"/>
          <w:lang w:val="en-US" w:eastAsia="zh-CN" w:bidi="ar-SA"/>
        </w:rPr>
      </w:pPr>
      <w:r>
        <w:rPr>
          <w:rFonts w:hint="eastAsia" w:ascii="Calibri" w:hAnsi="Calibri" w:eastAsia="宋体" w:cs="Times New Roman"/>
          <w:b w:val="0"/>
          <w:bCs w:val="0"/>
          <w:kern w:val="2"/>
          <w:sz w:val="21"/>
          <w:szCs w:val="22"/>
          <w:highlight w:val="none"/>
          <w:lang w:val="en-US" w:eastAsia="zh-CN" w:bidi="ar"/>
        </w:rPr>
        <w:fldChar w:fldCharType="begin">
          <w:ffData>
            <w:name w:val="Text7"/>
            <w:enabled/>
            <w:calcOnExit w:val="0"/>
            <w:textInput>
              <w:default w:val="由于本次涉及增加代理销售机构，为保证理财产品合同文本的一致性，拟同步对《产品说明书》中关于代理销售机构职责、《投资协议书》中关于反洗钱条款、争议解决方式等描述进行调整。有关修改详见管理人更新后的《理财产品风险揭示书》《理财产品说明书》《理财产品投资者权益须知》及《理财产品投资协议书》。"/>
            </w:textInput>
          </w:ffData>
        </w:fldChar>
      </w:r>
      <w:r>
        <w:rPr>
          <w:rFonts w:hint="eastAsia" w:ascii="Calibri" w:hAnsi="Calibri" w:eastAsia="宋体" w:cs="Times New Roman"/>
          <w:b w:val="0"/>
          <w:bCs w:val="0"/>
          <w:kern w:val="2"/>
          <w:sz w:val="21"/>
          <w:szCs w:val="22"/>
          <w:highlight w:val="none"/>
          <w:lang w:val="en-US" w:eastAsia="zh-CN" w:bidi="ar"/>
        </w:rPr>
        <w:instrText xml:space="preserve">FORMTEXT</w:instrText>
      </w:r>
      <w:r>
        <w:rPr>
          <w:rFonts w:hint="eastAsia" w:ascii="Calibri" w:hAnsi="Calibri" w:eastAsia="宋体" w:cs="Times New Roman"/>
          <w:b w:val="0"/>
          <w:bCs w:val="0"/>
          <w:kern w:val="2"/>
          <w:sz w:val="21"/>
          <w:szCs w:val="22"/>
          <w:highlight w:val="none"/>
          <w:lang w:val="en-US" w:eastAsia="zh-CN" w:bidi="ar"/>
        </w:rPr>
        <w:fldChar w:fldCharType="separate"/>
      </w:r>
      <w:r>
        <w:rPr>
          <w:rFonts w:hint="eastAsia" w:ascii="Calibri" w:hAnsi="Calibri" w:eastAsia="宋体" w:cs="Times New Roman"/>
          <w:b w:val="0"/>
          <w:bCs w:val="0"/>
          <w:kern w:val="2"/>
          <w:sz w:val="21"/>
          <w:szCs w:val="22"/>
          <w:highlight w:val="none"/>
          <w:lang w:val="en-US" w:eastAsia="zh-CN" w:bidi="ar"/>
        </w:rPr>
        <w:t>由于本次涉及增加代理销售机构，为保证理财产品合同文本的一致性，拟同步对《产品说明书》中关于代理销售机构职责、《投资协议书》中关于反洗钱条款、争议解决方式等描述进行调整。有关修改详见管理人更新后的《理财产品风险揭示书》《理财产品说明书》《理财产品投资者权益须知》及《理财产品投资协议书》。</w:t>
      </w:r>
      <w:r>
        <w:rPr>
          <w:rFonts w:hint="eastAsia" w:ascii="Calibri" w:hAnsi="Calibri" w:eastAsia="宋体" w:cs="Times New Roman"/>
          <w:b w:val="0"/>
          <w:bCs w:val="0"/>
          <w:kern w:val="2"/>
          <w:sz w:val="21"/>
          <w:szCs w:val="22"/>
          <w:highlight w:val="none"/>
          <w:lang w:val="en-US" w:eastAsia="zh-CN" w:bidi="ar"/>
        </w:rPr>
        <w:fldChar w:fldCharType="end"/>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感谢您</w:t>
      </w:r>
      <w:r>
        <w:rPr>
          <w:rFonts w:hint="eastAsia" w:ascii="宋体" w:hAnsi="宋体" w:eastAsia="宋体" w:cs="宋体"/>
          <w:sz w:val="21"/>
          <w:szCs w:val="21"/>
          <w:lang w:val="en-US" w:eastAsia="zh-CN"/>
        </w:rPr>
        <w:t>一直以来</w:t>
      </w:r>
      <w:r>
        <w:rPr>
          <w:rFonts w:hint="eastAsia" w:ascii="宋体" w:hAnsi="宋体" w:eastAsia="宋体" w:cs="宋体"/>
          <w:sz w:val="21"/>
          <w:szCs w:val="21"/>
        </w:rPr>
        <w:t>对</w:t>
      </w:r>
      <w:r>
        <w:rPr>
          <w:rFonts w:hint="eastAsia" w:ascii="宋体" w:hAnsi="宋体" w:eastAsia="宋体" w:cs="宋体"/>
          <w:sz w:val="21"/>
          <w:szCs w:val="21"/>
          <w:lang w:val="en-US" w:eastAsia="zh-CN"/>
        </w:rPr>
        <w:t>民生理财有限责任公司的</w:t>
      </w:r>
      <w:r>
        <w:rPr>
          <w:rFonts w:hint="eastAsia" w:ascii="宋体" w:hAnsi="宋体" w:eastAsia="宋体" w:cs="宋体"/>
          <w:sz w:val="21"/>
          <w:szCs w:val="21"/>
        </w:rPr>
        <w:t>支持！敬请关注民生</w:t>
      </w:r>
      <w:r>
        <w:rPr>
          <w:rFonts w:hint="eastAsia" w:ascii="宋体" w:hAnsi="宋体" w:eastAsia="宋体" w:cs="宋体"/>
          <w:sz w:val="21"/>
          <w:szCs w:val="21"/>
          <w:lang w:val="en-US" w:eastAsia="zh-CN"/>
        </w:rPr>
        <w:t>理财正在热销</w:t>
      </w:r>
      <w:r>
        <w:rPr>
          <w:rFonts w:hint="eastAsia" w:ascii="宋体" w:hAnsi="宋体" w:eastAsia="宋体" w:cs="宋体"/>
          <w:sz w:val="21"/>
          <w:szCs w:val="21"/>
        </w:rPr>
        <w:t>的理财产品。</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特此公告。</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sz w:val="21"/>
          <w:szCs w:val="21"/>
        </w:rPr>
      </w:pP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民生理财有限责任公司</w:t>
      </w:r>
    </w:p>
    <w:p>
      <w:pPr>
        <w:pStyle w:val="6"/>
        <w:keepNext w:val="0"/>
        <w:keepLines w:val="0"/>
        <w:pageBreakBefore w:val="0"/>
        <w:tabs>
          <w:tab w:val="left" w:pos="1470"/>
        </w:tabs>
        <w:kinsoku/>
        <w:wordWrap/>
        <w:overflowPunct/>
        <w:topLinePunct w:val="0"/>
        <w:autoSpaceDE/>
        <w:autoSpaceDN/>
        <w:bidi w:val="0"/>
        <w:adjustRightInd/>
        <w:snapToGrid/>
        <w:spacing w:line="360" w:lineRule="auto"/>
        <w:ind w:left="0" w:leftChars="0" w:right="0" w:rightChars="0" w:firstLine="420" w:firstLineChars="200"/>
        <w:jc w:val="right"/>
        <w:textAlignment w:val="auto"/>
        <w:rPr>
          <w:rFonts w:hint="eastAsia" w:ascii="宋体" w:hAnsi="宋体" w:eastAsia="宋体" w:cs="宋体"/>
          <w:sz w:val="21"/>
          <w:szCs w:val="21"/>
          <w:lang w:val="en-US" w:eastAsia="zh-CN"/>
        </w:rPr>
      </w:pPr>
      <w:bookmarkStart w:id="15" w:name="Text7"/>
      <w:r>
        <w:rPr>
          <w:rFonts w:hint="eastAsia" w:ascii="宋体" w:hAnsi="宋体" w:eastAsia="宋体" w:cs="宋体"/>
          <w:kern w:val="2"/>
          <w:sz w:val="21"/>
          <w:szCs w:val="21"/>
          <w:vertAlign w:val="baseline"/>
          <w:lang w:val="en-US" w:eastAsia="zh-CN" w:bidi="ar-SA"/>
        </w:rPr>
        <w:fldChar w:fldCharType="begin">
          <w:ffData>
            <w:name w:val="Text7"/>
            <w:enabled/>
            <w:calcOnExit w:val="0"/>
            <w:textInput>
              <w:default w:val="2025年10月9日"/>
            </w:textInput>
          </w:ffData>
        </w:fldChar>
      </w:r>
      <w:r>
        <w:rPr>
          <w:rFonts w:hint="eastAsia" w:ascii="宋体" w:hAnsi="宋体" w:eastAsia="宋体" w:cs="宋体"/>
          <w:kern w:val="2"/>
          <w:sz w:val="21"/>
          <w:szCs w:val="21"/>
          <w:vertAlign w:val="baseline"/>
          <w:lang w:val="en-US" w:eastAsia="zh-CN" w:bidi="ar-SA"/>
        </w:rPr>
        <w:instrText xml:space="preserve">FORMTEXT</w:instrText>
      </w:r>
      <w:r>
        <w:rPr>
          <w:rFonts w:hint="eastAsia" w:ascii="宋体" w:hAnsi="宋体" w:eastAsia="宋体" w:cs="宋体"/>
          <w:kern w:val="2"/>
          <w:sz w:val="21"/>
          <w:szCs w:val="21"/>
          <w:vertAlign w:val="baseline"/>
          <w:lang w:val="en-US" w:eastAsia="zh-CN" w:bidi="ar-SA"/>
        </w:rPr>
        <w:fldChar w:fldCharType="separate"/>
      </w:r>
      <w:r>
        <w:rPr>
          <w:rFonts w:hint="eastAsia" w:ascii="宋体" w:hAnsi="宋体" w:eastAsia="宋体" w:cs="宋体"/>
          <w:kern w:val="2"/>
          <w:sz w:val="21"/>
          <w:szCs w:val="21"/>
          <w:vertAlign w:val="baseline"/>
          <w:lang w:val="en-US" w:eastAsia="zh-CN" w:bidi="ar-SA"/>
        </w:rPr>
        <w:t>2025年10月9日</w:t>
      </w:r>
      <w:r>
        <w:rPr>
          <w:rFonts w:hint="eastAsia" w:ascii="宋体" w:hAnsi="宋体" w:eastAsia="宋体" w:cs="宋体"/>
          <w:kern w:val="2"/>
          <w:sz w:val="21"/>
          <w:szCs w:val="21"/>
          <w:vertAlign w:val="baseline"/>
          <w:lang w:val="en-US" w:eastAsia="zh-CN" w:bidi="ar-SA"/>
        </w:rPr>
        <w:fldChar w:fldCharType="end"/>
      </w:r>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37FCF"/>
    <w:rsid w:val="00B94B98"/>
    <w:rsid w:val="00D01542"/>
    <w:rsid w:val="00F747B4"/>
    <w:rsid w:val="011E22A5"/>
    <w:rsid w:val="01395B91"/>
    <w:rsid w:val="014B5158"/>
    <w:rsid w:val="01711626"/>
    <w:rsid w:val="01C14B70"/>
    <w:rsid w:val="01C631F6"/>
    <w:rsid w:val="01CC1A5F"/>
    <w:rsid w:val="01D03BB3"/>
    <w:rsid w:val="027F66B5"/>
    <w:rsid w:val="02CD2B18"/>
    <w:rsid w:val="030F09AF"/>
    <w:rsid w:val="03305FFE"/>
    <w:rsid w:val="0350370C"/>
    <w:rsid w:val="0382477E"/>
    <w:rsid w:val="03B8607D"/>
    <w:rsid w:val="03F15B70"/>
    <w:rsid w:val="04453DDD"/>
    <w:rsid w:val="04EE14A4"/>
    <w:rsid w:val="04F27D1F"/>
    <w:rsid w:val="05093353"/>
    <w:rsid w:val="058E0893"/>
    <w:rsid w:val="058E385B"/>
    <w:rsid w:val="05CB0295"/>
    <w:rsid w:val="066324B6"/>
    <w:rsid w:val="06655073"/>
    <w:rsid w:val="06FA6082"/>
    <w:rsid w:val="070815B1"/>
    <w:rsid w:val="072A18BF"/>
    <w:rsid w:val="07A35216"/>
    <w:rsid w:val="07AE1028"/>
    <w:rsid w:val="07DF75F9"/>
    <w:rsid w:val="08130D4D"/>
    <w:rsid w:val="090614F3"/>
    <w:rsid w:val="0949658A"/>
    <w:rsid w:val="094F7CD1"/>
    <w:rsid w:val="0A212DC4"/>
    <w:rsid w:val="0A2F1883"/>
    <w:rsid w:val="0A451F66"/>
    <w:rsid w:val="0A616013"/>
    <w:rsid w:val="0AC460B7"/>
    <w:rsid w:val="0AE0030A"/>
    <w:rsid w:val="0B122B7A"/>
    <w:rsid w:val="0BA00B5F"/>
    <w:rsid w:val="0BDD1356"/>
    <w:rsid w:val="0C30020E"/>
    <w:rsid w:val="0C913FB2"/>
    <w:rsid w:val="0D307569"/>
    <w:rsid w:val="0D35789F"/>
    <w:rsid w:val="0D39380C"/>
    <w:rsid w:val="0DF412D1"/>
    <w:rsid w:val="0E1E38F5"/>
    <w:rsid w:val="0E436F73"/>
    <w:rsid w:val="0E4C7596"/>
    <w:rsid w:val="0E5D24D6"/>
    <w:rsid w:val="0E84390F"/>
    <w:rsid w:val="0EB013D2"/>
    <w:rsid w:val="0F101C83"/>
    <w:rsid w:val="0F75722A"/>
    <w:rsid w:val="0F7E213C"/>
    <w:rsid w:val="0F995326"/>
    <w:rsid w:val="0FDA2BBD"/>
    <w:rsid w:val="0FF26413"/>
    <w:rsid w:val="10097209"/>
    <w:rsid w:val="11017039"/>
    <w:rsid w:val="110A7385"/>
    <w:rsid w:val="116E3FA7"/>
    <w:rsid w:val="11A41173"/>
    <w:rsid w:val="11C61AC3"/>
    <w:rsid w:val="121F5A22"/>
    <w:rsid w:val="124A2691"/>
    <w:rsid w:val="125C15DE"/>
    <w:rsid w:val="12681C41"/>
    <w:rsid w:val="12B075B8"/>
    <w:rsid w:val="13130346"/>
    <w:rsid w:val="13325154"/>
    <w:rsid w:val="134D53A7"/>
    <w:rsid w:val="136C3FC9"/>
    <w:rsid w:val="13904F26"/>
    <w:rsid w:val="139A43A5"/>
    <w:rsid w:val="13B13790"/>
    <w:rsid w:val="13D209C0"/>
    <w:rsid w:val="14427871"/>
    <w:rsid w:val="14501AE1"/>
    <w:rsid w:val="145C6999"/>
    <w:rsid w:val="14800EEB"/>
    <w:rsid w:val="14C41AA0"/>
    <w:rsid w:val="15645C37"/>
    <w:rsid w:val="160259C5"/>
    <w:rsid w:val="163D388B"/>
    <w:rsid w:val="16473933"/>
    <w:rsid w:val="168B05C3"/>
    <w:rsid w:val="16A55177"/>
    <w:rsid w:val="17323626"/>
    <w:rsid w:val="17363AA3"/>
    <w:rsid w:val="174B0720"/>
    <w:rsid w:val="176B772F"/>
    <w:rsid w:val="17A90B89"/>
    <w:rsid w:val="17CC230C"/>
    <w:rsid w:val="17CE0A62"/>
    <w:rsid w:val="17EF7C85"/>
    <w:rsid w:val="18146CF5"/>
    <w:rsid w:val="18633210"/>
    <w:rsid w:val="18BF797F"/>
    <w:rsid w:val="18CA332F"/>
    <w:rsid w:val="192C4A82"/>
    <w:rsid w:val="19851F3C"/>
    <w:rsid w:val="1999328D"/>
    <w:rsid w:val="19D24A40"/>
    <w:rsid w:val="1A582853"/>
    <w:rsid w:val="1AA4758C"/>
    <w:rsid w:val="1B0E754E"/>
    <w:rsid w:val="1BB13B1D"/>
    <w:rsid w:val="1C2721F1"/>
    <w:rsid w:val="1C387059"/>
    <w:rsid w:val="1C85102B"/>
    <w:rsid w:val="1CE5034C"/>
    <w:rsid w:val="1CFA299A"/>
    <w:rsid w:val="1D144EE2"/>
    <w:rsid w:val="1D7A2EE8"/>
    <w:rsid w:val="1DE14E00"/>
    <w:rsid w:val="1E051523"/>
    <w:rsid w:val="1E2F072D"/>
    <w:rsid w:val="1F1014A3"/>
    <w:rsid w:val="1F7A6AB0"/>
    <w:rsid w:val="1FE92264"/>
    <w:rsid w:val="1FE93F66"/>
    <w:rsid w:val="1FEF03E7"/>
    <w:rsid w:val="20397E91"/>
    <w:rsid w:val="204D1A8C"/>
    <w:rsid w:val="20536FB9"/>
    <w:rsid w:val="205468F0"/>
    <w:rsid w:val="208732C1"/>
    <w:rsid w:val="20BF7F22"/>
    <w:rsid w:val="213C310A"/>
    <w:rsid w:val="22867CC2"/>
    <w:rsid w:val="22DD303F"/>
    <w:rsid w:val="231C3E29"/>
    <w:rsid w:val="2338225B"/>
    <w:rsid w:val="236F785E"/>
    <w:rsid w:val="24310265"/>
    <w:rsid w:val="247B45E7"/>
    <w:rsid w:val="24B33DA7"/>
    <w:rsid w:val="24D1520C"/>
    <w:rsid w:val="24D44A97"/>
    <w:rsid w:val="251B38EF"/>
    <w:rsid w:val="25377FAD"/>
    <w:rsid w:val="254273BC"/>
    <w:rsid w:val="259B2606"/>
    <w:rsid w:val="25C1601B"/>
    <w:rsid w:val="25D078E2"/>
    <w:rsid w:val="261C4796"/>
    <w:rsid w:val="263D03D3"/>
    <w:rsid w:val="26741610"/>
    <w:rsid w:val="26763DFB"/>
    <w:rsid w:val="26AC7333"/>
    <w:rsid w:val="26C7447F"/>
    <w:rsid w:val="278C52B9"/>
    <w:rsid w:val="278D269A"/>
    <w:rsid w:val="279772B3"/>
    <w:rsid w:val="27DA724D"/>
    <w:rsid w:val="282947F3"/>
    <w:rsid w:val="28AC2371"/>
    <w:rsid w:val="290220EB"/>
    <w:rsid w:val="29225ADF"/>
    <w:rsid w:val="29430220"/>
    <w:rsid w:val="29B97180"/>
    <w:rsid w:val="2A055BE8"/>
    <w:rsid w:val="2A7C4A7E"/>
    <w:rsid w:val="2A9A1EF5"/>
    <w:rsid w:val="2B76703A"/>
    <w:rsid w:val="2B7F517B"/>
    <w:rsid w:val="2C7E1F7A"/>
    <w:rsid w:val="2C945944"/>
    <w:rsid w:val="2CD2711E"/>
    <w:rsid w:val="2CF775D2"/>
    <w:rsid w:val="2D104B23"/>
    <w:rsid w:val="2D953FBC"/>
    <w:rsid w:val="2E090714"/>
    <w:rsid w:val="2E1F6A9D"/>
    <w:rsid w:val="2E296A4A"/>
    <w:rsid w:val="2F6C2559"/>
    <w:rsid w:val="2FE54FFE"/>
    <w:rsid w:val="302D3CF1"/>
    <w:rsid w:val="30BE473E"/>
    <w:rsid w:val="30D269A9"/>
    <w:rsid w:val="312D4083"/>
    <w:rsid w:val="32265FD5"/>
    <w:rsid w:val="32403E9F"/>
    <w:rsid w:val="3351443E"/>
    <w:rsid w:val="336E68C4"/>
    <w:rsid w:val="341F635E"/>
    <w:rsid w:val="344D24B7"/>
    <w:rsid w:val="345A58AB"/>
    <w:rsid w:val="345E6B39"/>
    <w:rsid w:val="347545A1"/>
    <w:rsid w:val="348219C2"/>
    <w:rsid w:val="349266C2"/>
    <w:rsid w:val="34B643B7"/>
    <w:rsid w:val="352528EA"/>
    <w:rsid w:val="35A55648"/>
    <w:rsid w:val="364D63EA"/>
    <w:rsid w:val="3702134C"/>
    <w:rsid w:val="373F4A34"/>
    <w:rsid w:val="37572A04"/>
    <w:rsid w:val="3771784D"/>
    <w:rsid w:val="37932CC7"/>
    <w:rsid w:val="37B26A07"/>
    <w:rsid w:val="37C625ED"/>
    <w:rsid w:val="37C75B0A"/>
    <w:rsid w:val="37E00D3A"/>
    <w:rsid w:val="38145279"/>
    <w:rsid w:val="38160850"/>
    <w:rsid w:val="38466C54"/>
    <w:rsid w:val="38976768"/>
    <w:rsid w:val="38B144A1"/>
    <w:rsid w:val="395E1EC2"/>
    <w:rsid w:val="39797D07"/>
    <w:rsid w:val="39814DD8"/>
    <w:rsid w:val="3A314D86"/>
    <w:rsid w:val="3A9F7E02"/>
    <w:rsid w:val="3ABB0345"/>
    <w:rsid w:val="3ACB4F85"/>
    <w:rsid w:val="3AD008B8"/>
    <w:rsid w:val="3B1F1FE9"/>
    <w:rsid w:val="3BC34183"/>
    <w:rsid w:val="3BED3519"/>
    <w:rsid w:val="3C237ED3"/>
    <w:rsid w:val="3CC911C7"/>
    <w:rsid w:val="3D5D5A1C"/>
    <w:rsid w:val="3E367F26"/>
    <w:rsid w:val="3E61605F"/>
    <w:rsid w:val="3E7E5396"/>
    <w:rsid w:val="3E9165B5"/>
    <w:rsid w:val="3EB6578C"/>
    <w:rsid w:val="3EE71542"/>
    <w:rsid w:val="3EE811C2"/>
    <w:rsid w:val="3EFE3F03"/>
    <w:rsid w:val="3FF25841"/>
    <w:rsid w:val="40126CC4"/>
    <w:rsid w:val="408D50F6"/>
    <w:rsid w:val="40A53F33"/>
    <w:rsid w:val="40E879F9"/>
    <w:rsid w:val="41417462"/>
    <w:rsid w:val="41A01E07"/>
    <w:rsid w:val="41A42AF9"/>
    <w:rsid w:val="41B15F81"/>
    <w:rsid w:val="41D2798B"/>
    <w:rsid w:val="423C5EF4"/>
    <w:rsid w:val="427162B2"/>
    <w:rsid w:val="43505534"/>
    <w:rsid w:val="439F0E1A"/>
    <w:rsid w:val="43EB387E"/>
    <w:rsid w:val="43F854C2"/>
    <w:rsid w:val="448C255B"/>
    <w:rsid w:val="44910455"/>
    <w:rsid w:val="44944B08"/>
    <w:rsid w:val="453B5FB7"/>
    <w:rsid w:val="455901D1"/>
    <w:rsid w:val="455D1581"/>
    <w:rsid w:val="45B01E1F"/>
    <w:rsid w:val="45B93844"/>
    <w:rsid w:val="46092573"/>
    <w:rsid w:val="461E38D1"/>
    <w:rsid w:val="46571E60"/>
    <w:rsid w:val="468D4D4B"/>
    <w:rsid w:val="46C9712E"/>
    <w:rsid w:val="46CB0A54"/>
    <w:rsid w:val="47506B99"/>
    <w:rsid w:val="478D1D86"/>
    <w:rsid w:val="47BF5459"/>
    <w:rsid w:val="47CA5719"/>
    <w:rsid w:val="48EC70BB"/>
    <w:rsid w:val="48F906C8"/>
    <w:rsid w:val="48FF6CB3"/>
    <w:rsid w:val="49350C9F"/>
    <w:rsid w:val="49582C60"/>
    <w:rsid w:val="49665929"/>
    <w:rsid w:val="49B45094"/>
    <w:rsid w:val="4A0064B4"/>
    <w:rsid w:val="4A922FA0"/>
    <w:rsid w:val="4A94318F"/>
    <w:rsid w:val="4ABF6D2F"/>
    <w:rsid w:val="4AE01BF6"/>
    <w:rsid w:val="4AFD4615"/>
    <w:rsid w:val="4B056A7D"/>
    <w:rsid w:val="4B19004B"/>
    <w:rsid w:val="4B206E0E"/>
    <w:rsid w:val="4B2C1A33"/>
    <w:rsid w:val="4B2E0668"/>
    <w:rsid w:val="4BB06DF3"/>
    <w:rsid w:val="4BF73B24"/>
    <w:rsid w:val="4C0A12CF"/>
    <w:rsid w:val="4CB4682F"/>
    <w:rsid w:val="4D393510"/>
    <w:rsid w:val="4DFE2E32"/>
    <w:rsid w:val="4E5578AC"/>
    <w:rsid w:val="4EB37C3D"/>
    <w:rsid w:val="4F0C733E"/>
    <w:rsid w:val="4F902C1F"/>
    <w:rsid w:val="506F1978"/>
    <w:rsid w:val="5080141E"/>
    <w:rsid w:val="509D23DD"/>
    <w:rsid w:val="50DB62B4"/>
    <w:rsid w:val="50EE78AE"/>
    <w:rsid w:val="517F7C3C"/>
    <w:rsid w:val="51B20896"/>
    <w:rsid w:val="51CB73DF"/>
    <w:rsid w:val="529102F8"/>
    <w:rsid w:val="5325368A"/>
    <w:rsid w:val="533B4FC1"/>
    <w:rsid w:val="534E5B0B"/>
    <w:rsid w:val="544C3A5E"/>
    <w:rsid w:val="546A4246"/>
    <w:rsid w:val="54FE65AB"/>
    <w:rsid w:val="55276C44"/>
    <w:rsid w:val="55E44383"/>
    <w:rsid w:val="55F37132"/>
    <w:rsid w:val="568E6C57"/>
    <w:rsid w:val="56967262"/>
    <w:rsid w:val="5808024E"/>
    <w:rsid w:val="58A13F6B"/>
    <w:rsid w:val="590D65AA"/>
    <w:rsid w:val="59284BD5"/>
    <w:rsid w:val="59687BBD"/>
    <w:rsid w:val="598A66DE"/>
    <w:rsid w:val="59AB192B"/>
    <w:rsid w:val="59FE204F"/>
    <w:rsid w:val="5A4B01B0"/>
    <w:rsid w:val="5AB70B64"/>
    <w:rsid w:val="5AF27442"/>
    <w:rsid w:val="5B0B1B8C"/>
    <w:rsid w:val="5B220213"/>
    <w:rsid w:val="5B232664"/>
    <w:rsid w:val="5B393E74"/>
    <w:rsid w:val="5BC06B9C"/>
    <w:rsid w:val="5C1A29AA"/>
    <w:rsid w:val="5C2907A3"/>
    <w:rsid w:val="5C3B12A9"/>
    <w:rsid w:val="5CAB03AC"/>
    <w:rsid w:val="5CCD537D"/>
    <w:rsid w:val="5D2E6FEF"/>
    <w:rsid w:val="5D8764E9"/>
    <w:rsid w:val="5DA70892"/>
    <w:rsid w:val="5DC179FF"/>
    <w:rsid w:val="5F746704"/>
    <w:rsid w:val="5FAA3AFF"/>
    <w:rsid w:val="5FCC319D"/>
    <w:rsid w:val="5FE53CE4"/>
    <w:rsid w:val="60BA277C"/>
    <w:rsid w:val="6142577F"/>
    <w:rsid w:val="614F6F99"/>
    <w:rsid w:val="61A62640"/>
    <w:rsid w:val="61A85346"/>
    <w:rsid w:val="621351F3"/>
    <w:rsid w:val="624C3873"/>
    <w:rsid w:val="625F1FDD"/>
    <w:rsid w:val="629422C9"/>
    <w:rsid w:val="62A41344"/>
    <w:rsid w:val="630F273F"/>
    <w:rsid w:val="632D03EB"/>
    <w:rsid w:val="636F045F"/>
    <w:rsid w:val="63AC7512"/>
    <w:rsid w:val="63EBA66F"/>
    <w:rsid w:val="640C6632"/>
    <w:rsid w:val="641C1EF0"/>
    <w:rsid w:val="6440665D"/>
    <w:rsid w:val="646C40CD"/>
    <w:rsid w:val="64783328"/>
    <w:rsid w:val="649A2F75"/>
    <w:rsid w:val="649B5961"/>
    <w:rsid w:val="65162368"/>
    <w:rsid w:val="651D1CF3"/>
    <w:rsid w:val="6571624E"/>
    <w:rsid w:val="6583640C"/>
    <w:rsid w:val="65A31BCC"/>
    <w:rsid w:val="65A663D3"/>
    <w:rsid w:val="65C94267"/>
    <w:rsid w:val="661D1C23"/>
    <w:rsid w:val="66201268"/>
    <w:rsid w:val="667A6BA5"/>
    <w:rsid w:val="668115BA"/>
    <w:rsid w:val="66B47AB5"/>
    <w:rsid w:val="673533A0"/>
    <w:rsid w:val="67952179"/>
    <w:rsid w:val="67EF1790"/>
    <w:rsid w:val="68084A05"/>
    <w:rsid w:val="68101B70"/>
    <w:rsid w:val="68331B48"/>
    <w:rsid w:val="685C7BC6"/>
    <w:rsid w:val="68E7276B"/>
    <w:rsid w:val="69811F27"/>
    <w:rsid w:val="69F61967"/>
    <w:rsid w:val="6A174619"/>
    <w:rsid w:val="6A694423"/>
    <w:rsid w:val="6AB129AA"/>
    <w:rsid w:val="6B52734E"/>
    <w:rsid w:val="6BC50D76"/>
    <w:rsid w:val="6C3A03E1"/>
    <w:rsid w:val="6C6D5DF2"/>
    <w:rsid w:val="6CA639CD"/>
    <w:rsid w:val="6CAC7621"/>
    <w:rsid w:val="6CAF20DF"/>
    <w:rsid w:val="6D1C3215"/>
    <w:rsid w:val="6D394241"/>
    <w:rsid w:val="6D3A1056"/>
    <w:rsid w:val="6D3A1CC2"/>
    <w:rsid w:val="6D714F58"/>
    <w:rsid w:val="6D8B6927"/>
    <w:rsid w:val="6DEF5F13"/>
    <w:rsid w:val="6EC868EA"/>
    <w:rsid w:val="6EDF073E"/>
    <w:rsid w:val="6EDF4F45"/>
    <w:rsid w:val="6EF029B3"/>
    <w:rsid w:val="6F3A4D57"/>
    <w:rsid w:val="6F5649DA"/>
    <w:rsid w:val="6F866004"/>
    <w:rsid w:val="6F952C46"/>
    <w:rsid w:val="701E2304"/>
    <w:rsid w:val="702B7E17"/>
    <w:rsid w:val="702E686B"/>
    <w:rsid w:val="704A4A62"/>
    <w:rsid w:val="708F624F"/>
    <w:rsid w:val="7093524D"/>
    <w:rsid w:val="709F4552"/>
    <w:rsid w:val="70E61A7D"/>
    <w:rsid w:val="71151333"/>
    <w:rsid w:val="71EB4575"/>
    <w:rsid w:val="723939C7"/>
    <w:rsid w:val="723A1D75"/>
    <w:rsid w:val="724805E1"/>
    <w:rsid w:val="726C028A"/>
    <w:rsid w:val="726C37BE"/>
    <w:rsid w:val="7299748B"/>
    <w:rsid w:val="729A468E"/>
    <w:rsid w:val="72BD48CD"/>
    <w:rsid w:val="732F628C"/>
    <w:rsid w:val="736A2467"/>
    <w:rsid w:val="74003C5F"/>
    <w:rsid w:val="743D093A"/>
    <w:rsid w:val="74661472"/>
    <w:rsid w:val="74792624"/>
    <w:rsid w:val="74CC462D"/>
    <w:rsid w:val="75CC3AF4"/>
    <w:rsid w:val="76155D3A"/>
    <w:rsid w:val="762E0520"/>
    <w:rsid w:val="76635464"/>
    <w:rsid w:val="76B963D7"/>
    <w:rsid w:val="77000D49"/>
    <w:rsid w:val="77FC7CE8"/>
    <w:rsid w:val="78027672"/>
    <w:rsid w:val="784F3560"/>
    <w:rsid w:val="78913A5E"/>
    <w:rsid w:val="78F15641"/>
    <w:rsid w:val="792203D2"/>
    <w:rsid w:val="79513E27"/>
    <w:rsid w:val="7AB80DFB"/>
    <w:rsid w:val="7B12229E"/>
    <w:rsid w:val="7B4870C0"/>
    <w:rsid w:val="7BBD3DD4"/>
    <w:rsid w:val="7BCA1FA7"/>
    <w:rsid w:val="7BCA7537"/>
    <w:rsid w:val="7BF97273"/>
    <w:rsid w:val="7C3A3560"/>
    <w:rsid w:val="7C5F1080"/>
    <w:rsid w:val="7C611327"/>
    <w:rsid w:val="7C6F21CC"/>
    <w:rsid w:val="7C7956BA"/>
    <w:rsid w:val="7CA4518D"/>
    <w:rsid w:val="7CB11915"/>
    <w:rsid w:val="7CB329A2"/>
    <w:rsid w:val="7CB62EA9"/>
    <w:rsid w:val="7D395FCA"/>
    <w:rsid w:val="7DB963DF"/>
    <w:rsid w:val="7DC14660"/>
    <w:rsid w:val="7DE07113"/>
    <w:rsid w:val="7EE5150B"/>
    <w:rsid w:val="7F687E9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0</TotalTime>
  <ScaleCrop>false</ScaleCrop>
  <LinksUpToDate>false</LinksUpToDate>
  <CharactersWithSpaces>0</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cmbc</dc:creator>
  <cp:lastModifiedBy>cmbc</cp:lastModifiedBy>
  <dcterms:modified xsi:type="dcterms:W3CDTF">2025-09-29T05:36:03Z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CGWFP6GP79UQ06BGRYRNYL0S7ZCMOYYRES06NJEPXFGRTELTZDBRYCJGFSUTPCRRXSM6EOZNZI7D8IXJROFTRFFN89C0WLLB8XOOQHB3209C002E23478EC5A575D3E6FDEDEDE1</vt:lpwstr>
  </property>
  <property fmtid="{D5CDD505-2E9C-101B-9397-08002B2CF9AE}" pid="5" name="ICV">
    <vt:lpwstr>0FCEDFAE083AFDF412635B68AFB82A63_43</vt:lpwstr>
  </property>
</Properties>
</file>