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杭银理财幸福99季添益1912期理财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杭银理财幸福99季添益1912期理财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TYG3M1912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2.3210%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2.3992%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4.3326%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0.4281%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4.8087%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4.6834%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4.5729%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3.8963%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3.8904%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4.1269%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4.1261%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杭银理财幸福99季添益1912期理财B款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TYG3M1912B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2.9579%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2.9043%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4.4703%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0.5267%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4.9164%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杭银理财幸福99季添益1912期理财C款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TYG3M1912C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2.4946%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3.3758%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4.5048%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0.5598%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2025年9月24日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