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杭银理财幸福99月添益1801期理财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1.3668%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4.9837%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1.3704%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1.7653%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2.6504%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-0.2013%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2.4935%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1.6188%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2.0781%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1.3519%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2.8811%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2025年9月4日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