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杭银理财幸福99季添益1908期理财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TYG3M1908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杭银理财幸福99季添益1908期理财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TYG3M1908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2025-08-27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2025-12-02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杭银理财幸福99季添益1908期理财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TYG3M1908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杭银理财幸福99季添益1908期理财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TYG3M1908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2025年8月11日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