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BA40">
      <w:pPr>
        <w:spacing w:line="360" w:lineRule="auto"/>
        <w:jc w:val="center"/>
        <w:rPr>
          <w:rFonts w:asciiTheme="minorEastAsia" w:hAnsiTheme="minorEastAsia" w:eastAsiaTheme="minorEastAsia"/>
          <w:szCs w:val="21"/>
        </w:rPr>
      </w:pPr>
    </w:p>
    <w:p w14:paraId="57B8EC3C">
      <w:pPr>
        <w:spacing w:line="360" w:lineRule="auto"/>
        <w:jc w:val="center"/>
        <w:rPr>
          <w:rFonts w:asciiTheme="minorEastAsia" w:hAnsiTheme="minorEastAsia" w:eastAsiaTheme="minorEastAsia"/>
          <w:szCs w:val="21"/>
        </w:rPr>
      </w:pPr>
    </w:p>
    <w:p w14:paraId="6C4BA278">
      <w:pPr>
        <w:spacing w:line="360" w:lineRule="auto"/>
        <w:jc w:val="center"/>
        <w:rPr>
          <w:rFonts w:asciiTheme="minorEastAsia" w:hAnsiTheme="minorEastAsia" w:eastAsiaTheme="minorEastAsia"/>
          <w:szCs w:val="21"/>
        </w:rPr>
      </w:pPr>
    </w:p>
    <w:p w14:paraId="2CA4CC48">
      <w:pPr>
        <w:spacing w:line="360" w:lineRule="auto"/>
        <w:jc w:val="center"/>
        <w:rPr>
          <w:rFonts w:asciiTheme="minorEastAsia" w:hAnsiTheme="minorEastAsia" w:eastAsiaTheme="minorEastAsia"/>
          <w:szCs w:val="21"/>
        </w:rPr>
      </w:pPr>
    </w:p>
    <w:p w14:paraId="493DB535">
      <w:pPr>
        <w:spacing w:line="360" w:lineRule="auto"/>
        <w:jc w:val="center"/>
        <w:rPr>
          <w:rFonts w:asciiTheme="minorEastAsia" w:hAnsiTheme="minorEastAsia" w:eastAsiaTheme="minorEastAsia"/>
          <w:szCs w:val="21"/>
        </w:rPr>
      </w:pPr>
    </w:p>
    <w:p w14:paraId="5F5D7DEE">
      <w:pPr>
        <w:adjustRightInd w:val="0"/>
        <w:snapToGrid w:val="0"/>
        <w:ind w:left="839"/>
        <w:jc w:val="center"/>
        <w:rPr>
          <w:rFonts w:ascii="宋体" w:hAnsi="宋体"/>
          <w:b/>
          <w:color w:val="000000"/>
          <w:sz w:val="52"/>
          <w:szCs w:val="52"/>
        </w:rPr>
      </w:pPr>
      <w:r>
        <w:rPr>
          <w:rFonts w:hint="eastAsia" w:ascii="宋体" w:hAnsi="宋体"/>
          <w:b/>
          <w:color w:val="000000"/>
          <w:sz w:val="52"/>
          <w:szCs w:val="52"/>
        </w:rPr>
        <w:t>广东南粤银行</w:t>
      </w:r>
    </w:p>
    <w:p w14:paraId="20B4FED6">
      <w:pPr>
        <w:adjustRightInd w:val="0"/>
        <w:snapToGrid w:val="0"/>
        <w:ind w:left="839"/>
        <w:jc w:val="center"/>
        <w:rPr>
          <w:rFonts w:ascii="宋体" w:hAnsi="宋体"/>
          <w:b/>
          <w:color w:val="000000"/>
          <w:sz w:val="52"/>
          <w:szCs w:val="52"/>
        </w:rPr>
      </w:pPr>
      <w:r>
        <w:rPr>
          <w:rFonts w:hint="eastAsia" w:ascii="宋体" w:hAnsi="宋体"/>
          <w:b/>
          <w:color w:val="000000"/>
          <w:sz w:val="52"/>
          <w:szCs w:val="52"/>
          <w:lang w:val="en-US" w:eastAsia="zh-CN"/>
        </w:rPr>
        <w:t>一表通</w:t>
      </w:r>
      <w:r>
        <w:rPr>
          <w:rFonts w:hint="eastAsia" w:ascii="宋体" w:hAnsi="宋体"/>
          <w:b/>
          <w:color w:val="000000"/>
          <w:sz w:val="52"/>
          <w:szCs w:val="52"/>
        </w:rPr>
        <w:t>系统建设项目</w:t>
      </w:r>
    </w:p>
    <w:p w14:paraId="5AA11662">
      <w:pPr>
        <w:adjustRightInd w:val="0"/>
        <w:snapToGrid w:val="0"/>
        <w:ind w:left="839"/>
        <w:jc w:val="center"/>
        <w:rPr>
          <w:rFonts w:ascii="宋体" w:hAnsi="宋体"/>
          <w:b/>
          <w:color w:val="000000"/>
          <w:sz w:val="52"/>
          <w:szCs w:val="52"/>
        </w:rPr>
      </w:pPr>
      <w:r>
        <w:rPr>
          <w:rFonts w:hint="eastAsia" w:ascii="宋体" w:hAnsi="宋体"/>
          <w:b/>
          <w:color w:val="000000"/>
          <w:sz w:val="52"/>
          <w:szCs w:val="52"/>
        </w:rPr>
        <w:t>PO</w:t>
      </w:r>
      <w:r>
        <w:rPr>
          <w:rFonts w:ascii="宋体" w:hAnsi="宋体"/>
          <w:b/>
          <w:color w:val="000000"/>
          <w:sz w:val="52"/>
          <w:szCs w:val="52"/>
        </w:rPr>
        <w:t>C</w:t>
      </w:r>
      <w:r>
        <w:rPr>
          <w:rFonts w:hint="eastAsia" w:ascii="宋体" w:hAnsi="宋体"/>
          <w:b/>
          <w:color w:val="000000"/>
          <w:sz w:val="52"/>
          <w:szCs w:val="52"/>
        </w:rPr>
        <w:t>测评方案</w:t>
      </w:r>
    </w:p>
    <w:p w14:paraId="70E481BE">
      <w:pPr>
        <w:spacing w:line="360" w:lineRule="auto"/>
        <w:rPr>
          <w:rFonts w:asciiTheme="minorEastAsia" w:hAnsiTheme="minorEastAsia" w:eastAsiaTheme="minorEastAsia"/>
          <w:szCs w:val="21"/>
        </w:rPr>
      </w:pPr>
    </w:p>
    <w:p w14:paraId="0952558E">
      <w:pPr>
        <w:spacing w:line="360" w:lineRule="auto"/>
        <w:jc w:val="center"/>
        <w:rPr>
          <w:rFonts w:asciiTheme="minorEastAsia" w:hAnsiTheme="minorEastAsia" w:eastAsiaTheme="minorEastAsia"/>
          <w:b/>
          <w:bCs/>
          <w:szCs w:val="21"/>
        </w:rPr>
      </w:pPr>
      <w:r>
        <w:rPr>
          <w:rFonts w:asciiTheme="minorEastAsia" w:hAnsiTheme="minorEastAsia" w:eastAsiaTheme="minorEastAsia"/>
          <w:szCs w:val="21"/>
        </w:rPr>
        <w:br w:type="page"/>
      </w:r>
      <w:r>
        <w:rPr>
          <w:rFonts w:hint="eastAsia" w:asciiTheme="minorEastAsia" w:hAnsiTheme="minorEastAsia" w:eastAsiaTheme="minorEastAsia"/>
          <w:b/>
          <w:bCs/>
          <w:szCs w:val="21"/>
        </w:rPr>
        <w:t>目  录</w:t>
      </w:r>
    </w:p>
    <w:p w14:paraId="70E15C22">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"1-4" \h \z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_Toc25462 </w:instrText>
      </w:r>
      <w:r>
        <w:rPr>
          <w:rFonts w:asciiTheme="minorEastAsia" w:hAnsiTheme="minorEastAsia" w:eastAsiaTheme="minorEastAsia"/>
          <w:szCs w:val="21"/>
        </w:rPr>
        <w:fldChar w:fldCharType="separate"/>
      </w:r>
      <w:r>
        <w:rPr>
          <w:rFonts w:hint="default"/>
        </w:rPr>
        <w:t xml:space="preserve">1. </w:t>
      </w:r>
      <w:r>
        <w:rPr>
          <w:rFonts w:hint="eastAsia"/>
        </w:rPr>
        <w:t>概述</w:t>
      </w:r>
      <w:r>
        <w:tab/>
      </w:r>
      <w:r>
        <w:fldChar w:fldCharType="begin"/>
      </w:r>
      <w:r>
        <w:instrText xml:space="preserve"> PAGEREF _Toc25462 \h </w:instrText>
      </w:r>
      <w:r>
        <w:fldChar w:fldCharType="separate"/>
      </w:r>
      <w:r>
        <w:t>1</w:t>
      </w:r>
      <w:r>
        <w:fldChar w:fldCharType="end"/>
      </w:r>
      <w:r>
        <w:rPr>
          <w:rFonts w:asciiTheme="minorEastAsia" w:hAnsiTheme="minorEastAsia" w:eastAsiaTheme="minorEastAsia"/>
          <w:szCs w:val="21"/>
        </w:rPr>
        <w:fldChar w:fldCharType="end"/>
      </w:r>
    </w:p>
    <w:p w14:paraId="667EEEAE">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_Toc3425 </w:instrText>
      </w:r>
      <w:r>
        <w:rPr>
          <w:rFonts w:asciiTheme="minorEastAsia" w:hAnsiTheme="minorEastAsia" w:eastAsiaTheme="minorEastAsia"/>
          <w:szCs w:val="21"/>
        </w:rPr>
        <w:fldChar w:fldCharType="separate"/>
      </w:r>
      <w:r>
        <w:rPr>
          <w:rFonts w:hint="default" w:ascii="仿宋" w:hAnsi="仿宋" w:eastAsia="仿宋" w:cs="仿宋"/>
        </w:rPr>
        <w:t xml:space="preserve">1.1. </w:t>
      </w:r>
      <w:r>
        <w:rPr>
          <w:rFonts w:hint="eastAsia" w:ascii="仿宋" w:hAnsi="仿宋" w:eastAsia="仿宋" w:cs="仿宋"/>
        </w:rPr>
        <w:t>测评目的</w:t>
      </w:r>
      <w:r>
        <w:tab/>
      </w:r>
      <w:r>
        <w:fldChar w:fldCharType="begin"/>
      </w:r>
      <w:r>
        <w:instrText xml:space="preserve"> PAGEREF _Toc3425 \h </w:instrText>
      </w:r>
      <w:r>
        <w:fldChar w:fldCharType="separate"/>
      </w:r>
      <w:r>
        <w:t>1</w:t>
      </w:r>
      <w:r>
        <w:fldChar w:fldCharType="end"/>
      </w:r>
      <w:r>
        <w:rPr>
          <w:rFonts w:asciiTheme="minorEastAsia" w:hAnsiTheme="minorEastAsia" w:eastAsiaTheme="minorEastAsia"/>
          <w:szCs w:val="21"/>
        </w:rPr>
        <w:fldChar w:fldCharType="end"/>
      </w:r>
    </w:p>
    <w:p w14:paraId="240DD4CE">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_Toc16991 </w:instrText>
      </w:r>
      <w:r>
        <w:rPr>
          <w:rFonts w:asciiTheme="minorEastAsia" w:hAnsiTheme="minorEastAsia" w:eastAsiaTheme="minorEastAsia"/>
          <w:szCs w:val="21"/>
        </w:rPr>
        <w:fldChar w:fldCharType="separate"/>
      </w:r>
      <w:r>
        <w:rPr>
          <w:rFonts w:hint="default" w:ascii="仿宋" w:hAnsi="仿宋" w:eastAsia="仿宋" w:cs="仿宋"/>
        </w:rPr>
        <w:t xml:space="preserve">1.2. </w:t>
      </w:r>
      <w:r>
        <w:rPr>
          <w:rFonts w:hint="eastAsia" w:ascii="仿宋" w:hAnsi="仿宋" w:eastAsia="仿宋" w:cs="仿宋"/>
        </w:rPr>
        <w:t>测评内容概述</w:t>
      </w:r>
      <w:r>
        <w:tab/>
      </w:r>
      <w:r>
        <w:fldChar w:fldCharType="begin"/>
      </w:r>
      <w:r>
        <w:instrText xml:space="preserve"> PAGEREF _Toc16991 \h </w:instrText>
      </w:r>
      <w:r>
        <w:fldChar w:fldCharType="separate"/>
      </w:r>
      <w:r>
        <w:t>1</w:t>
      </w:r>
      <w:r>
        <w:fldChar w:fldCharType="end"/>
      </w:r>
      <w:r>
        <w:rPr>
          <w:rFonts w:asciiTheme="minorEastAsia" w:hAnsiTheme="minorEastAsia" w:eastAsiaTheme="minorEastAsia"/>
          <w:szCs w:val="21"/>
        </w:rPr>
        <w:fldChar w:fldCharType="end"/>
      </w:r>
    </w:p>
    <w:p w14:paraId="57F06AB2">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_Toc10842 </w:instrText>
      </w:r>
      <w:r>
        <w:rPr>
          <w:rFonts w:asciiTheme="minorEastAsia" w:hAnsiTheme="minorEastAsia" w:eastAsiaTheme="minorEastAsia"/>
          <w:szCs w:val="21"/>
        </w:rPr>
        <w:fldChar w:fldCharType="separate"/>
      </w:r>
      <w:r>
        <w:rPr>
          <w:rFonts w:hint="default" w:ascii="仿宋" w:hAnsi="仿宋" w:eastAsia="仿宋" w:cs="仿宋"/>
        </w:rPr>
        <w:t xml:space="preserve">1.3. </w:t>
      </w:r>
      <w:r>
        <w:rPr>
          <w:rFonts w:hint="eastAsia" w:ascii="仿宋" w:hAnsi="仿宋" w:eastAsia="仿宋" w:cs="仿宋"/>
        </w:rPr>
        <w:t>测评原则</w:t>
      </w:r>
      <w:r>
        <w:tab/>
      </w:r>
      <w:r>
        <w:fldChar w:fldCharType="begin"/>
      </w:r>
      <w:r>
        <w:instrText xml:space="preserve"> PAGEREF _Toc10842 \h </w:instrText>
      </w:r>
      <w:r>
        <w:fldChar w:fldCharType="separate"/>
      </w:r>
      <w:r>
        <w:t>1</w:t>
      </w:r>
      <w:r>
        <w:fldChar w:fldCharType="end"/>
      </w:r>
      <w:r>
        <w:rPr>
          <w:rFonts w:asciiTheme="minorEastAsia" w:hAnsiTheme="minorEastAsia" w:eastAsiaTheme="minorEastAsia"/>
          <w:szCs w:val="21"/>
        </w:rPr>
        <w:fldChar w:fldCharType="end"/>
      </w:r>
    </w:p>
    <w:p w14:paraId="4330F1D6">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_Toc16374 </w:instrText>
      </w:r>
      <w:r>
        <w:rPr>
          <w:rFonts w:asciiTheme="minorEastAsia" w:hAnsiTheme="minorEastAsia" w:eastAsiaTheme="minorEastAsia"/>
          <w:szCs w:val="21"/>
        </w:rPr>
        <w:fldChar w:fldCharType="separate"/>
      </w:r>
      <w:r>
        <w:rPr>
          <w:rFonts w:hint="default"/>
        </w:rPr>
        <w:t xml:space="preserve">1.3.1. </w:t>
      </w:r>
      <w:r>
        <w:rPr>
          <w:rFonts w:hint="eastAsia"/>
        </w:rPr>
        <w:t>公正要求</w:t>
      </w:r>
      <w:r>
        <w:tab/>
      </w:r>
      <w:r>
        <w:fldChar w:fldCharType="begin"/>
      </w:r>
      <w:r>
        <w:instrText xml:space="preserve"> PAGEREF _Toc16374 \h </w:instrText>
      </w:r>
      <w:r>
        <w:fldChar w:fldCharType="separate"/>
      </w:r>
      <w:r>
        <w:t>1</w:t>
      </w:r>
      <w:r>
        <w:fldChar w:fldCharType="end"/>
      </w:r>
      <w:r>
        <w:rPr>
          <w:rFonts w:asciiTheme="minorEastAsia" w:hAnsiTheme="minorEastAsia" w:eastAsiaTheme="minorEastAsia"/>
          <w:szCs w:val="21"/>
        </w:rPr>
        <w:fldChar w:fldCharType="end"/>
      </w:r>
    </w:p>
    <w:p w14:paraId="62E2DFA7">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_Toc12070 </w:instrText>
      </w:r>
      <w:r>
        <w:rPr>
          <w:rFonts w:asciiTheme="minorEastAsia" w:hAnsiTheme="minorEastAsia" w:eastAsiaTheme="minorEastAsia"/>
          <w:szCs w:val="21"/>
        </w:rPr>
        <w:fldChar w:fldCharType="separate"/>
      </w:r>
      <w:r>
        <w:rPr>
          <w:rFonts w:hint="default"/>
        </w:rPr>
        <w:t xml:space="preserve">1.3.2. </w:t>
      </w:r>
      <w:r>
        <w:rPr>
          <w:rFonts w:hint="eastAsia"/>
        </w:rPr>
        <w:t>时间要求</w:t>
      </w:r>
      <w:r>
        <w:tab/>
      </w:r>
      <w:r>
        <w:fldChar w:fldCharType="begin"/>
      </w:r>
      <w:r>
        <w:instrText xml:space="preserve"> PAGEREF _Toc12070 \h </w:instrText>
      </w:r>
      <w:r>
        <w:fldChar w:fldCharType="separate"/>
      </w:r>
      <w:r>
        <w:t>2</w:t>
      </w:r>
      <w:r>
        <w:fldChar w:fldCharType="end"/>
      </w:r>
      <w:r>
        <w:rPr>
          <w:rFonts w:asciiTheme="minorEastAsia" w:hAnsiTheme="minorEastAsia" w:eastAsiaTheme="minorEastAsia"/>
          <w:szCs w:val="21"/>
        </w:rPr>
        <w:fldChar w:fldCharType="end"/>
      </w:r>
    </w:p>
    <w:p w14:paraId="3587FB52">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_Toc18297 </w:instrText>
      </w:r>
      <w:r>
        <w:rPr>
          <w:rFonts w:asciiTheme="minorEastAsia" w:hAnsiTheme="minorEastAsia" w:eastAsiaTheme="minorEastAsia"/>
          <w:szCs w:val="21"/>
        </w:rPr>
        <w:fldChar w:fldCharType="separate"/>
      </w:r>
      <w:r>
        <w:rPr>
          <w:rFonts w:hint="default"/>
        </w:rPr>
        <w:t xml:space="preserve">1.3.3. </w:t>
      </w:r>
      <w:r>
        <w:rPr>
          <w:rFonts w:hint="eastAsia"/>
        </w:rPr>
        <w:t>保密要求</w:t>
      </w:r>
      <w:r>
        <w:tab/>
      </w:r>
      <w:r>
        <w:fldChar w:fldCharType="begin"/>
      </w:r>
      <w:r>
        <w:instrText xml:space="preserve"> PAGEREF _Toc18297 \h </w:instrText>
      </w:r>
      <w:r>
        <w:fldChar w:fldCharType="separate"/>
      </w:r>
      <w:r>
        <w:t>2</w:t>
      </w:r>
      <w:r>
        <w:fldChar w:fldCharType="end"/>
      </w:r>
      <w:r>
        <w:rPr>
          <w:rFonts w:asciiTheme="minorEastAsia" w:hAnsiTheme="minorEastAsia" w:eastAsiaTheme="minorEastAsia"/>
          <w:szCs w:val="21"/>
        </w:rPr>
        <w:fldChar w:fldCharType="end"/>
      </w:r>
    </w:p>
    <w:p w14:paraId="05909341">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_Toc11019 </w:instrText>
      </w:r>
      <w:r>
        <w:rPr>
          <w:rFonts w:asciiTheme="minorEastAsia" w:hAnsiTheme="minorEastAsia" w:eastAsiaTheme="minorEastAsia"/>
          <w:szCs w:val="21"/>
        </w:rPr>
        <w:fldChar w:fldCharType="separate"/>
      </w:r>
      <w:r>
        <w:rPr>
          <w:rFonts w:hint="default"/>
        </w:rPr>
        <w:t xml:space="preserve">1.3.4. </w:t>
      </w:r>
      <w:r>
        <w:rPr>
          <w:rFonts w:hint="eastAsia"/>
        </w:rPr>
        <w:t>诚信要求</w:t>
      </w:r>
      <w:r>
        <w:tab/>
      </w:r>
      <w:r>
        <w:fldChar w:fldCharType="begin"/>
      </w:r>
      <w:r>
        <w:instrText xml:space="preserve"> PAGEREF _Toc11019 \h </w:instrText>
      </w:r>
      <w:r>
        <w:fldChar w:fldCharType="separate"/>
      </w:r>
      <w:r>
        <w:t>2</w:t>
      </w:r>
      <w:r>
        <w:fldChar w:fldCharType="end"/>
      </w:r>
      <w:r>
        <w:rPr>
          <w:rFonts w:asciiTheme="minorEastAsia" w:hAnsiTheme="minorEastAsia" w:eastAsiaTheme="minorEastAsia"/>
          <w:szCs w:val="21"/>
        </w:rPr>
        <w:fldChar w:fldCharType="end"/>
      </w:r>
    </w:p>
    <w:p w14:paraId="19959BF4">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_Toc8230 </w:instrText>
      </w:r>
      <w:r>
        <w:rPr>
          <w:rFonts w:asciiTheme="minorEastAsia" w:hAnsiTheme="minorEastAsia" w:eastAsiaTheme="minorEastAsia"/>
          <w:szCs w:val="21"/>
        </w:rPr>
        <w:fldChar w:fldCharType="separate"/>
      </w:r>
      <w:r>
        <w:rPr>
          <w:rFonts w:hint="default"/>
        </w:rPr>
        <w:t xml:space="preserve">1.3.5. </w:t>
      </w:r>
      <w:r>
        <w:rPr>
          <w:rFonts w:hint="eastAsia"/>
        </w:rPr>
        <w:t>其它要求</w:t>
      </w:r>
      <w:r>
        <w:tab/>
      </w:r>
      <w:r>
        <w:fldChar w:fldCharType="begin"/>
      </w:r>
      <w:r>
        <w:instrText xml:space="preserve"> PAGEREF _Toc8230 \h </w:instrText>
      </w:r>
      <w:r>
        <w:fldChar w:fldCharType="separate"/>
      </w:r>
      <w:r>
        <w:t>2</w:t>
      </w:r>
      <w:r>
        <w:fldChar w:fldCharType="end"/>
      </w:r>
      <w:r>
        <w:rPr>
          <w:rFonts w:asciiTheme="minorEastAsia" w:hAnsiTheme="minorEastAsia" w:eastAsiaTheme="minorEastAsia"/>
          <w:szCs w:val="21"/>
        </w:rPr>
        <w:fldChar w:fldCharType="end"/>
      </w:r>
    </w:p>
    <w:p w14:paraId="1AC62F6D">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_Toc12563 </w:instrText>
      </w:r>
      <w:r>
        <w:rPr>
          <w:rFonts w:asciiTheme="minorEastAsia" w:hAnsiTheme="minorEastAsia" w:eastAsiaTheme="minorEastAsia"/>
          <w:szCs w:val="21"/>
        </w:rPr>
        <w:fldChar w:fldCharType="separate"/>
      </w:r>
      <w:r>
        <w:rPr>
          <w:rFonts w:hint="default" w:ascii="仿宋" w:hAnsi="仿宋" w:eastAsia="仿宋" w:cs="仿宋"/>
        </w:rPr>
        <w:t xml:space="preserve">1.4. </w:t>
      </w:r>
      <w:r>
        <w:rPr>
          <w:rFonts w:hint="eastAsia" w:ascii="仿宋" w:hAnsi="仿宋" w:eastAsia="仿宋" w:cs="仿宋"/>
        </w:rPr>
        <w:t>评测小组</w:t>
      </w:r>
      <w:r>
        <w:tab/>
      </w:r>
      <w:r>
        <w:fldChar w:fldCharType="begin"/>
      </w:r>
      <w:r>
        <w:instrText xml:space="preserve"> PAGEREF _Toc12563 \h </w:instrText>
      </w:r>
      <w:r>
        <w:fldChar w:fldCharType="separate"/>
      </w:r>
      <w:r>
        <w:t>3</w:t>
      </w:r>
      <w:r>
        <w:fldChar w:fldCharType="end"/>
      </w:r>
      <w:r>
        <w:rPr>
          <w:rFonts w:asciiTheme="minorEastAsia" w:hAnsiTheme="minorEastAsia" w:eastAsiaTheme="minorEastAsia"/>
          <w:szCs w:val="21"/>
        </w:rPr>
        <w:fldChar w:fldCharType="end"/>
      </w:r>
    </w:p>
    <w:p w14:paraId="57EFC9D4">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_Toc32383 </w:instrText>
      </w:r>
      <w:r>
        <w:rPr>
          <w:rFonts w:asciiTheme="minorEastAsia" w:hAnsiTheme="minorEastAsia" w:eastAsiaTheme="minorEastAsia"/>
          <w:szCs w:val="21"/>
        </w:rPr>
        <w:fldChar w:fldCharType="separate"/>
      </w:r>
      <w:r>
        <w:rPr>
          <w:rFonts w:hint="default" w:ascii="仿宋" w:hAnsi="仿宋" w:eastAsia="仿宋" w:cs="仿宋"/>
        </w:rPr>
        <w:t xml:space="preserve">1.5. </w:t>
      </w:r>
      <w:r>
        <w:rPr>
          <w:rFonts w:hint="eastAsia" w:ascii="仿宋" w:hAnsi="仿宋" w:eastAsia="仿宋" w:cs="仿宋"/>
        </w:rPr>
        <w:t>测评计划</w:t>
      </w:r>
      <w:r>
        <w:tab/>
      </w:r>
      <w:r>
        <w:fldChar w:fldCharType="begin"/>
      </w:r>
      <w:r>
        <w:instrText xml:space="preserve"> PAGEREF _Toc32383 \h </w:instrText>
      </w:r>
      <w:r>
        <w:fldChar w:fldCharType="separate"/>
      </w:r>
      <w:r>
        <w:t>3</w:t>
      </w:r>
      <w:r>
        <w:fldChar w:fldCharType="end"/>
      </w:r>
      <w:r>
        <w:rPr>
          <w:rFonts w:asciiTheme="minorEastAsia" w:hAnsiTheme="minorEastAsia" w:eastAsiaTheme="minorEastAsia"/>
          <w:szCs w:val="21"/>
        </w:rPr>
        <w:fldChar w:fldCharType="end"/>
      </w:r>
    </w:p>
    <w:p w14:paraId="55A1B2D7">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_Toc25301 </w:instrText>
      </w:r>
      <w:r>
        <w:rPr>
          <w:rFonts w:asciiTheme="minorEastAsia" w:hAnsiTheme="minorEastAsia" w:eastAsiaTheme="minorEastAsia"/>
          <w:szCs w:val="21"/>
        </w:rPr>
        <w:fldChar w:fldCharType="separate"/>
      </w:r>
      <w:r>
        <w:rPr>
          <w:rFonts w:hint="default"/>
        </w:rPr>
        <w:t xml:space="preserve">2. </w:t>
      </w:r>
      <w:r>
        <w:rPr>
          <w:rFonts w:hint="eastAsia"/>
        </w:rPr>
        <w:t>评测案例</w:t>
      </w:r>
      <w:r>
        <w:tab/>
      </w:r>
      <w:r>
        <w:fldChar w:fldCharType="begin"/>
      </w:r>
      <w:r>
        <w:instrText xml:space="preserve"> PAGEREF _Toc25301 \h </w:instrText>
      </w:r>
      <w:r>
        <w:fldChar w:fldCharType="separate"/>
      </w:r>
      <w:r>
        <w:t>4</w:t>
      </w:r>
      <w:r>
        <w:fldChar w:fldCharType="end"/>
      </w:r>
      <w:r>
        <w:rPr>
          <w:rFonts w:asciiTheme="minorEastAsia" w:hAnsiTheme="minorEastAsia" w:eastAsiaTheme="minorEastAsia"/>
          <w:szCs w:val="21"/>
        </w:rPr>
        <w:fldChar w:fldCharType="end"/>
      </w:r>
    </w:p>
    <w:p w14:paraId="7857F6EA">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_Toc10352 </w:instrText>
      </w:r>
      <w:r>
        <w:rPr>
          <w:rFonts w:asciiTheme="minorEastAsia" w:hAnsiTheme="minorEastAsia" w:eastAsiaTheme="minorEastAsia"/>
          <w:szCs w:val="21"/>
        </w:rPr>
        <w:fldChar w:fldCharType="separate"/>
      </w:r>
      <w:r>
        <w:rPr>
          <w:rFonts w:hint="default"/>
        </w:rPr>
        <w:t xml:space="preserve">2.1. </w:t>
      </w:r>
      <w:r>
        <w:rPr>
          <w:rFonts w:hint="eastAsia" w:ascii="仿宋" w:hAnsi="仿宋" w:eastAsia="仿宋" w:cs="仿宋"/>
        </w:rPr>
        <w:t>业务方案评测</w:t>
      </w:r>
      <w:r>
        <w:tab/>
      </w:r>
      <w:r>
        <w:fldChar w:fldCharType="begin"/>
      </w:r>
      <w:r>
        <w:instrText xml:space="preserve"> PAGEREF _Toc10352 \h </w:instrText>
      </w:r>
      <w:r>
        <w:fldChar w:fldCharType="separate"/>
      </w:r>
      <w:r>
        <w:t>4</w:t>
      </w:r>
      <w:r>
        <w:fldChar w:fldCharType="end"/>
      </w:r>
      <w:r>
        <w:rPr>
          <w:rFonts w:asciiTheme="minorEastAsia" w:hAnsiTheme="minorEastAsia" w:eastAsiaTheme="minorEastAsia"/>
          <w:szCs w:val="21"/>
        </w:rPr>
        <w:fldChar w:fldCharType="end"/>
      </w:r>
    </w:p>
    <w:p w14:paraId="5B902C07">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_Toc13942 </w:instrText>
      </w:r>
      <w:r>
        <w:rPr>
          <w:rFonts w:asciiTheme="minorEastAsia" w:hAnsiTheme="minorEastAsia" w:eastAsiaTheme="minorEastAsia"/>
          <w:szCs w:val="21"/>
        </w:rPr>
        <w:fldChar w:fldCharType="separate"/>
      </w:r>
      <w:r>
        <w:rPr>
          <w:rFonts w:hint="default"/>
        </w:rPr>
        <w:t xml:space="preserve">2.1.1. </w:t>
      </w:r>
      <w:r>
        <w:rPr>
          <w:rFonts w:hint="eastAsia"/>
          <w:lang w:val="en-US" w:eastAsia="zh-CN"/>
        </w:rPr>
        <w:t>监管制度解读与业务分析</w:t>
      </w:r>
      <w:r>
        <w:tab/>
      </w:r>
      <w:r>
        <w:fldChar w:fldCharType="begin"/>
      </w:r>
      <w:r>
        <w:instrText xml:space="preserve"> PAGEREF _Toc13942 \h </w:instrText>
      </w:r>
      <w:r>
        <w:fldChar w:fldCharType="separate"/>
      </w:r>
      <w:r>
        <w:t>4</w:t>
      </w:r>
      <w:r>
        <w:fldChar w:fldCharType="end"/>
      </w:r>
      <w:r>
        <w:rPr>
          <w:rFonts w:asciiTheme="minorEastAsia" w:hAnsiTheme="minorEastAsia" w:eastAsiaTheme="minorEastAsia"/>
          <w:szCs w:val="21"/>
        </w:rPr>
        <w:fldChar w:fldCharType="end"/>
      </w:r>
    </w:p>
    <w:p w14:paraId="59F548D6">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_Toc3027 </w:instrText>
      </w:r>
      <w:r>
        <w:rPr>
          <w:rFonts w:asciiTheme="minorEastAsia" w:hAnsiTheme="minorEastAsia" w:eastAsiaTheme="minorEastAsia"/>
          <w:szCs w:val="21"/>
        </w:rPr>
        <w:fldChar w:fldCharType="separate"/>
      </w:r>
      <w:r>
        <w:rPr>
          <w:rFonts w:hint="default"/>
        </w:rPr>
        <w:t xml:space="preserve">2.1.2. </w:t>
      </w:r>
      <w:r>
        <w:rPr>
          <w:rFonts w:hint="eastAsia"/>
          <w:lang w:val="en-US" w:eastAsia="zh-CN"/>
        </w:rPr>
        <w:t>数据质量管理与提升</w:t>
      </w:r>
      <w:r>
        <w:tab/>
      </w:r>
      <w:r>
        <w:fldChar w:fldCharType="begin"/>
      </w:r>
      <w:r>
        <w:instrText xml:space="preserve"> PAGEREF _Toc3027 \h </w:instrText>
      </w:r>
      <w:r>
        <w:fldChar w:fldCharType="separate"/>
      </w:r>
      <w:r>
        <w:t>5</w:t>
      </w:r>
      <w:r>
        <w:fldChar w:fldCharType="end"/>
      </w:r>
      <w:r>
        <w:rPr>
          <w:rFonts w:asciiTheme="minorEastAsia" w:hAnsiTheme="minorEastAsia" w:eastAsiaTheme="minorEastAsia"/>
          <w:szCs w:val="21"/>
        </w:rPr>
        <w:fldChar w:fldCharType="end"/>
      </w:r>
    </w:p>
    <w:p w14:paraId="3CA5FD43">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_Toc31140 </w:instrText>
      </w:r>
      <w:r>
        <w:rPr>
          <w:rFonts w:asciiTheme="minorEastAsia" w:hAnsiTheme="minorEastAsia" w:eastAsiaTheme="minorEastAsia"/>
          <w:szCs w:val="21"/>
        </w:rPr>
        <w:fldChar w:fldCharType="separate"/>
      </w:r>
      <w:r>
        <w:rPr>
          <w:rFonts w:hint="default"/>
        </w:rPr>
        <w:t xml:space="preserve">2.1.3. </w:t>
      </w:r>
      <w:r>
        <w:rPr>
          <w:rFonts w:hint="eastAsia"/>
          <w:lang w:val="en-US" w:eastAsia="zh-CN"/>
        </w:rPr>
        <w:t>报送区产品功能</w:t>
      </w:r>
      <w:r>
        <w:tab/>
      </w:r>
      <w:r>
        <w:fldChar w:fldCharType="begin"/>
      </w:r>
      <w:r>
        <w:instrText xml:space="preserve"> PAGEREF _Toc31140 \h </w:instrText>
      </w:r>
      <w:r>
        <w:fldChar w:fldCharType="separate"/>
      </w:r>
      <w:r>
        <w:t>5</w:t>
      </w:r>
      <w:r>
        <w:fldChar w:fldCharType="end"/>
      </w:r>
      <w:r>
        <w:rPr>
          <w:rFonts w:asciiTheme="minorEastAsia" w:hAnsiTheme="minorEastAsia" w:eastAsiaTheme="minorEastAsia"/>
          <w:szCs w:val="21"/>
        </w:rPr>
        <w:fldChar w:fldCharType="end"/>
      </w:r>
    </w:p>
    <w:p w14:paraId="6A169839">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_Toc25063 </w:instrText>
      </w:r>
      <w:r>
        <w:rPr>
          <w:rFonts w:asciiTheme="minorEastAsia" w:hAnsiTheme="minorEastAsia" w:eastAsiaTheme="minorEastAsia"/>
          <w:szCs w:val="21"/>
        </w:rPr>
        <w:fldChar w:fldCharType="separate"/>
      </w:r>
      <w:r>
        <w:rPr>
          <w:rFonts w:hint="default"/>
        </w:rPr>
        <w:t xml:space="preserve">2.1.4. </w:t>
      </w:r>
      <w:r>
        <w:rPr>
          <w:rFonts w:hint="eastAsia"/>
          <w:lang w:val="en-US" w:eastAsia="zh-CN"/>
        </w:rPr>
        <w:t>可信区产品功能</w:t>
      </w:r>
      <w:r>
        <w:tab/>
      </w:r>
      <w:r>
        <w:fldChar w:fldCharType="begin"/>
      </w:r>
      <w:r>
        <w:instrText xml:space="preserve"> PAGEREF _Toc25063 \h </w:instrText>
      </w:r>
      <w:r>
        <w:fldChar w:fldCharType="separate"/>
      </w:r>
      <w:r>
        <w:t>7</w:t>
      </w:r>
      <w:r>
        <w:fldChar w:fldCharType="end"/>
      </w:r>
      <w:r>
        <w:rPr>
          <w:rFonts w:asciiTheme="minorEastAsia" w:hAnsiTheme="minorEastAsia" w:eastAsiaTheme="minorEastAsia"/>
          <w:szCs w:val="21"/>
        </w:rPr>
        <w:fldChar w:fldCharType="end"/>
      </w:r>
    </w:p>
    <w:p w14:paraId="4663BBEF">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_Toc25001 </w:instrText>
      </w:r>
      <w:r>
        <w:rPr>
          <w:rFonts w:asciiTheme="minorEastAsia" w:hAnsiTheme="minorEastAsia" w:eastAsiaTheme="minorEastAsia"/>
          <w:szCs w:val="21"/>
        </w:rPr>
        <w:fldChar w:fldCharType="separate"/>
      </w:r>
      <w:r>
        <w:rPr>
          <w:rFonts w:hint="default"/>
        </w:rPr>
        <w:t xml:space="preserve">2.1.5. </w:t>
      </w:r>
      <w:r>
        <w:rPr>
          <w:rFonts w:hint="eastAsia"/>
          <w:lang w:val="en-US" w:eastAsia="zh-CN"/>
        </w:rPr>
        <w:t>EAST产品功能</w:t>
      </w:r>
      <w:r>
        <w:tab/>
      </w:r>
      <w:r>
        <w:fldChar w:fldCharType="begin"/>
      </w:r>
      <w:r>
        <w:instrText xml:space="preserve"> PAGEREF _Toc25001 \h </w:instrText>
      </w:r>
      <w:r>
        <w:fldChar w:fldCharType="separate"/>
      </w:r>
      <w:r>
        <w:t>9</w:t>
      </w:r>
      <w:r>
        <w:fldChar w:fldCharType="end"/>
      </w:r>
      <w:r>
        <w:rPr>
          <w:rFonts w:asciiTheme="minorEastAsia" w:hAnsiTheme="minorEastAsia" w:eastAsiaTheme="minorEastAsia"/>
          <w:szCs w:val="21"/>
        </w:rPr>
        <w:fldChar w:fldCharType="end"/>
      </w:r>
    </w:p>
    <w:p w14:paraId="2C9B8196">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_Toc4023 </w:instrText>
      </w:r>
      <w:r>
        <w:rPr>
          <w:rFonts w:asciiTheme="minorEastAsia" w:hAnsiTheme="minorEastAsia" w:eastAsiaTheme="minorEastAsia"/>
          <w:szCs w:val="21"/>
        </w:rPr>
        <w:fldChar w:fldCharType="separate"/>
      </w:r>
      <w:r>
        <w:rPr>
          <w:rFonts w:hint="default" w:ascii="仿宋" w:hAnsi="仿宋" w:eastAsia="仿宋" w:cs="仿宋"/>
        </w:rPr>
        <w:t xml:space="preserve">2.2. </w:t>
      </w:r>
      <w:r>
        <w:rPr>
          <w:rFonts w:hint="eastAsia" w:ascii="仿宋" w:hAnsi="仿宋" w:eastAsia="仿宋" w:cs="仿宋"/>
        </w:rPr>
        <w:t>技术方案评测</w:t>
      </w:r>
      <w:r>
        <w:tab/>
      </w:r>
      <w:r>
        <w:fldChar w:fldCharType="begin"/>
      </w:r>
      <w:r>
        <w:instrText xml:space="preserve"> PAGEREF _Toc4023 \h </w:instrText>
      </w:r>
      <w:r>
        <w:fldChar w:fldCharType="separate"/>
      </w:r>
      <w:r>
        <w:t>10</w:t>
      </w:r>
      <w:r>
        <w:fldChar w:fldCharType="end"/>
      </w:r>
      <w:r>
        <w:rPr>
          <w:rFonts w:asciiTheme="minorEastAsia" w:hAnsiTheme="minorEastAsia" w:eastAsiaTheme="minorEastAsia"/>
          <w:szCs w:val="21"/>
        </w:rPr>
        <w:fldChar w:fldCharType="end"/>
      </w:r>
    </w:p>
    <w:p w14:paraId="408967BE">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_Toc14526 </w:instrText>
      </w:r>
      <w:r>
        <w:rPr>
          <w:rFonts w:asciiTheme="minorEastAsia" w:hAnsiTheme="minorEastAsia" w:eastAsiaTheme="minorEastAsia"/>
          <w:szCs w:val="21"/>
        </w:rPr>
        <w:fldChar w:fldCharType="separate"/>
      </w:r>
      <w:r>
        <w:rPr>
          <w:rFonts w:hint="default"/>
        </w:rPr>
        <w:t xml:space="preserve">2.2.1. </w:t>
      </w:r>
      <w:r>
        <w:rPr>
          <w:rFonts w:hint="eastAsia"/>
        </w:rPr>
        <w:t>产品技术</w:t>
      </w:r>
      <w:r>
        <w:rPr>
          <w:rFonts w:hint="eastAsia"/>
          <w:lang w:val="en-US" w:eastAsia="zh-CN"/>
        </w:rPr>
        <w:t>架构</w:t>
      </w:r>
      <w:r>
        <w:rPr>
          <w:rFonts w:hint="eastAsia"/>
        </w:rPr>
        <w:t>能力</w:t>
      </w:r>
      <w:r>
        <w:tab/>
      </w:r>
      <w:r>
        <w:fldChar w:fldCharType="begin"/>
      </w:r>
      <w:r>
        <w:instrText xml:space="preserve"> PAGEREF _Toc14526 \h </w:instrText>
      </w:r>
      <w:r>
        <w:fldChar w:fldCharType="separate"/>
      </w:r>
      <w:r>
        <w:t>10</w:t>
      </w:r>
      <w:r>
        <w:fldChar w:fldCharType="end"/>
      </w:r>
      <w:r>
        <w:rPr>
          <w:rFonts w:asciiTheme="minorEastAsia" w:hAnsiTheme="minorEastAsia" w:eastAsiaTheme="minorEastAsia"/>
          <w:szCs w:val="21"/>
        </w:rPr>
        <w:fldChar w:fldCharType="end"/>
      </w:r>
    </w:p>
    <w:p w14:paraId="22747EEE">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_Toc12935 </w:instrText>
      </w:r>
      <w:r>
        <w:rPr>
          <w:rFonts w:asciiTheme="minorEastAsia" w:hAnsiTheme="minorEastAsia" w:eastAsiaTheme="minorEastAsia"/>
          <w:szCs w:val="21"/>
        </w:rPr>
        <w:fldChar w:fldCharType="separate"/>
      </w:r>
      <w:r>
        <w:rPr>
          <w:rFonts w:hint="default"/>
          <w:lang w:val="en-US" w:eastAsia="zh-CN"/>
        </w:rPr>
        <w:t xml:space="preserve">2.2.2. </w:t>
      </w:r>
      <w:r>
        <w:rPr>
          <w:rFonts w:hint="eastAsia" w:ascii="仿宋" w:hAnsi="仿宋" w:cs="仿宋"/>
          <w:szCs w:val="28"/>
          <w:lang w:val="en-US" w:eastAsia="zh-CN"/>
        </w:rPr>
        <w:t>产品运维管理能力</w:t>
      </w:r>
      <w:r>
        <w:tab/>
      </w:r>
      <w:r>
        <w:fldChar w:fldCharType="begin"/>
      </w:r>
      <w:r>
        <w:instrText xml:space="preserve"> PAGEREF _Toc12935 \h </w:instrText>
      </w:r>
      <w:r>
        <w:fldChar w:fldCharType="separate"/>
      </w:r>
      <w:r>
        <w:t>10</w:t>
      </w:r>
      <w:r>
        <w:fldChar w:fldCharType="end"/>
      </w:r>
      <w:r>
        <w:rPr>
          <w:rFonts w:asciiTheme="minorEastAsia" w:hAnsiTheme="minorEastAsia" w:eastAsiaTheme="minorEastAsia"/>
          <w:szCs w:val="21"/>
        </w:rPr>
        <w:fldChar w:fldCharType="end"/>
      </w:r>
    </w:p>
    <w:p w14:paraId="2783BC52">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_Toc31556 </w:instrText>
      </w:r>
      <w:r>
        <w:rPr>
          <w:rFonts w:asciiTheme="minorEastAsia" w:hAnsiTheme="minorEastAsia" w:eastAsiaTheme="minorEastAsia"/>
          <w:szCs w:val="21"/>
        </w:rPr>
        <w:fldChar w:fldCharType="separate"/>
      </w:r>
      <w:r>
        <w:rPr>
          <w:rFonts w:hint="default" w:ascii="仿宋" w:hAnsi="仿宋" w:cs="仿宋"/>
          <w:bCs w:val="0"/>
          <w:szCs w:val="28"/>
          <w:lang w:val="en-US" w:eastAsia="zh-CN"/>
        </w:rPr>
        <w:t xml:space="preserve">2.2.3. </w:t>
      </w:r>
      <w:r>
        <w:rPr>
          <w:rFonts w:hint="eastAsia" w:ascii="仿宋" w:hAnsi="仿宋" w:cs="仿宋"/>
          <w:szCs w:val="28"/>
          <w:lang w:val="en-US" w:eastAsia="zh-CN"/>
        </w:rPr>
        <w:t>产品性能方案</w:t>
      </w:r>
      <w:r>
        <w:tab/>
      </w:r>
      <w:r>
        <w:fldChar w:fldCharType="begin"/>
      </w:r>
      <w:r>
        <w:instrText xml:space="preserve"> PAGEREF _Toc31556 \h </w:instrText>
      </w:r>
      <w:r>
        <w:fldChar w:fldCharType="separate"/>
      </w:r>
      <w:r>
        <w:t>11</w:t>
      </w:r>
      <w:r>
        <w:fldChar w:fldCharType="end"/>
      </w:r>
      <w:r>
        <w:rPr>
          <w:rFonts w:asciiTheme="minorEastAsia" w:hAnsiTheme="minorEastAsia" w:eastAsiaTheme="minorEastAsia"/>
          <w:szCs w:val="21"/>
        </w:rPr>
        <w:fldChar w:fldCharType="end"/>
      </w:r>
    </w:p>
    <w:p w14:paraId="505F6CE2">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_Toc181 </w:instrText>
      </w:r>
      <w:r>
        <w:rPr>
          <w:rFonts w:asciiTheme="minorEastAsia" w:hAnsiTheme="minorEastAsia" w:eastAsiaTheme="minorEastAsia"/>
          <w:szCs w:val="21"/>
        </w:rPr>
        <w:fldChar w:fldCharType="separate"/>
      </w:r>
      <w:r>
        <w:rPr>
          <w:rFonts w:hint="default"/>
        </w:rPr>
        <w:t xml:space="preserve">3. </w:t>
      </w:r>
      <w:r>
        <w:rPr>
          <w:rFonts w:hint="eastAsia"/>
        </w:rPr>
        <w:t>评分规则</w:t>
      </w:r>
      <w:r>
        <w:tab/>
      </w:r>
      <w:r>
        <w:fldChar w:fldCharType="begin"/>
      </w:r>
      <w:r>
        <w:instrText xml:space="preserve"> PAGEREF _Toc181 \h </w:instrText>
      </w:r>
      <w:r>
        <w:fldChar w:fldCharType="separate"/>
      </w:r>
      <w:r>
        <w:t>11</w:t>
      </w:r>
      <w:r>
        <w:fldChar w:fldCharType="end"/>
      </w:r>
      <w:r>
        <w:rPr>
          <w:rFonts w:asciiTheme="minorEastAsia" w:hAnsiTheme="minorEastAsia" w:eastAsiaTheme="minorEastAsia"/>
          <w:szCs w:val="21"/>
        </w:rPr>
        <w:fldChar w:fldCharType="end"/>
      </w:r>
    </w:p>
    <w:p w14:paraId="51F1AA15">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_Toc2968 </w:instrText>
      </w:r>
      <w:r>
        <w:rPr>
          <w:rFonts w:asciiTheme="minorEastAsia" w:hAnsiTheme="minorEastAsia" w:eastAsiaTheme="minorEastAsia"/>
          <w:szCs w:val="21"/>
        </w:rPr>
        <w:fldChar w:fldCharType="separate"/>
      </w:r>
      <w:r>
        <w:rPr>
          <w:rFonts w:hint="default"/>
        </w:rPr>
        <w:t xml:space="preserve">4. </w:t>
      </w:r>
      <w:r>
        <w:rPr>
          <w:rFonts w:hint="eastAsia"/>
        </w:rPr>
        <w:t>测评方式</w:t>
      </w:r>
      <w:r>
        <w:tab/>
      </w:r>
      <w:r>
        <w:fldChar w:fldCharType="begin"/>
      </w:r>
      <w:r>
        <w:instrText xml:space="preserve"> PAGEREF _Toc2968 \h </w:instrText>
      </w:r>
      <w:r>
        <w:fldChar w:fldCharType="separate"/>
      </w:r>
      <w:r>
        <w:t>13</w:t>
      </w:r>
      <w:r>
        <w:fldChar w:fldCharType="end"/>
      </w:r>
      <w:r>
        <w:rPr>
          <w:rFonts w:asciiTheme="minorEastAsia" w:hAnsiTheme="minorEastAsia" w:eastAsiaTheme="minorEastAsia"/>
          <w:szCs w:val="21"/>
        </w:rPr>
        <w:fldChar w:fldCharType="end"/>
      </w:r>
    </w:p>
    <w:p w14:paraId="1440CA1F">
      <w:pPr>
        <w:pStyle w:val="26"/>
        <w:tabs>
          <w:tab w:val="left" w:pos="1260"/>
          <w:tab w:val="right" w:leader="dot" w:pos="8302"/>
        </w:tabs>
        <w:rPr>
          <w:rFonts w:asciiTheme="minorEastAsia" w:hAnsiTheme="minorEastAsia" w:eastAsiaTheme="minorEastAsia"/>
          <w:szCs w:val="21"/>
        </w:rPr>
      </w:pPr>
      <w:r>
        <w:rPr>
          <w:rFonts w:asciiTheme="minorEastAsia" w:hAnsiTheme="minorEastAsia" w:eastAsiaTheme="minorEastAsia"/>
          <w:szCs w:val="21"/>
        </w:rPr>
        <w:fldChar w:fldCharType="end"/>
      </w:r>
    </w:p>
    <w:p w14:paraId="14C09AD0">
      <w:pPr>
        <w:pStyle w:val="2"/>
        <w:sectPr>
          <w:headerReference r:id="rId3" w:type="default"/>
          <w:pgSz w:w="11906" w:h="16838"/>
          <w:pgMar w:top="1440" w:right="1797" w:bottom="1440" w:left="1797" w:header="851" w:footer="992" w:gutter="0"/>
          <w:cols w:space="425" w:num="1"/>
          <w:docGrid w:type="lines" w:linePitch="312" w:charSpace="0"/>
        </w:sectPr>
      </w:pPr>
    </w:p>
    <w:p w14:paraId="77724037">
      <w:pPr>
        <w:pStyle w:val="2"/>
      </w:pPr>
      <w:bookmarkStart w:id="0" w:name="_Toc24419"/>
      <w:bookmarkStart w:id="1" w:name="_Toc29566"/>
      <w:bookmarkStart w:id="2" w:name="_Toc29138"/>
      <w:bookmarkStart w:id="3" w:name="_Toc25462"/>
      <w:bookmarkStart w:id="4" w:name="_Toc886"/>
      <w:bookmarkStart w:id="5" w:name="_Toc16672673"/>
      <w:r>
        <w:rPr>
          <w:rFonts w:hint="eastAsia"/>
        </w:rPr>
        <w:t>概述</w:t>
      </w:r>
      <w:bookmarkEnd w:id="0"/>
      <w:bookmarkEnd w:id="1"/>
      <w:bookmarkEnd w:id="2"/>
      <w:bookmarkEnd w:id="3"/>
      <w:bookmarkEnd w:id="4"/>
    </w:p>
    <w:bookmarkEnd w:id="5"/>
    <w:p w14:paraId="75166F92">
      <w:pPr>
        <w:pStyle w:val="3"/>
        <w:rPr>
          <w:rFonts w:ascii="仿宋" w:hAnsi="仿宋" w:eastAsia="仿宋" w:cs="仿宋"/>
        </w:rPr>
      </w:pPr>
      <w:bookmarkStart w:id="6" w:name="_Toc30799"/>
      <w:bookmarkStart w:id="7" w:name="_Toc19575"/>
      <w:bookmarkStart w:id="8" w:name="_Toc31283"/>
      <w:bookmarkStart w:id="9" w:name="_Toc16672674"/>
      <w:bookmarkStart w:id="10" w:name="_Toc23079"/>
      <w:bookmarkStart w:id="11" w:name="_Toc3425"/>
      <w:r>
        <w:rPr>
          <w:rFonts w:hint="eastAsia" w:ascii="仿宋" w:hAnsi="仿宋" w:eastAsia="仿宋" w:cs="仿宋"/>
        </w:rPr>
        <w:t>测评目的</w:t>
      </w:r>
      <w:bookmarkEnd w:id="6"/>
      <w:bookmarkEnd w:id="7"/>
      <w:bookmarkEnd w:id="8"/>
      <w:bookmarkEnd w:id="9"/>
      <w:bookmarkEnd w:id="10"/>
      <w:bookmarkEnd w:id="11"/>
    </w:p>
    <w:p w14:paraId="78C31BF6">
      <w:pPr>
        <w:pStyle w:val="16"/>
        <w:ind w:firstLine="560"/>
      </w:pPr>
      <w:bookmarkStart w:id="12" w:name="_Toc299356606"/>
      <w:r>
        <w:rPr>
          <w:rFonts w:hint="eastAsia"/>
        </w:rPr>
        <w:t>本次POC针对</w:t>
      </w:r>
      <w:r>
        <w:rPr>
          <w:rFonts w:hint="eastAsia"/>
          <w:lang w:eastAsia="zh-CN"/>
        </w:rPr>
        <w:t>招标人</w:t>
      </w:r>
      <w:r>
        <w:rPr>
          <w:rFonts w:hint="eastAsia"/>
          <w:lang w:val="en-US" w:eastAsia="zh-CN"/>
        </w:rPr>
        <w:t>一表通</w:t>
      </w:r>
      <w:r>
        <w:rPr>
          <w:rFonts w:hint="eastAsia"/>
        </w:rPr>
        <w:t>系统建设项目(以下简称“</w:t>
      </w:r>
      <w:r>
        <w:rPr>
          <w:rFonts w:hint="eastAsia"/>
          <w:lang w:val="en-US" w:eastAsia="zh-CN"/>
        </w:rPr>
        <w:t>一表通</w:t>
      </w:r>
      <w:r>
        <w:rPr>
          <w:rFonts w:hint="eastAsia"/>
        </w:rPr>
        <w:t>项目”)的核心需求，重点验证</w:t>
      </w:r>
      <w:bookmarkEnd w:id="12"/>
      <w:r>
        <w:rPr>
          <w:rFonts w:hint="eastAsia" w:cs="Times New Roman"/>
          <w:kern w:val="2"/>
          <w:sz w:val="28"/>
          <w:lang w:val="en-US" w:eastAsia="zh-CN" w:bidi="ar"/>
        </w:rPr>
        <w:t>投标人</w:t>
      </w:r>
      <w:r>
        <w:rPr>
          <w:rFonts w:hint="eastAsia"/>
        </w:rPr>
        <w:t>同类产品的成熟度和适用性，考察</w:t>
      </w:r>
      <w:r>
        <w:rPr>
          <w:rFonts w:hint="eastAsia"/>
          <w:lang w:val="en-US" w:eastAsia="zh-CN"/>
        </w:rPr>
        <w:t>一表通</w:t>
      </w:r>
      <w:r>
        <w:rPr>
          <w:rFonts w:hint="eastAsia"/>
        </w:rPr>
        <w:t>系统建设的业务能力、技术能力和实施能力。</w:t>
      </w:r>
    </w:p>
    <w:p w14:paraId="7014AA2B">
      <w:pPr>
        <w:pStyle w:val="3"/>
        <w:rPr>
          <w:rFonts w:ascii="仿宋" w:hAnsi="仿宋" w:eastAsia="仿宋" w:cs="仿宋"/>
        </w:rPr>
      </w:pPr>
      <w:bookmarkStart w:id="13" w:name="_Toc16672675"/>
      <w:bookmarkStart w:id="14" w:name="_Toc25264"/>
      <w:bookmarkStart w:id="15" w:name="_Toc22315"/>
      <w:bookmarkStart w:id="16" w:name="_Toc16991"/>
      <w:bookmarkStart w:id="17" w:name="_Toc5054"/>
      <w:bookmarkStart w:id="18" w:name="_Toc15246"/>
      <w:r>
        <w:rPr>
          <w:rFonts w:hint="eastAsia" w:ascii="仿宋" w:hAnsi="仿宋" w:eastAsia="仿宋" w:cs="仿宋"/>
        </w:rPr>
        <w:t>测评内容概述</w:t>
      </w:r>
      <w:bookmarkEnd w:id="13"/>
      <w:bookmarkEnd w:id="14"/>
      <w:bookmarkEnd w:id="15"/>
      <w:bookmarkEnd w:id="16"/>
      <w:bookmarkEnd w:id="17"/>
      <w:bookmarkEnd w:id="18"/>
    </w:p>
    <w:p w14:paraId="63D132EC">
      <w:pPr>
        <w:pStyle w:val="16"/>
        <w:ind w:firstLine="560"/>
      </w:pPr>
      <w:bookmarkStart w:id="19" w:name="_Toc418023750"/>
      <w:r>
        <w:rPr>
          <w:rFonts w:hint="eastAsia"/>
        </w:rPr>
        <w:t>本项目测评内容将从业务需求满足度、关键功能模块需求满足度、非功能性需求的满足度等多个维度进行测评。</w:t>
      </w:r>
    </w:p>
    <w:p w14:paraId="6B9B78F3">
      <w:pPr>
        <w:pStyle w:val="16"/>
        <w:numPr>
          <w:ilvl w:val="0"/>
          <w:numId w:val="8"/>
        </w:numPr>
        <w:ind w:firstLine="560"/>
      </w:pPr>
      <w:r>
        <w:rPr>
          <w:rFonts w:hint="eastAsia"/>
        </w:rPr>
        <w:t>业务需求满足度：产品及实施方案是否覆盖</w:t>
      </w:r>
      <w:r>
        <w:rPr>
          <w:rFonts w:hint="eastAsia"/>
          <w:lang w:eastAsia="zh-CN"/>
        </w:rPr>
        <w:t>招标人</w:t>
      </w:r>
      <w:r>
        <w:rPr>
          <w:rFonts w:hint="eastAsia"/>
        </w:rPr>
        <w:t>业务</w:t>
      </w:r>
      <w:r>
        <w:rPr>
          <w:rFonts w:hint="eastAsia"/>
          <w:lang w:val="en-US" w:eastAsia="zh-CN"/>
        </w:rPr>
        <w:t>需求</w:t>
      </w:r>
      <w:r>
        <w:rPr>
          <w:rFonts w:hint="eastAsia"/>
        </w:rPr>
        <w:t>；</w:t>
      </w:r>
    </w:p>
    <w:p w14:paraId="467BEDB9">
      <w:pPr>
        <w:pStyle w:val="16"/>
        <w:numPr>
          <w:ilvl w:val="0"/>
          <w:numId w:val="8"/>
        </w:numPr>
        <w:ind w:firstLine="560"/>
      </w:pPr>
      <w:r>
        <w:rPr>
          <w:rFonts w:hint="eastAsia"/>
        </w:rPr>
        <w:t>关键功能模块需求满足度：对</w:t>
      </w:r>
      <w:r>
        <w:rPr>
          <w:rFonts w:hint="eastAsia"/>
          <w:lang w:val="en-US" w:eastAsia="zh-CN"/>
        </w:rPr>
        <w:t>一表通报送区产品</w:t>
      </w:r>
      <w:r>
        <w:rPr>
          <w:rFonts w:hint="eastAsia"/>
        </w:rPr>
        <w:t>、</w:t>
      </w:r>
      <w:r>
        <w:rPr>
          <w:rFonts w:hint="eastAsia"/>
          <w:lang w:val="en-US" w:eastAsia="zh-CN"/>
        </w:rPr>
        <w:t>一表通可信区产品</w:t>
      </w:r>
      <w:r>
        <w:rPr>
          <w:rFonts w:hint="eastAsia"/>
        </w:rPr>
        <w:t>、</w:t>
      </w:r>
      <w:r>
        <w:rPr>
          <w:rFonts w:hint="eastAsia"/>
          <w:lang w:val="en-US" w:eastAsia="zh-CN"/>
        </w:rPr>
        <w:t>EAST报送产品</w:t>
      </w:r>
      <w:r>
        <w:rPr>
          <w:rFonts w:hint="eastAsia"/>
        </w:rPr>
        <w:t>等关键功能模块的功能等进行评测，是否满足</w:t>
      </w:r>
      <w:r>
        <w:rPr>
          <w:rFonts w:hint="eastAsia"/>
          <w:lang w:eastAsia="zh-CN"/>
        </w:rPr>
        <w:t>招标人</w:t>
      </w:r>
      <w:r>
        <w:rPr>
          <w:rFonts w:hint="eastAsia"/>
          <w:lang w:val="en-US" w:eastAsia="zh-CN"/>
        </w:rPr>
        <w:t>一表通系统建设和EAST5.0重构</w:t>
      </w:r>
      <w:r>
        <w:rPr>
          <w:rFonts w:hint="eastAsia"/>
        </w:rPr>
        <w:t>需求；</w:t>
      </w:r>
    </w:p>
    <w:p w14:paraId="1B5BBE55">
      <w:pPr>
        <w:pStyle w:val="16"/>
        <w:numPr>
          <w:ilvl w:val="0"/>
          <w:numId w:val="8"/>
        </w:numPr>
        <w:ind w:firstLine="560"/>
      </w:pPr>
      <w:r>
        <w:rPr>
          <w:rFonts w:hint="eastAsia"/>
        </w:rPr>
        <w:t>非功能需求满足度：平台架构、扩展性、可运维可管理等方面是否符合</w:t>
      </w:r>
      <w:r>
        <w:rPr>
          <w:rFonts w:hint="eastAsia"/>
          <w:lang w:eastAsia="zh-CN"/>
        </w:rPr>
        <w:t>招标人</w:t>
      </w:r>
      <w:r>
        <w:rPr>
          <w:rFonts w:hint="eastAsia"/>
        </w:rPr>
        <w:t>要求。</w:t>
      </w:r>
    </w:p>
    <w:p w14:paraId="29A17A7A">
      <w:pPr>
        <w:pStyle w:val="3"/>
        <w:rPr>
          <w:rFonts w:ascii="仿宋" w:hAnsi="仿宋" w:eastAsia="仿宋" w:cs="仿宋"/>
        </w:rPr>
      </w:pPr>
      <w:bookmarkStart w:id="20" w:name="_Toc489365175"/>
      <w:bookmarkStart w:id="21" w:name="_Toc16672688"/>
      <w:bookmarkStart w:id="22" w:name="_Toc11594"/>
      <w:bookmarkStart w:id="23" w:name="_Toc10842"/>
      <w:bookmarkStart w:id="24" w:name="_Toc12209"/>
      <w:bookmarkStart w:id="25" w:name="_Toc1048"/>
      <w:bookmarkStart w:id="26" w:name="_Toc8961"/>
      <w:r>
        <w:rPr>
          <w:rFonts w:hint="eastAsia" w:ascii="仿宋" w:hAnsi="仿宋" w:eastAsia="仿宋" w:cs="仿宋"/>
        </w:rPr>
        <w:t>测</w:t>
      </w:r>
      <w:bookmarkEnd w:id="20"/>
      <w:bookmarkEnd w:id="21"/>
      <w:r>
        <w:rPr>
          <w:rFonts w:hint="eastAsia" w:ascii="仿宋" w:hAnsi="仿宋" w:eastAsia="仿宋" w:cs="仿宋"/>
        </w:rPr>
        <w:t>评原则</w:t>
      </w:r>
      <w:bookmarkEnd w:id="22"/>
      <w:bookmarkEnd w:id="23"/>
      <w:bookmarkEnd w:id="24"/>
      <w:bookmarkEnd w:id="25"/>
      <w:bookmarkEnd w:id="26"/>
    </w:p>
    <w:p w14:paraId="32E46B9E">
      <w:pPr>
        <w:pStyle w:val="4"/>
      </w:pPr>
      <w:bookmarkStart w:id="27" w:name="_Toc16599"/>
      <w:bookmarkStart w:id="28" w:name="_Toc21521"/>
      <w:bookmarkStart w:id="29" w:name="_Toc17080"/>
      <w:bookmarkStart w:id="30" w:name="_Toc16374"/>
      <w:bookmarkStart w:id="31" w:name="_Toc32614"/>
      <w:r>
        <w:rPr>
          <w:rFonts w:hint="eastAsia"/>
        </w:rPr>
        <w:t>公正要求</w:t>
      </w:r>
      <w:bookmarkEnd w:id="27"/>
      <w:bookmarkEnd w:id="28"/>
      <w:bookmarkEnd w:id="29"/>
      <w:bookmarkEnd w:id="30"/>
      <w:bookmarkEnd w:id="31"/>
    </w:p>
    <w:p w14:paraId="00016950">
      <w:pPr>
        <w:pStyle w:val="16"/>
        <w:ind w:firstLine="560"/>
      </w:pPr>
      <w:r>
        <w:rPr>
          <w:rFonts w:hint="eastAsia"/>
        </w:rPr>
        <w:t>整个测评过程体现公平、公正、严密、严谨、严肃的原则；</w:t>
      </w:r>
    </w:p>
    <w:p w14:paraId="5131DE87">
      <w:pPr>
        <w:pStyle w:val="16"/>
        <w:ind w:firstLine="560"/>
      </w:pPr>
      <w:r>
        <w:rPr>
          <w:rFonts w:hint="eastAsia"/>
        </w:rPr>
        <w:t>测评评价合理性原则，制定合理的测评内容及关注点，以客观事实为依据、实事求是表达测评结果。</w:t>
      </w:r>
    </w:p>
    <w:p w14:paraId="0132D14B">
      <w:pPr>
        <w:pStyle w:val="4"/>
      </w:pPr>
      <w:bookmarkStart w:id="32" w:name="_Toc2985"/>
      <w:bookmarkStart w:id="33" w:name="_Toc3876"/>
      <w:bookmarkStart w:id="34" w:name="_Toc24173"/>
      <w:bookmarkStart w:id="35" w:name="_Toc11146"/>
      <w:bookmarkStart w:id="36" w:name="_Toc12070"/>
      <w:r>
        <w:rPr>
          <w:rFonts w:hint="eastAsia"/>
        </w:rPr>
        <w:t>时间要求</w:t>
      </w:r>
      <w:bookmarkEnd w:id="32"/>
      <w:bookmarkEnd w:id="33"/>
      <w:bookmarkEnd w:id="34"/>
      <w:bookmarkEnd w:id="35"/>
      <w:bookmarkEnd w:id="36"/>
    </w:p>
    <w:p w14:paraId="1593C8F8">
      <w:pPr>
        <w:ind w:firstLine="560" w:firstLineChars="200"/>
        <w:rPr>
          <w:rFonts w:ascii="仿宋" w:hAnsi="仿宋" w:eastAsia="仿宋" w:cs="仿宋"/>
          <w:sz w:val="28"/>
          <w:szCs w:val="28"/>
        </w:rPr>
      </w:pPr>
      <w:r>
        <w:rPr>
          <w:rFonts w:hint="eastAsia" w:ascii="仿宋" w:hAnsi="仿宋" w:eastAsia="仿宋" w:cs="仿宋"/>
          <w:sz w:val="28"/>
          <w:szCs w:val="28"/>
        </w:rPr>
        <w:t>本次POC时间以</w:t>
      </w:r>
      <w:r>
        <w:rPr>
          <w:rStyle w:val="65"/>
          <w:rFonts w:hint="eastAsia"/>
        </w:rPr>
        <w:t>测</w:t>
      </w:r>
      <w:r>
        <w:rPr>
          <w:rFonts w:hint="eastAsia" w:ascii="仿宋" w:hAnsi="仿宋" w:eastAsia="仿宋" w:cs="仿宋"/>
          <w:sz w:val="28"/>
          <w:szCs w:val="28"/>
        </w:rPr>
        <w:t>评时间要求为准，参测</w:t>
      </w:r>
      <w:r>
        <w:rPr>
          <w:rFonts w:hint="eastAsia" w:ascii="仿宋" w:hAnsi="仿宋" w:eastAsia="仿宋" w:cs="仿宋"/>
          <w:sz w:val="28"/>
          <w:szCs w:val="28"/>
          <w:lang w:eastAsia="zh-CN"/>
        </w:rPr>
        <w:t>投标人</w:t>
      </w:r>
      <w:r>
        <w:rPr>
          <w:rFonts w:hint="eastAsia" w:ascii="仿宋" w:hAnsi="仿宋" w:eastAsia="仿宋" w:cs="仿宋"/>
          <w:sz w:val="28"/>
          <w:szCs w:val="28"/>
        </w:rPr>
        <w:t>不得以任何理由延长测评时间或中途暂停，如果参测</w:t>
      </w:r>
      <w:r>
        <w:rPr>
          <w:rFonts w:hint="eastAsia" w:ascii="仿宋" w:hAnsi="仿宋" w:eastAsia="仿宋" w:cs="仿宋"/>
          <w:sz w:val="28"/>
          <w:szCs w:val="28"/>
          <w:lang w:eastAsia="zh-CN"/>
        </w:rPr>
        <w:t>投标人</w:t>
      </w:r>
      <w:r>
        <w:rPr>
          <w:rFonts w:hint="eastAsia" w:ascii="仿宋" w:hAnsi="仿宋" w:eastAsia="仿宋" w:cs="仿宋"/>
          <w:sz w:val="28"/>
          <w:szCs w:val="28"/>
        </w:rPr>
        <w:t>提前准备好测评环境，则提前进入测评阶段。</w:t>
      </w:r>
    </w:p>
    <w:p w14:paraId="619197B4">
      <w:pPr>
        <w:pStyle w:val="4"/>
      </w:pPr>
      <w:bookmarkStart w:id="37" w:name="_Toc18297"/>
      <w:bookmarkStart w:id="38" w:name="_Toc32686"/>
      <w:bookmarkStart w:id="39" w:name="_Toc7945"/>
      <w:bookmarkStart w:id="40" w:name="_Toc1089"/>
      <w:bookmarkStart w:id="41" w:name="_Toc3990"/>
      <w:r>
        <w:rPr>
          <w:rFonts w:hint="eastAsia"/>
        </w:rPr>
        <w:t>保密要求</w:t>
      </w:r>
      <w:bookmarkEnd w:id="37"/>
      <w:bookmarkEnd w:id="38"/>
      <w:bookmarkEnd w:id="39"/>
      <w:bookmarkEnd w:id="40"/>
      <w:bookmarkEnd w:id="41"/>
    </w:p>
    <w:p w14:paraId="2975AFEB">
      <w:pPr>
        <w:ind w:firstLine="560" w:firstLineChars="200"/>
        <w:rPr>
          <w:rFonts w:ascii="仿宋" w:hAnsi="仿宋" w:eastAsia="仿宋" w:cs="仿宋"/>
          <w:sz w:val="28"/>
          <w:szCs w:val="28"/>
        </w:rPr>
      </w:pPr>
      <w:r>
        <w:rPr>
          <w:rFonts w:hint="eastAsia" w:ascii="仿宋" w:hAnsi="仿宋" w:eastAsia="仿宋" w:cs="仿宋"/>
          <w:sz w:val="28"/>
          <w:szCs w:val="28"/>
        </w:rPr>
        <w:t>POC测评期间不得以任何形式（包括电子邮件、即时聊天工具、U盘和工作人员笔记本电脑等）将</w:t>
      </w:r>
      <w:r>
        <w:rPr>
          <w:rFonts w:hint="eastAsia" w:ascii="仿宋" w:hAnsi="仿宋" w:eastAsia="仿宋" w:cs="仿宋"/>
          <w:sz w:val="28"/>
          <w:szCs w:val="28"/>
          <w:lang w:eastAsia="zh-CN"/>
        </w:rPr>
        <w:t>招标人</w:t>
      </w:r>
      <w:r>
        <w:rPr>
          <w:rFonts w:hint="eastAsia" w:ascii="仿宋" w:hAnsi="仿宋" w:eastAsia="仿宋" w:cs="仿宋"/>
          <w:sz w:val="28"/>
          <w:szCs w:val="28"/>
        </w:rPr>
        <w:t>相关信息、文件或数据泄露,并在离场前由行方人员监督销毁。</w:t>
      </w:r>
    </w:p>
    <w:p w14:paraId="22EA8C29">
      <w:pPr>
        <w:ind w:firstLine="560" w:firstLineChars="200"/>
        <w:rPr>
          <w:rFonts w:ascii="仿宋" w:hAnsi="仿宋" w:eastAsia="仿宋" w:cs="仿宋"/>
          <w:sz w:val="28"/>
          <w:szCs w:val="28"/>
        </w:rPr>
      </w:pPr>
      <w:r>
        <w:rPr>
          <w:rFonts w:hint="eastAsia" w:ascii="仿宋" w:hAnsi="仿宋" w:eastAsia="仿宋" w:cs="仿宋"/>
          <w:sz w:val="28"/>
          <w:szCs w:val="28"/>
        </w:rPr>
        <w:t>POC测评结束后，参测</w:t>
      </w:r>
      <w:r>
        <w:rPr>
          <w:rFonts w:hint="eastAsia" w:ascii="仿宋" w:hAnsi="仿宋" w:eastAsia="仿宋" w:cs="仿宋"/>
          <w:sz w:val="28"/>
          <w:szCs w:val="28"/>
          <w:lang w:eastAsia="zh-CN"/>
        </w:rPr>
        <w:t>投标人</w:t>
      </w:r>
      <w:r>
        <w:rPr>
          <w:rFonts w:hint="eastAsia" w:ascii="仿宋" w:hAnsi="仿宋" w:eastAsia="仿宋" w:cs="仿宋"/>
          <w:sz w:val="28"/>
          <w:szCs w:val="28"/>
        </w:rPr>
        <w:t>必须将</w:t>
      </w:r>
      <w:r>
        <w:rPr>
          <w:rFonts w:hint="eastAsia" w:ascii="仿宋" w:hAnsi="仿宋" w:eastAsia="仿宋" w:cs="仿宋"/>
          <w:sz w:val="28"/>
          <w:szCs w:val="28"/>
          <w:lang w:eastAsia="zh-CN"/>
        </w:rPr>
        <w:t>招标人</w:t>
      </w:r>
      <w:r>
        <w:rPr>
          <w:rFonts w:hint="eastAsia" w:ascii="仿宋" w:hAnsi="仿宋" w:eastAsia="仿宋" w:cs="仿宋"/>
          <w:sz w:val="28"/>
          <w:szCs w:val="28"/>
        </w:rPr>
        <w:t>提供的相关信息、文件或数据从测评设备及测评人员工作设备(包括电脑、移动介质和网盘等)中全部清除。</w:t>
      </w:r>
    </w:p>
    <w:p w14:paraId="1B0FC6CE">
      <w:pPr>
        <w:ind w:firstLine="560" w:firstLineChars="200"/>
        <w:rPr>
          <w:rFonts w:ascii="仿宋" w:hAnsi="仿宋" w:eastAsia="仿宋" w:cs="仿宋"/>
          <w:sz w:val="28"/>
          <w:szCs w:val="28"/>
        </w:rPr>
      </w:pPr>
      <w:r>
        <w:rPr>
          <w:rFonts w:hint="eastAsia" w:ascii="仿宋" w:hAnsi="仿宋" w:eastAsia="仿宋" w:cs="仿宋"/>
          <w:sz w:val="28"/>
          <w:szCs w:val="28"/>
        </w:rPr>
        <w:t>如参测</w:t>
      </w:r>
      <w:r>
        <w:rPr>
          <w:rFonts w:hint="eastAsia" w:ascii="仿宋" w:hAnsi="仿宋" w:eastAsia="仿宋" w:cs="仿宋"/>
          <w:sz w:val="28"/>
          <w:szCs w:val="28"/>
          <w:lang w:eastAsia="zh-CN"/>
        </w:rPr>
        <w:t>投标人</w:t>
      </w:r>
      <w:r>
        <w:rPr>
          <w:rFonts w:hint="eastAsia" w:ascii="仿宋" w:hAnsi="仿宋" w:eastAsia="仿宋" w:cs="仿宋"/>
          <w:sz w:val="28"/>
          <w:szCs w:val="28"/>
        </w:rPr>
        <w:t>安装任何带有知识产权的软件产品、数据模型等，</w:t>
      </w:r>
      <w:r>
        <w:rPr>
          <w:rFonts w:hint="eastAsia" w:ascii="仿宋" w:hAnsi="仿宋" w:eastAsia="仿宋" w:cs="仿宋"/>
          <w:sz w:val="28"/>
          <w:szCs w:val="28"/>
          <w:lang w:val="en-US" w:eastAsia="zh-CN"/>
        </w:rPr>
        <w:t>招标人</w:t>
      </w:r>
      <w:r>
        <w:rPr>
          <w:rFonts w:hint="eastAsia" w:ascii="仿宋" w:hAnsi="仿宋" w:eastAsia="仿宋" w:cs="仿宋"/>
          <w:sz w:val="28"/>
          <w:szCs w:val="28"/>
        </w:rPr>
        <w:t>保证不复制，不外传，在调研完成后应将其从POC测评环境中删除；</w:t>
      </w:r>
    </w:p>
    <w:p w14:paraId="474A925F">
      <w:pPr>
        <w:pStyle w:val="4"/>
      </w:pPr>
      <w:bookmarkStart w:id="42" w:name="_Toc14771"/>
      <w:bookmarkStart w:id="43" w:name="_Toc25785"/>
      <w:bookmarkStart w:id="44" w:name="_Toc16665"/>
      <w:bookmarkStart w:id="45" w:name="_Toc25694"/>
      <w:bookmarkStart w:id="46" w:name="_Toc11019"/>
      <w:r>
        <w:rPr>
          <w:rFonts w:hint="eastAsia"/>
        </w:rPr>
        <w:t>诚信要求</w:t>
      </w:r>
      <w:bookmarkEnd w:id="42"/>
      <w:bookmarkEnd w:id="43"/>
      <w:bookmarkEnd w:id="44"/>
      <w:bookmarkEnd w:id="45"/>
      <w:bookmarkEnd w:id="46"/>
    </w:p>
    <w:p w14:paraId="12DE0F92">
      <w:pPr>
        <w:ind w:firstLine="560" w:firstLineChars="200"/>
        <w:rPr>
          <w:rFonts w:ascii="仿宋" w:hAnsi="仿宋" w:eastAsia="仿宋" w:cs="仿宋"/>
          <w:sz w:val="28"/>
          <w:szCs w:val="28"/>
        </w:rPr>
      </w:pPr>
      <w:r>
        <w:rPr>
          <w:rFonts w:hint="eastAsia" w:ascii="仿宋" w:hAnsi="仿宋" w:eastAsia="仿宋" w:cs="仿宋"/>
          <w:sz w:val="28"/>
          <w:szCs w:val="28"/>
        </w:rPr>
        <w:t>本次测评过程中，各参测</w:t>
      </w:r>
      <w:r>
        <w:rPr>
          <w:rFonts w:hint="eastAsia" w:ascii="仿宋" w:hAnsi="仿宋" w:eastAsia="仿宋" w:cs="仿宋"/>
          <w:sz w:val="28"/>
          <w:szCs w:val="28"/>
          <w:lang w:eastAsia="zh-CN"/>
        </w:rPr>
        <w:t>投标人</w:t>
      </w:r>
      <w:r>
        <w:rPr>
          <w:rFonts w:hint="eastAsia" w:ascii="仿宋" w:hAnsi="仿宋" w:eastAsia="仿宋" w:cs="仿宋"/>
          <w:sz w:val="28"/>
          <w:szCs w:val="28"/>
        </w:rPr>
        <w:t>需要在系统处理关键点记录日志，以备查询。如在系统请求接收，到处理返回接收点都必须记录相关时间日志，打印请求的处理耗时。测评完成后日志打包存档，以备后查。</w:t>
      </w:r>
      <w:r>
        <w:rPr>
          <w:rFonts w:hint="eastAsia" w:ascii="仿宋" w:hAnsi="仿宋" w:eastAsia="仿宋" w:cs="仿宋"/>
          <w:sz w:val="28"/>
          <w:szCs w:val="28"/>
          <w:lang w:eastAsia="zh-CN"/>
        </w:rPr>
        <w:t>投标人</w:t>
      </w:r>
      <w:r>
        <w:rPr>
          <w:rFonts w:hint="eastAsia" w:ascii="仿宋" w:hAnsi="仿宋" w:eastAsia="仿宋" w:cs="仿宋"/>
          <w:sz w:val="28"/>
          <w:szCs w:val="28"/>
        </w:rPr>
        <w:t>在测评过程中一旦发现作弊情况，将取消</w:t>
      </w:r>
      <w:r>
        <w:rPr>
          <w:rFonts w:hint="eastAsia" w:ascii="仿宋" w:hAnsi="仿宋" w:eastAsia="仿宋" w:cs="仿宋"/>
          <w:sz w:val="28"/>
          <w:szCs w:val="28"/>
          <w:lang w:val="en-US" w:eastAsia="zh-CN"/>
        </w:rPr>
        <w:t>测评</w:t>
      </w:r>
      <w:r>
        <w:rPr>
          <w:rFonts w:hint="eastAsia" w:ascii="仿宋" w:hAnsi="仿宋" w:eastAsia="仿宋" w:cs="仿宋"/>
          <w:sz w:val="28"/>
          <w:szCs w:val="28"/>
        </w:rPr>
        <w:t>资格，成绩作废。</w:t>
      </w:r>
    </w:p>
    <w:p w14:paraId="6C080B55">
      <w:pPr>
        <w:pStyle w:val="4"/>
      </w:pPr>
      <w:bookmarkStart w:id="47" w:name="_Toc29705"/>
      <w:bookmarkStart w:id="48" w:name="_Toc24115"/>
      <w:bookmarkStart w:id="49" w:name="_Toc8230"/>
      <w:bookmarkStart w:id="50" w:name="_Toc24427"/>
      <w:bookmarkStart w:id="51" w:name="_Toc20200"/>
      <w:r>
        <w:rPr>
          <w:rFonts w:hint="eastAsia"/>
        </w:rPr>
        <w:t>其它要求</w:t>
      </w:r>
      <w:bookmarkEnd w:id="47"/>
      <w:bookmarkEnd w:id="48"/>
      <w:bookmarkEnd w:id="49"/>
      <w:bookmarkEnd w:id="50"/>
      <w:bookmarkEnd w:id="51"/>
    </w:p>
    <w:p w14:paraId="0BA7BE08">
      <w:pPr>
        <w:ind w:firstLine="560" w:firstLineChars="200"/>
        <w:rPr>
          <w:rFonts w:ascii="仿宋" w:hAnsi="仿宋" w:eastAsia="仿宋" w:cs="仿宋"/>
          <w:sz w:val="28"/>
          <w:szCs w:val="28"/>
        </w:rPr>
      </w:pPr>
      <w:r>
        <w:rPr>
          <w:rFonts w:hint="eastAsia" w:ascii="仿宋" w:hAnsi="仿宋" w:eastAsia="仿宋" w:cs="仿宋"/>
          <w:sz w:val="28"/>
          <w:szCs w:val="28"/>
        </w:rPr>
        <w:t>参测</w:t>
      </w:r>
      <w:r>
        <w:rPr>
          <w:rFonts w:hint="eastAsia" w:ascii="仿宋" w:hAnsi="仿宋" w:eastAsia="仿宋" w:cs="仿宋"/>
          <w:sz w:val="28"/>
          <w:szCs w:val="28"/>
          <w:lang w:eastAsia="zh-CN"/>
        </w:rPr>
        <w:t>投标人</w:t>
      </w:r>
      <w:r>
        <w:rPr>
          <w:rFonts w:hint="eastAsia" w:ascii="仿宋" w:hAnsi="仿宋" w:eastAsia="仿宋" w:cs="仿宋"/>
          <w:sz w:val="28"/>
          <w:szCs w:val="28"/>
        </w:rPr>
        <w:t>应保证在测评期间遵守</w:t>
      </w:r>
      <w:r>
        <w:rPr>
          <w:rFonts w:hint="eastAsia" w:ascii="仿宋" w:hAnsi="仿宋" w:eastAsia="仿宋" w:cs="仿宋"/>
          <w:sz w:val="28"/>
          <w:szCs w:val="28"/>
          <w:lang w:eastAsia="zh-CN"/>
        </w:rPr>
        <w:t>招标人</w:t>
      </w:r>
      <w:r>
        <w:rPr>
          <w:rFonts w:hint="eastAsia" w:ascii="仿宋" w:hAnsi="仿宋" w:eastAsia="仿宋" w:cs="仿宋"/>
          <w:sz w:val="28"/>
          <w:szCs w:val="28"/>
        </w:rPr>
        <w:t>的各项规定；其它未尽事宜或临时调整，由</w:t>
      </w:r>
      <w:r>
        <w:rPr>
          <w:rFonts w:hint="eastAsia" w:ascii="仿宋" w:hAnsi="仿宋" w:eastAsia="仿宋" w:cs="仿宋"/>
          <w:sz w:val="28"/>
          <w:szCs w:val="28"/>
          <w:lang w:eastAsia="zh-CN"/>
        </w:rPr>
        <w:t>招标人</w:t>
      </w:r>
      <w:r>
        <w:rPr>
          <w:rFonts w:hint="eastAsia" w:ascii="仿宋" w:hAnsi="仿宋" w:eastAsia="仿宋" w:cs="仿宋"/>
          <w:sz w:val="28"/>
          <w:szCs w:val="28"/>
        </w:rPr>
        <w:t>POC测评小组解释执行。</w:t>
      </w:r>
      <w:r>
        <w:rPr>
          <w:rFonts w:hint="eastAsia" w:ascii="仿宋" w:hAnsi="仿宋" w:eastAsia="仿宋" w:cs="仿宋"/>
          <w:b/>
          <w:bCs/>
          <w:sz w:val="28"/>
          <w:szCs w:val="28"/>
        </w:rPr>
        <w:t>评测时请现场提供《法定代表人授权委托书》（见附录），</w:t>
      </w:r>
      <w:r>
        <w:rPr>
          <w:rFonts w:hint="eastAsia" w:ascii="仿宋" w:hAnsi="仿宋" w:eastAsia="仿宋" w:cs="仿宋"/>
          <w:b/>
          <w:bCs/>
          <w:sz w:val="28"/>
          <w:szCs w:val="28"/>
          <w:lang w:val="en-US" w:eastAsia="zh-CN"/>
        </w:rPr>
        <w:t>评测完成后，参测投标人须对评测记录表进行签字确认，</w:t>
      </w:r>
      <w:r>
        <w:rPr>
          <w:rFonts w:hint="eastAsia" w:ascii="仿宋" w:hAnsi="仿宋" w:eastAsia="仿宋" w:cs="仿宋"/>
          <w:b/>
          <w:bCs/>
          <w:sz w:val="28"/>
          <w:szCs w:val="28"/>
        </w:rPr>
        <w:t>不提供</w:t>
      </w:r>
      <w:r>
        <w:rPr>
          <w:rFonts w:hint="eastAsia" w:ascii="仿宋" w:hAnsi="仿宋" w:eastAsia="仿宋" w:cs="仿宋"/>
          <w:b/>
          <w:bCs/>
          <w:sz w:val="28"/>
          <w:szCs w:val="28"/>
          <w:lang w:val="en-US" w:eastAsia="zh-CN"/>
        </w:rPr>
        <w:t>委托书或不签字</w:t>
      </w:r>
      <w:r>
        <w:rPr>
          <w:rFonts w:hint="eastAsia" w:ascii="仿宋" w:hAnsi="仿宋" w:eastAsia="仿宋" w:cs="仿宋"/>
          <w:b/>
          <w:bCs/>
          <w:sz w:val="28"/>
          <w:szCs w:val="28"/>
        </w:rPr>
        <w:t>则视为放弃评测。</w:t>
      </w:r>
    </w:p>
    <w:bookmarkEnd w:id="19"/>
    <w:p w14:paraId="3D320004">
      <w:pPr>
        <w:pStyle w:val="3"/>
        <w:rPr>
          <w:rFonts w:ascii="仿宋" w:hAnsi="仿宋" w:eastAsia="仿宋" w:cs="仿宋"/>
        </w:rPr>
      </w:pPr>
      <w:bookmarkStart w:id="52" w:name="_Toc12563"/>
      <w:bookmarkStart w:id="53" w:name="_Toc18226"/>
      <w:bookmarkStart w:id="54" w:name="_Toc31403"/>
      <w:bookmarkStart w:id="55" w:name="_Toc382"/>
      <w:bookmarkStart w:id="56" w:name="_Toc21229"/>
      <w:bookmarkStart w:id="57" w:name="_Toc418023751"/>
      <w:bookmarkStart w:id="58" w:name="_Toc16672678"/>
      <w:r>
        <w:rPr>
          <w:rFonts w:hint="eastAsia" w:ascii="仿宋" w:hAnsi="仿宋" w:eastAsia="仿宋" w:cs="仿宋"/>
        </w:rPr>
        <w:t>评测小组</w:t>
      </w:r>
      <w:bookmarkEnd w:id="52"/>
      <w:bookmarkEnd w:id="53"/>
      <w:bookmarkEnd w:id="54"/>
      <w:bookmarkEnd w:id="55"/>
      <w:bookmarkEnd w:id="56"/>
    </w:p>
    <w:p w14:paraId="42375B64">
      <w:pPr>
        <w:ind w:firstLine="560" w:firstLineChars="200"/>
        <w:rPr>
          <w:rFonts w:ascii="仿宋" w:hAnsi="仿宋" w:eastAsia="仿宋" w:cs="仿宋"/>
          <w:sz w:val="28"/>
          <w:szCs w:val="28"/>
        </w:rPr>
      </w:pPr>
      <w:r>
        <w:rPr>
          <w:rFonts w:hint="eastAsia" w:ascii="仿宋" w:hAnsi="仿宋" w:eastAsia="仿宋" w:cs="仿宋"/>
          <w:sz w:val="28"/>
          <w:szCs w:val="28"/>
        </w:rPr>
        <w:t>本项目评测小组成员由</w:t>
      </w:r>
      <w:r>
        <w:rPr>
          <w:rFonts w:hint="eastAsia" w:ascii="仿宋" w:hAnsi="仿宋" w:eastAsia="仿宋" w:cs="仿宋"/>
          <w:sz w:val="28"/>
          <w:szCs w:val="28"/>
          <w:lang w:val="en-US" w:eastAsia="zh-CN"/>
        </w:rPr>
        <w:t>财务会计</w:t>
      </w:r>
      <w:r>
        <w:rPr>
          <w:rFonts w:hint="eastAsia" w:ascii="仿宋" w:hAnsi="仿宋" w:eastAsia="仿宋" w:cs="仿宋"/>
          <w:sz w:val="28"/>
          <w:szCs w:val="28"/>
        </w:rPr>
        <w:t>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风险管理部</w:t>
      </w:r>
      <w:r>
        <w:rPr>
          <w:rFonts w:hint="eastAsia" w:ascii="仿宋" w:hAnsi="仿宋" w:eastAsia="仿宋" w:cs="仿宋"/>
          <w:sz w:val="28"/>
          <w:szCs w:val="28"/>
        </w:rPr>
        <w:t>、信息科技部相关人员组成。小组成员间、小组成员与</w:t>
      </w:r>
      <w:r>
        <w:rPr>
          <w:rFonts w:hint="eastAsia" w:ascii="仿宋" w:hAnsi="仿宋" w:eastAsia="仿宋" w:cs="仿宋"/>
          <w:sz w:val="28"/>
          <w:szCs w:val="28"/>
          <w:lang w:eastAsia="zh-CN"/>
        </w:rPr>
        <w:t>投标人</w:t>
      </w:r>
      <w:r>
        <w:rPr>
          <w:rFonts w:hint="eastAsia" w:ascii="仿宋" w:hAnsi="仿宋" w:eastAsia="仿宋" w:cs="仿宋"/>
          <w:sz w:val="28"/>
          <w:szCs w:val="28"/>
        </w:rPr>
        <w:t>间应相互尊重、充分沟通，秉承公平、公正、严密、严谨、严肃的原则进行评测。</w:t>
      </w:r>
    </w:p>
    <w:p w14:paraId="60B9DF2C">
      <w:pPr>
        <w:pStyle w:val="3"/>
        <w:rPr>
          <w:rFonts w:ascii="仿宋" w:hAnsi="仿宋" w:eastAsia="仿宋" w:cs="仿宋"/>
        </w:rPr>
      </w:pPr>
      <w:bookmarkStart w:id="59" w:name="_Toc32319"/>
      <w:bookmarkStart w:id="60" w:name="_Toc30134"/>
      <w:bookmarkStart w:id="61" w:name="_Toc5030"/>
      <w:bookmarkStart w:id="62" w:name="_Toc4366"/>
      <w:bookmarkStart w:id="63" w:name="_Toc32383"/>
      <w:r>
        <w:rPr>
          <w:rFonts w:hint="eastAsia" w:ascii="仿宋" w:hAnsi="仿宋" w:eastAsia="仿宋" w:cs="仿宋"/>
        </w:rPr>
        <w:t>测评计划</w:t>
      </w:r>
      <w:bookmarkEnd w:id="59"/>
      <w:bookmarkEnd w:id="60"/>
      <w:bookmarkEnd w:id="61"/>
      <w:bookmarkEnd w:id="62"/>
      <w:bookmarkEnd w:id="63"/>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006"/>
        <w:gridCol w:w="7094"/>
      </w:tblGrid>
      <w:tr w14:paraId="620E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5" w:hRule="atLeast"/>
        </w:trPr>
        <w:tc>
          <w:tcPr>
            <w:tcW w:w="5000" w:type="pct"/>
            <w:gridSpan w:val="2"/>
            <w:vAlign w:val="center"/>
          </w:tcPr>
          <w:p w14:paraId="100AAF16">
            <w:pPr>
              <w:rPr>
                <w:rFonts w:hint="eastAsia" w:ascii="华文仿宋" w:hAnsi="华文仿宋" w:eastAsia="华文仿宋" w:cs="华文仿宋"/>
                <w:sz w:val="24"/>
              </w:rPr>
            </w:pPr>
            <w:r>
              <w:rPr>
                <w:rFonts w:hint="eastAsia" w:ascii="华文仿宋" w:hAnsi="华文仿宋" w:eastAsia="华文仿宋" w:cs="华文仿宋"/>
                <w:sz w:val="24"/>
              </w:rPr>
              <w:t>以报名时间截至后第1个自然日为T日</w:t>
            </w:r>
            <w:r>
              <w:rPr>
                <w:rFonts w:hint="eastAsia" w:ascii="华文仿宋" w:hAnsi="华文仿宋" w:eastAsia="华文仿宋" w:cs="华文仿宋"/>
                <w:sz w:val="24"/>
                <w:lang w:eastAsia="zh-CN"/>
              </w:rPr>
              <w:t>，</w:t>
            </w:r>
            <w:r>
              <w:rPr>
                <w:rFonts w:hint="eastAsia" w:ascii="华文仿宋" w:hAnsi="华文仿宋" w:eastAsia="华文仿宋" w:cs="华文仿宋"/>
                <w:sz w:val="24"/>
                <w:lang w:val="en-US" w:eastAsia="zh-CN"/>
              </w:rPr>
              <w:t>以下日期均为自然日</w:t>
            </w:r>
            <w:r>
              <w:rPr>
                <w:rFonts w:hint="eastAsia" w:ascii="华文仿宋" w:hAnsi="华文仿宋" w:eastAsia="华文仿宋" w:cs="华文仿宋"/>
                <w:sz w:val="24"/>
              </w:rPr>
              <w:t>。</w:t>
            </w:r>
          </w:p>
        </w:tc>
      </w:tr>
      <w:tr w14:paraId="0508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4C2B1AAD">
            <w:pPr>
              <w:jc w:val="center"/>
              <w:textAlignment w:val="center"/>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T+</w:t>
            </w:r>
            <w:r>
              <w:rPr>
                <w:rFonts w:hint="eastAsia" w:ascii="华文仿宋" w:hAnsi="华文仿宋" w:eastAsia="华文仿宋" w:cs="华文仿宋"/>
                <w:color w:val="auto"/>
                <w:kern w:val="0"/>
                <w:sz w:val="24"/>
                <w:lang w:val="en-US" w:eastAsia="zh-CN" w:bidi="ar"/>
              </w:rPr>
              <w:t>0</w:t>
            </w:r>
            <w:r>
              <w:rPr>
                <w:rFonts w:hint="eastAsia" w:ascii="华文仿宋" w:hAnsi="华文仿宋" w:eastAsia="华文仿宋" w:cs="华文仿宋"/>
                <w:color w:val="auto"/>
                <w:kern w:val="0"/>
                <w:sz w:val="24"/>
                <w:lang w:bidi="ar"/>
              </w:rPr>
              <w:t>日至T+</w:t>
            </w:r>
            <w:r>
              <w:rPr>
                <w:rFonts w:hint="eastAsia" w:ascii="华文仿宋" w:hAnsi="华文仿宋" w:eastAsia="华文仿宋" w:cs="华文仿宋"/>
                <w:color w:val="auto"/>
                <w:kern w:val="0"/>
                <w:sz w:val="24"/>
                <w:lang w:val="en-US" w:eastAsia="zh-CN" w:bidi="ar"/>
              </w:rPr>
              <w:t>3</w:t>
            </w:r>
            <w:r>
              <w:rPr>
                <w:rFonts w:hint="eastAsia" w:ascii="华文仿宋" w:hAnsi="华文仿宋" w:eastAsia="华文仿宋" w:cs="华文仿宋"/>
                <w:color w:val="auto"/>
                <w:kern w:val="0"/>
                <w:sz w:val="24"/>
                <w:lang w:bidi="ar"/>
              </w:rPr>
              <w:t>日</w:t>
            </w:r>
          </w:p>
          <w:p w14:paraId="53703D38">
            <w:pPr>
              <w:jc w:val="center"/>
              <w:textAlignment w:val="center"/>
              <w:rPr>
                <w:rFonts w:hint="eastAsia" w:ascii="华文仿宋" w:hAnsi="华文仿宋" w:eastAsia="华文仿宋" w:cs="华文仿宋"/>
                <w:color w:val="auto"/>
                <w:kern w:val="0"/>
                <w:sz w:val="24"/>
                <w:lang w:val="en-US" w:eastAsia="zh-CN" w:bidi="ar"/>
              </w:rPr>
            </w:pPr>
            <w:r>
              <w:rPr>
                <w:rFonts w:hint="eastAsia" w:ascii="华文仿宋" w:hAnsi="华文仿宋" w:eastAsia="华文仿宋" w:cs="华文仿宋"/>
                <w:color w:val="auto"/>
                <w:kern w:val="0"/>
                <w:sz w:val="24"/>
                <w:lang w:bidi="ar"/>
              </w:rPr>
              <w:t>（包含</w:t>
            </w:r>
            <w:r>
              <w:rPr>
                <w:rFonts w:hint="eastAsia" w:ascii="华文仿宋" w:hAnsi="华文仿宋" w:eastAsia="华文仿宋" w:cs="华文仿宋"/>
                <w:color w:val="auto"/>
                <w:kern w:val="0"/>
                <w:sz w:val="24"/>
                <w:lang w:val="en-US" w:eastAsia="zh-CN" w:bidi="ar"/>
              </w:rPr>
              <w:t>法定节假日</w:t>
            </w:r>
            <w:r>
              <w:rPr>
                <w:rFonts w:hint="eastAsia" w:ascii="华文仿宋" w:hAnsi="华文仿宋" w:eastAsia="华文仿宋" w:cs="华文仿宋"/>
                <w:color w:val="auto"/>
                <w:kern w:val="0"/>
                <w:sz w:val="24"/>
                <w:lang w:eastAsia="zh-CN" w:bidi="ar"/>
              </w:rPr>
              <w:t>）</w:t>
            </w:r>
          </w:p>
        </w:tc>
        <w:tc>
          <w:tcPr>
            <w:tcW w:w="3897" w:type="pct"/>
            <w:vAlign w:val="center"/>
          </w:tcPr>
          <w:p w14:paraId="13E96649">
            <w:pPr>
              <w:numPr>
                <w:ilvl w:val="0"/>
                <w:numId w:val="9"/>
              </w:numPr>
              <w:rPr>
                <w:rFonts w:ascii="华文仿宋" w:hAnsi="华文仿宋" w:eastAsia="华文仿宋" w:cs="华文仿宋"/>
                <w:color w:val="auto"/>
                <w:kern w:val="0"/>
                <w:sz w:val="24"/>
                <w:lang w:bidi="ar"/>
              </w:rPr>
            </w:pPr>
            <w:r>
              <w:rPr>
                <w:rFonts w:hint="eastAsia" w:ascii="华文仿宋" w:hAnsi="华文仿宋" w:eastAsia="华文仿宋" w:cs="华文仿宋"/>
                <w:color w:val="auto"/>
                <w:sz w:val="24"/>
              </w:rPr>
              <w:t>评测小组对参测</w:t>
            </w:r>
            <w:r>
              <w:rPr>
                <w:rFonts w:hint="eastAsia" w:ascii="华文仿宋" w:hAnsi="华文仿宋" w:eastAsia="华文仿宋" w:cs="华文仿宋"/>
                <w:color w:val="auto"/>
                <w:kern w:val="0"/>
                <w:sz w:val="24"/>
                <w:lang w:eastAsia="zh-CN" w:bidi="ar"/>
              </w:rPr>
              <w:t>投标人</w:t>
            </w:r>
            <w:r>
              <w:rPr>
                <w:rFonts w:hint="eastAsia" w:ascii="华文仿宋" w:hAnsi="华文仿宋" w:eastAsia="华文仿宋" w:cs="华文仿宋"/>
                <w:color w:val="auto"/>
                <w:kern w:val="0"/>
                <w:sz w:val="24"/>
                <w:lang w:bidi="ar"/>
              </w:rPr>
              <w:t>按报名顺序逐一进行POC测评方案解答（线上方式）；</w:t>
            </w:r>
          </w:p>
          <w:p w14:paraId="7C05C94B">
            <w:pPr>
              <w:pStyle w:val="81"/>
              <w:widowControl/>
              <w:numPr>
                <w:ilvl w:val="0"/>
                <w:numId w:val="9"/>
              </w:numPr>
              <w:tabs>
                <w:tab w:val="left" w:pos="392"/>
              </w:tabs>
              <w:spacing w:after="0" w:line="240" w:lineRule="auto"/>
              <w:ind w:firstLine="0" w:firstLineChars="0"/>
              <w:jc w:val="left"/>
              <w:textAlignment w:val="center"/>
              <w:rPr>
                <w:rFonts w:hint="eastAsia" w:ascii="华文仿宋" w:hAnsi="华文仿宋" w:eastAsia="华文仿宋" w:cs="华文仿宋"/>
                <w:color w:val="auto"/>
                <w:kern w:val="0"/>
                <w:sz w:val="24"/>
                <w:szCs w:val="24"/>
                <w:lang w:bidi="ar"/>
              </w:rPr>
            </w:pPr>
            <w:r>
              <w:rPr>
                <w:rFonts w:hint="eastAsia" w:ascii="华文仿宋" w:hAnsi="华文仿宋" w:eastAsia="华文仿宋" w:cs="华文仿宋"/>
                <w:color w:val="auto"/>
                <w:kern w:val="0"/>
                <w:sz w:val="24"/>
                <w:szCs w:val="24"/>
                <w:lang w:bidi="ar"/>
              </w:rPr>
              <w:t>报名顺序即为测评顺序。</w:t>
            </w:r>
          </w:p>
          <w:p w14:paraId="3DF3FD47">
            <w:pPr>
              <w:pStyle w:val="81"/>
              <w:widowControl/>
              <w:numPr>
                <w:ilvl w:val="0"/>
                <w:numId w:val="9"/>
              </w:numPr>
              <w:tabs>
                <w:tab w:val="left" w:pos="392"/>
              </w:tabs>
              <w:spacing w:after="0" w:line="240" w:lineRule="auto"/>
              <w:ind w:firstLine="0" w:firstLineChars="0"/>
              <w:jc w:val="left"/>
              <w:textAlignment w:val="center"/>
              <w:rPr>
                <w:rFonts w:hint="eastAsia" w:ascii="华文仿宋" w:hAnsi="华文仿宋" w:eastAsia="华文仿宋" w:cs="华文仿宋"/>
                <w:color w:val="auto"/>
                <w:kern w:val="0"/>
                <w:sz w:val="24"/>
                <w:szCs w:val="24"/>
                <w:lang w:bidi="ar"/>
              </w:rPr>
            </w:pPr>
            <w:r>
              <w:rPr>
                <w:rFonts w:hint="eastAsia" w:ascii="华文仿宋" w:hAnsi="华文仿宋" w:eastAsia="华文仿宋" w:cs="华文仿宋"/>
                <w:color w:val="auto"/>
                <w:kern w:val="0"/>
                <w:sz w:val="24"/>
                <w:lang w:bidi="ar"/>
              </w:rPr>
              <w:t>各个</w:t>
            </w:r>
            <w:r>
              <w:rPr>
                <w:rFonts w:hint="eastAsia" w:ascii="华文仿宋" w:hAnsi="华文仿宋" w:eastAsia="华文仿宋" w:cs="华文仿宋"/>
                <w:color w:val="auto"/>
                <w:kern w:val="0"/>
                <w:sz w:val="24"/>
                <w:lang w:eastAsia="zh-CN" w:bidi="ar"/>
              </w:rPr>
              <w:t>投标人</w:t>
            </w:r>
            <w:r>
              <w:rPr>
                <w:rFonts w:hint="eastAsia" w:ascii="华文仿宋" w:hAnsi="华文仿宋" w:eastAsia="华文仿宋" w:cs="华文仿宋"/>
                <w:color w:val="auto"/>
                <w:kern w:val="0"/>
                <w:sz w:val="24"/>
                <w:lang w:bidi="ar"/>
              </w:rPr>
              <w:t>自行准备测评环境，根据测评</w:t>
            </w:r>
            <w:bookmarkStart w:id="124" w:name="_GoBack"/>
            <w:bookmarkEnd w:id="124"/>
            <w:r>
              <w:rPr>
                <w:rFonts w:hint="eastAsia" w:ascii="华文仿宋" w:hAnsi="华文仿宋" w:eastAsia="华文仿宋" w:cs="华文仿宋"/>
                <w:color w:val="auto"/>
                <w:kern w:val="0"/>
                <w:sz w:val="24"/>
                <w:lang w:bidi="ar"/>
              </w:rPr>
              <w:t>方案准备测评案例，包括业务应用场景数据准备、数据加工、系统配置、系统功能全流程演示案例准备等。</w:t>
            </w:r>
          </w:p>
        </w:tc>
      </w:tr>
      <w:tr w14:paraId="1265C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2351E18E">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w:t>
            </w:r>
            <w:r>
              <w:rPr>
                <w:rFonts w:hint="eastAsia" w:ascii="华文仿宋" w:hAnsi="华文仿宋" w:eastAsia="华文仿宋" w:cs="华文仿宋"/>
                <w:color w:val="000000"/>
                <w:kern w:val="0"/>
                <w:sz w:val="24"/>
                <w:lang w:val="en-US" w:eastAsia="zh-CN" w:bidi="ar"/>
              </w:rPr>
              <w:t>4</w:t>
            </w:r>
            <w:r>
              <w:rPr>
                <w:rFonts w:hint="eastAsia" w:ascii="华文仿宋" w:hAnsi="华文仿宋" w:eastAsia="华文仿宋" w:cs="华文仿宋"/>
                <w:color w:val="000000"/>
                <w:kern w:val="0"/>
                <w:sz w:val="24"/>
                <w:lang w:bidi="ar"/>
              </w:rPr>
              <w:t>日</w:t>
            </w:r>
          </w:p>
        </w:tc>
        <w:tc>
          <w:tcPr>
            <w:tcW w:w="3897" w:type="pct"/>
            <w:vAlign w:val="center"/>
          </w:tcPr>
          <w:p w14:paraId="1746CE51">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所有参测</w:t>
            </w:r>
            <w:r>
              <w:rPr>
                <w:rFonts w:hint="eastAsia" w:ascii="华文仿宋" w:hAnsi="华文仿宋" w:eastAsia="华文仿宋" w:cs="华文仿宋"/>
                <w:color w:val="000000"/>
                <w:kern w:val="0"/>
                <w:sz w:val="24"/>
                <w:lang w:eastAsia="zh-CN" w:bidi="ar"/>
              </w:rPr>
              <w:t>投标人</w:t>
            </w:r>
            <w:r>
              <w:rPr>
                <w:rFonts w:hint="eastAsia" w:ascii="华文仿宋" w:hAnsi="华文仿宋" w:eastAsia="华文仿宋" w:cs="华文仿宋"/>
                <w:color w:val="000000"/>
                <w:kern w:val="0"/>
                <w:sz w:val="24"/>
                <w:lang w:bidi="ar"/>
              </w:rPr>
              <w:t>于T+</w:t>
            </w:r>
            <w:r>
              <w:rPr>
                <w:rFonts w:hint="eastAsia" w:ascii="华文仿宋" w:hAnsi="华文仿宋" w:eastAsia="华文仿宋" w:cs="华文仿宋"/>
                <w:color w:val="000000"/>
                <w:kern w:val="0"/>
                <w:sz w:val="24"/>
                <w:lang w:val="en-US" w:eastAsia="zh-CN" w:bidi="ar"/>
              </w:rPr>
              <w:t>4</w:t>
            </w:r>
            <w:r>
              <w:rPr>
                <w:rFonts w:hint="eastAsia" w:ascii="华文仿宋" w:hAnsi="华文仿宋" w:eastAsia="华文仿宋" w:cs="华文仿宋"/>
                <w:color w:val="000000"/>
                <w:kern w:val="0"/>
                <w:sz w:val="24"/>
                <w:lang w:bidi="ar"/>
              </w:rPr>
              <w:t>日下午16:00前提交POC测评报告及佐证材料。</w:t>
            </w:r>
          </w:p>
        </w:tc>
      </w:tr>
      <w:tr w14:paraId="4FB8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65DFBAF6">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w:t>
            </w:r>
            <w:r>
              <w:rPr>
                <w:rFonts w:hint="eastAsia" w:ascii="华文仿宋" w:hAnsi="华文仿宋" w:eastAsia="华文仿宋" w:cs="华文仿宋"/>
                <w:color w:val="000000"/>
                <w:kern w:val="0"/>
                <w:sz w:val="24"/>
                <w:lang w:val="en-US" w:eastAsia="zh-CN" w:bidi="ar"/>
              </w:rPr>
              <w:t>5</w:t>
            </w:r>
            <w:r>
              <w:rPr>
                <w:rFonts w:hint="eastAsia" w:ascii="华文仿宋" w:hAnsi="华文仿宋" w:eastAsia="华文仿宋" w:cs="华文仿宋"/>
                <w:color w:val="000000"/>
                <w:kern w:val="0"/>
                <w:sz w:val="24"/>
                <w:lang w:bidi="ar"/>
              </w:rPr>
              <w:t>日至T+</w:t>
            </w:r>
            <w:r>
              <w:rPr>
                <w:rFonts w:hint="eastAsia" w:ascii="华文仿宋" w:hAnsi="华文仿宋" w:eastAsia="华文仿宋" w:cs="华文仿宋"/>
                <w:color w:val="000000"/>
                <w:kern w:val="0"/>
                <w:sz w:val="24"/>
                <w:lang w:val="en-US" w:eastAsia="zh-CN" w:bidi="ar"/>
              </w:rPr>
              <w:t>9</w:t>
            </w:r>
            <w:r>
              <w:rPr>
                <w:rFonts w:hint="eastAsia" w:ascii="华文仿宋" w:hAnsi="华文仿宋" w:eastAsia="华文仿宋" w:cs="华文仿宋"/>
                <w:color w:val="000000"/>
                <w:kern w:val="0"/>
                <w:sz w:val="24"/>
                <w:lang w:bidi="ar"/>
              </w:rPr>
              <w:t>日</w:t>
            </w:r>
          </w:p>
        </w:tc>
        <w:tc>
          <w:tcPr>
            <w:tcW w:w="3897" w:type="pct"/>
            <w:vAlign w:val="center"/>
          </w:tcPr>
          <w:p w14:paraId="53146022">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按</w:t>
            </w:r>
            <w:r>
              <w:rPr>
                <w:rFonts w:hint="eastAsia" w:ascii="华文仿宋" w:hAnsi="华文仿宋" w:eastAsia="华文仿宋" w:cs="华文仿宋"/>
                <w:color w:val="000000"/>
                <w:kern w:val="0"/>
                <w:sz w:val="24"/>
                <w:lang w:eastAsia="zh-CN" w:bidi="ar"/>
              </w:rPr>
              <w:t>投标人</w:t>
            </w:r>
            <w:r>
              <w:rPr>
                <w:rFonts w:hint="eastAsia" w:ascii="华文仿宋" w:hAnsi="华文仿宋" w:eastAsia="华文仿宋" w:cs="华文仿宋"/>
                <w:color w:val="000000"/>
                <w:kern w:val="0"/>
                <w:sz w:val="24"/>
                <w:lang w:bidi="ar"/>
              </w:rPr>
              <w:t>测评顺序进行测评，每家参测</w:t>
            </w:r>
            <w:r>
              <w:rPr>
                <w:rFonts w:hint="eastAsia" w:ascii="华文仿宋" w:hAnsi="华文仿宋" w:eastAsia="华文仿宋" w:cs="华文仿宋"/>
                <w:color w:val="000000"/>
                <w:kern w:val="0"/>
                <w:sz w:val="24"/>
                <w:lang w:eastAsia="zh-CN" w:bidi="ar"/>
              </w:rPr>
              <w:t>投标人</w:t>
            </w:r>
            <w:r>
              <w:rPr>
                <w:rFonts w:hint="eastAsia" w:ascii="华文仿宋" w:hAnsi="华文仿宋" w:eastAsia="华文仿宋" w:cs="华文仿宋"/>
                <w:color w:val="000000"/>
                <w:kern w:val="0"/>
                <w:sz w:val="24"/>
                <w:lang w:bidi="ar"/>
              </w:rPr>
              <w:t>2小时。</w:t>
            </w:r>
          </w:p>
        </w:tc>
      </w:tr>
      <w:tr w14:paraId="42B9D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0283BB09">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w:t>
            </w:r>
            <w:r>
              <w:rPr>
                <w:rFonts w:hint="eastAsia" w:ascii="华文仿宋" w:hAnsi="华文仿宋" w:eastAsia="华文仿宋" w:cs="华文仿宋"/>
                <w:color w:val="000000"/>
                <w:kern w:val="0"/>
                <w:sz w:val="24"/>
                <w:lang w:val="en-US" w:eastAsia="zh-CN" w:bidi="ar"/>
              </w:rPr>
              <w:t>10</w:t>
            </w:r>
            <w:r>
              <w:rPr>
                <w:rFonts w:hint="eastAsia" w:ascii="华文仿宋" w:hAnsi="华文仿宋" w:eastAsia="华文仿宋" w:cs="华文仿宋"/>
                <w:color w:val="000000"/>
                <w:kern w:val="0"/>
                <w:sz w:val="24"/>
                <w:lang w:bidi="ar"/>
              </w:rPr>
              <w:t>日</w:t>
            </w:r>
          </w:p>
        </w:tc>
        <w:tc>
          <w:tcPr>
            <w:tcW w:w="3897" w:type="pct"/>
            <w:vAlign w:val="center"/>
          </w:tcPr>
          <w:p w14:paraId="12AAEFAF">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sz w:val="24"/>
                <w:lang w:eastAsia="zh-CN"/>
              </w:rPr>
              <w:t>招标人</w:t>
            </w:r>
            <w:r>
              <w:rPr>
                <w:rFonts w:hint="eastAsia" w:ascii="华文仿宋" w:hAnsi="华文仿宋" w:eastAsia="华文仿宋" w:cs="华文仿宋"/>
                <w:sz w:val="24"/>
              </w:rPr>
              <w:t>评测小组</w:t>
            </w:r>
            <w:r>
              <w:rPr>
                <w:rFonts w:hint="eastAsia" w:ascii="华文仿宋" w:hAnsi="华文仿宋" w:eastAsia="华文仿宋" w:cs="华文仿宋"/>
                <w:color w:val="000000"/>
                <w:kern w:val="0"/>
                <w:sz w:val="24"/>
                <w:lang w:bidi="ar"/>
              </w:rPr>
              <w:t>完成</w:t>
            </w:r>
            <w:r>
              <w:rPr>
                <w:rFonts w:hint="eastAsia" w:ascii="华文仿宋" w:hAnsi="华文仿宋" w:eastAsia="华文仿宋" w:cs="华文仿宋"/>
                <w:color w:val="000000"/>
                <w:kern w:val="0"/>
                <w:sz w:val="24"/>
                <w:lang w:val="en-US" w:eastAsia="zh-CN" w:bidi="ar"/>
              </w:rPr>
              <w:t>参测投标人</w:t>
            </w:r>
            <w:r>
              <w:rPr>
                <w:rFonts w:hint="eastAsia" w:ascii="华文仿宋" w:hAnsi="华文仿宋" w:eastAsia="华文仿宋" w:cs="华文仿宋"/>
                <w:color w:val="000000"/>
                <w:kern w:val="0"/>
                <w:sz w:val="24"/>
                <w:lang w:bidi="ar"/>
              </w:rPr>
              <w:t>POC测评报告</w:t>
            </w:r>
            <w:r>
              <w:rPr>
                <w:rFonts w:hint="eastAsia" w:ascii="仿宋" w:hAnsi="仿宋" w:eastAsia="仿宋" w:cs="仿宋"/>
                <w:sz w:val="24"/>
                <w:szCs w:val="32"/>
              </w:rPr>
              <w:t>整理</w:t>
            </w:r>
            <w:r>
              <w:rPr>
                <w:rFonts w:hint="eastAsia" w:ascii="华文仿宋" w:hAnsi="华文仿宋" w:eastAsia="华文仿宋" w:cs="华文仿宋"/>
                <w:color w:val="000000"/>
                <w:kern w:val="0"/>
                <w:sz w:val="24"/>
                <w:lang w:bidi="ar"/>
              </w:rPr>
              <w:t>。包括测评报告正文、</w:t>
            </w:r>
            <w:r>
              <w:rPr>
                <w:rFonts w:hint="eastAsia" w:ascii="华文仿宋" w:hAnsi="华文仿宋" w:eastAsia="华文仿宋" w:cs="华文仿宋"/>
                <w:color w:val="000000"/>
                <w:kern w:val="0"/>
                <w:sz w:val="24"/>
                <w:lang w:val="en-US" w:eastAsia="zh-CN" w:bidi="ar"/>
              </w:rPr>
              <w:t>参测投标人</w:t>
            </w:r>
            <w:r>
              <w:rPr>
                <w:rFonts w:hint="eastAsia" w:ascii="华文仿宋" w:hAnsi="华文仿宋" w:eastAsia="华文仿宋" w:cs="华文仿宋"/>
                <w:color w:val="000000"/>
                <w:kern w:val="0"/>
                <w:sz w:val="24"/>
                <w:lang w:bidi="ar"/>
              </w:rPr>
              <w:t>POC得分。</w:t>
            </w:r>
          </w:p>
        </w:tc>
      </w:tr>
      <w:bookmarkEnd w:id="57"/>
      <w:bookmarkEnd w:id="58"/>
    </w:tbl>
    <w:p w14:paraId="6E28B771">
      <w:pPr>
        <w:pStyle w:val="2"/>
      </w:pPr>
      <w:bookmarkStart w:id="64" w:name="_Toc4301"/>
      <w:bookmarkStart w:id="65" w:name="_Toc11632"/>
      <w:bookmarkStart w:id="66" w:name="_Toc12364"/>
      <w:bookmarkStart w:id="67" w:name="_Toc25301"/>
      <w:bookmarkStart w:id="68" w:name="_Toc25613"/>
      <w:bookmarkStart w:id="69" w:name="_Toc418023753"/>
      <w:r>
        <w:rPr>
          <w:rFonts w:hint="eastAsia"/>
        </w:rPr>
        <w:t>评测案例</w:t>
      </w:r>
      <w:bookmarkEnd w:id="64"/>
      <w:bookmarkEnd w:id="65"/>
      <w:bookmarkEnd w:id="66"/>
      <w:bookmarkEnd w:id="67"/>
      <w:bookmarkEnd w:id="68"/>
    </w:p>
    <w:p w14:paraId="2B1265FC">
      <w:pPr>
        <w:pStyle w:val="3"/>
      </w:pPr>
      <w:bookmarkStart w:id="70" w:name="_Toc4174"/>
      <w:bookmarkStart w:id="71" w:name="_Toc5669"/>
      <w:bookmarkStart w:id="72" w:name="_Toc1813"/>
      <w:bookmarkStart w:id="73" w:name="_Toc4311"/>
      <w:bookmarkStart w:id="74" w:name="_Toc10352"/>
      <w:r>
        <w:rPr>
          <w:rFonts w:hint="eastAsia" w:ascii="仿宋" w:hAnsi="仿宋" w:eastAsia="仿宋" w:cs="仿宋"/>
        </w:rPr>
        <w:t>业务方案评测</w:t>
      </w:r>
      <w:bookmarkEnd w:id="70"/>
      <w:bookmarkEnd w:id="71"/>
      <w:bookmarkEnd w:id="72"/>
      <w:bookmarkEnd w:id="73"/>
      <w:bookmarkEnd w:id="74"/>
    </w:p>
    <w:p w14:paraId="7BDF38CE">
      <w:pPr>
        <w:pStyle w:val="4"/>
      </w:pPr>
      <w:bookmarkStart w:id="75" w:name="_Toc29595"/>
      <w:bookmarkStart w:id="76" w:name="_Toc9288"/>
      <w:bookmarkStart w:id="77" w:name="_Toc30574"/>
      <w:bookmarkStart w:id="78" w:name="_Toc13942"/>
      <w:bookmarkStart w:id="79" w:name="_Toc2245"/>
      <w:r>
        <w:rPr>
          <w:rFonts w:hint="eastAsia"/>
          <w:lang w:val="en-US" w:eastAsia="zh-CN"/>
        </w:rPr>
        <w:t>监管制度解读与业务分析</w:t>
      </w:r>
      <w:bookmarkEnd w:id="75"/>
      <w:bookmarkEnd w:id="76"/>
      <w:bookmarkEnd w:id="77"/>
      <w:bookmarkEnd w:id="78"/>
      <w:bookmarkEnd w:id="79"/>
    </w:p>
    <w:p w14:paraId="36E6DA20">
      <w:pPr>
        <w:pStyle w:val="16"/>
        <w:ind w:firstLine="560"/>
        <w:rPr>
          <w:rFonts w:hint="eastAsia" w:eastAsia="仿宋"/>
          <w:lang w:val="en-US" w:eastAsia="zh-CN"/>
        </w:rPr>
      </w:pPr>
      <w:r>
        <w:rPr>
          <w:rFonts w:hint="eastAsia"/>
          <w:lang w:val="en-US" w:eastAsia="zh-CN"/>
        </w:rPr>
        <w:t>解读当前监管制度发文：</w:t>
      </w:r>
      <w:r>
        <w:rPr>
          <w:rFonts w:hint="eastAsia" w:ascii="Times New Roman" w:hAnsi="Times New Roman" w:eastAsia="仿宋" w:cs="Times New Roman"/>
          <w:sz w:val="28"/>
          <w:szCs w:val="24"/>
          <w:lang w:val="en-US" w:eastAsia="zh-CN"/>
        </w:rPr>
        <w:t>《银行机构监管报表“一表通”采集接口标准（2.0版本）》、</w:t>
      </w:r>
      <w:r>
        <w:rPr>
          <w:rFonts w:hint="eastAsia" w:ascii="Times New Roman" w:hAnsi="Times New Roman" w:cs="Times New Roman"/>
          <w:sz w:val="28"/>
          <w:szCs w:val="24"/>
          <w:lang w:val="en-US" w:eastAsia="zh-CN"/>
        </w:rPr>
        <w:t>《银行业金融机构监管数据标准化（2021版）》</w:t>
      </w:r>
      <w:r>
        <w:rPr>
          <w:rFonts w:hint="eastAsia" w:cs="Times New Roman"/>
          <w:sz w:val="28"/>
          <w:szCs w:val="24"/>
          <w:lang w:val="en-US" w:eastAsia="zh-CN"/>
        </w:rPr>
        <w:t>、</w:t>
      </w:r>
      <w:r>
        <w:rPr>
          <w:rFonts w:hint="eastAsia" w:ascii="Times New Roman" w:hAnsi="Times New Roman" w:cs="Times New Roman"/>
          <w:sz w:val="28"/>
          <w:szCs w:val="24"/>
          <w:lang w:val="en-US" w:eastAsia="zh-CN"/>
        </w:rPr>
        <w:t>《银行机构监管报表“一表通”可信区建设规范（2.0版）》</w:t>
      </w:r>
      <w:r>
        <w:rPr>
          <w:rFonts w:hint="eastAsia" w:ascii="Times New Roman" w:hAnsi="Times New Roman" w:eastAsia="仿宋" w:cs="Times New Roman"/>
          <w:sz w:val="28"/>
          <w:szCs w:val="24"/>
        </w:rPr>
        <w:t>（如监管更新发文，需以监管最新发文为准）</w:t>
      </w:r>
      <w:r>
        <w:rPr>
          <w:rFonts w:hint="eastAsia" w:cs="Times New Roman"/>
          <w:sz w:val="28"/>
          <w:szCs w:val="24"/>
          <w:lang w:eastAsia="zh-CN"/>
        </w:rPr>
        <w:t>，</w:t>
      </w:r>
      <w:r>
        <w:rPr>
          <w:rFonts w:hint="eastAsia" w:cs="Times New Roman"/>
          <w:sz w:val="28"/>
          <w:szCs w:val="24"/>
          <w:lang w:val="en-US" w:eastAsia="zh-CN"/>
        </w:rPr>
        <w:t>包括监管意图、建设规范、报送要求、报送频率和实现、报表填报范围、填报规则、口径分析、校验规则等。比对分析一表通与EAST、1104等在报表采集范围、字段填报要求方面的异同。</w:t>
      </w:r>
    </w:p>
    <w:p w14:paraId="50AE0F3E">
      <w:pPr>
        <w:pStyle w:val="16"/>
        <w:ind w:firstLine="560"/>
      </w:pPr>
      <w:r>
        <w:t>（1）</w:t>
      </w:r>
      <w:r>
        <w:rPr>
          <w:rFonts w:hint="eastAsia"/>
          <w:lang w:val="en-US" w:eastAsia="zh-CN"/>
        </w:rPr>
        <w:t>讲解</w:t>
      </w:r>
      <w:r>
        <w:rPr>
          <w:rFonts w:hint="eastAsia" w:ascii="Times New Roman" w:hAnsi="Times New Roman" w:eastAsia="仿宋" w:cs="Times New Roman"/>
          <w:sz w:val="28"/>
          <w:szCs w:val="24"/>
          <w:lang w:val="en-US" w:eastAsia="zh-CN"/>
        </w:rPr>
        <w:t>《银行机构监管报表“一表通”采集接口标准（2.0版本）》</w:t>
      </w:r>
      <w:r>
        <w:rPr>
          <w:rFonts w:hint="eastAsia" w:cs="Times New Roman"/>
          <w:sz w:val="28"/>
          <w:szCs w:val="24"/>
          <w:lang w:val="en-US" w:eastAsia="zh-CN"/>
        </w:rPr>
        <w:t>中</w:t>
      </w:r>
      <w:r>
        <w:rPr>
          <w:rFonts w:hint="eastAsia"/>
          <w:lang w:val="en-US" w:eastAsia="zh-CN"/>
        </w:rPr>
        <w:t>《贷款借据》、《存款协议》、《五级分类状态》</w:t>
      </w:r>
      <w:r>
        <w:rPr>
          <w:rFonts w:hint="eastAsia" w:cs="Times New Roman"/>
          <w:sz w:val="28"/>
          <w:szCs w:val="24"/>
          <w:lang w:val="en-US" w:eastAsia="zh-CN"/>
        </w:rPr>
        <w:t>表，包括监管意图、填报范围、填报规则、校验规则、报送频率及时限要求、关键数据项（讲解3-5个）的填报说明及注意点</w:t>
      </w:r>
      <w:r>
        <w:rPr>
          <w:rFonts w:hint="eastAsia"/>
          <w:lang w:eastAsia="zh-CN"/>
        </w:rPr>
        <w:t>；</w:t>
      </w:r>
    </w:p>
    <w:p w14:paraId="408BA0E1">
      <w:pPr>
        <w:pStyle w:val="16"/>
        <w:ind w:firstLine="560"/>
        <w:rPr>
          <w:rFonts w:hint="eastAsia"/>
        </w:rPr>
      </w:pPr>
      <w:r>
        <w:t>（2）</w:t>
      </w:r>
      <w:r>
        <w:rPr>
          <w:rFonts w:hint="eastAsia"/>
          <w:lang w:val="en-US" w:eastAsia="zh-CN"/>
        </w:rPr>
        <w:t>展示一表通与EAST、1104指标的异同分析成果，讲解一表通《贷款借据》、《存款协议》、《五级分类状态》与EAST、1104报表的异同关系</w:t>
      </w:r>
      <w:r>
        <w:rPr>
          <w:rFonts w:hint="eastAsia"/>
        </w:rPr>
        <w:t>；</w:t>
      </w:r>
    </w:p>
    <w:p w14:paraId="39746B13">
      <w:pPr>
        <w:pStyle w:val="16"/>
        <w:ind w:firstLine="560" w:firstLineChars="0"/>
        <w:rPr>
          <w:rFonts w:hint="default" w:cs="Times New Roman"/>
          <w:sz w:val="28"/>
          <w:szCs w:val="24"/>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讲解如何满足或实现</w:t>
      </w:r>
      <w:r>
        <w:rPr>
          <w:rFonts w:hint="eastAsia" w:ascii="Times New Roman" w:hAnsi="Times New Roman" w:cs="Times New Roman"/>
          <w:sz w:val="28"/>
          <w:szCs w:val="24"/>
          <w:lang w:val="en-US" w:eastAsia="zh-CN"/>
        </w:rPr>
        <w:t>《银行机构监管报表“一表通”可信区建设规范（2.0版）》</w:t>
      </w:r>
      <w:r>
        <w:rPr>
          <w:rFonts w:hint="eastAsia" w:cs="Times New Roman"/>
          <w:sz w:val="28"/>
          <w:szCs w:val="24"/>
          <w:lang w:val="en-US" w:eastAsia="zh-CN"/>
        </w:rPr>
        <w:t>第4章“4.3.1.2监管数据可信区”中关于“数据加载”、“数据检核”、“数据加工”的功能要求。</w:t>
      </w:r>
    </w:p>
    <w:p w14:paraId="47A7AC08">
      <w:pPr>
        <w:pStyle w:val="16"/>
        <w:ind w:firstLine="560"/>
      </w:pPr>
      <w:r>
        <w:rPr>
          <w:rFonts w:hint="eastAsia"/>
        </w:rPr>
        <w:t>关注要点：</w:t>
      </w:r>
    </w:p>
    <w:p w14:paraId="65ED1530">
      <w:pPr>
        <w:pStyle w:val="16"/>
        <w:ind w:firstLine="560"/>
        <w:rPr>
          <w:rFonts w:hint="default"/>
          <w:lang w:val="en-US" w:eastAsia="zh-CN"/>
        </w:rPr>
      </w:pPr>
      <w:r>
        <w:rPr>
          <w:rFonts w:hint="eastAsia"/>
        </w:rPr>
        <w:t>（1）</w:t>
      </w:r>
      <w:r>
        <w:rPr>
          <w:rFonts w:hint="eastAsia"/>
          <w:lang w:val="en-US" w:eastAsia="zh-CN"/>
        </w:rPr>
        <w:t>是否具备成熟的业务分析能力，如对监管采集规范的解读是否清晰准确无歧义、对可信区建设规范的解读是否到位等。</w:t>
      </w:r>
    </w:p>
    <w:p w14:paraId="181C247D">
      <w:pPr>
        <w:pStyle w:val="4"/>
      </w:pPr>
      <w:bookmarkStart w:id="80" w:name="_Toc15326"/>
      <w:bookmarkStart w:id="81" w:name="_Toc2168"/>
      <w:bookmarkStart w:id="82" w:name="_Toc4149"/>
      <w:bookmarkStart w:id="83" w:name="_Toc8691"/>
      <w:bookmarkStart w:id="84" w:name="_Toc3027"/>
      <w:r>
        <w:rPr>
          <w:rFonts w:hint="eastAsia"/>
          <w:lang w:val="en-US" w:eastAsia="zh-CN"/>
        </w:rPr>
        <w:t>数据质量管理与提升</w:t>
      </w:r>
      <w:bookmarkEnd w:id="80"/>
      <w:bookmarkEnd w:id="81"/>
      <w:bookmarkEnd w:id="82"/>
      <w:bookmarkEnd w:id="83"/>
      <w:bookmarkEnd w:id="84"/>
    </w:p>
    <w:p w14:paraId="0C873ECF">
      <w:pPr>
        <w:pStyle w:val="16"/>
        <w:ind w:firstLine="560"/>
        <w:rPr>
          <w:rFonts w:hint="default" w:ascii="仿宋" w:hAnsi="仿宋" w:cs="仿宋"/>
          <w:szCs w:val="28"/>
          <w:lang w:val="en-US" w:eastAsia="zh-CN"/>
        </w:rPr>
      </w:pPr>
      <w:r>
        <w:rPr>
          <w:rFonts w:hint="eastAsia" w:ascii="仿宋" w:hAnsi="仿宋" w:cs="仿宋"/>
          <w:szCs w:val="28"/>
          <w:lang w:val="en-US" w:eastAsia="zh-CN"/>
        </w:rPr>
        <w:t>一表通数据质量管理提升包括数据认责、数据质量问题闭环管理两个方面。</w:t>
      </w:r>
    </w:p>
    <w:p w14:paraId="09601446">
      <w:pPr>
        <w:pStyle w:val="16"/>
        <w:ind w:firstLine="560"/>
        <w:rPr>
          <w:rFonts w:ascii="仿宋" w:hAnsi="仿宋" w:cs="仿宋"/>
          <w:szCs w:val="28"/>
        </w:rPr>
      </w:pPr>
      <w:r>
        <w:rPr>
          <w:rFonts w:hint="eastAsia" w:ascii="仿宋" w:hAnsi="仿宋" w:cs="仿宋"/>
          <w:szCs w:val="28"/>
        </w:rPr>
        <w:t>（1）</w:t>
      </w:r>
      <w:r>
        <w:rPr>
          <w:rFonts w:hint="eastAsia" w:ascii="仿宋" w:hAnsi="仿宋" w:cs="仿宋"/>
          <w:szCs w:val="28"/>
          <w:lang w:val="en-US" w:eastAsia="zh-CN"/>
        </w:rPr>
        <w:t>简要讲解同业一表通数据认责成熟案例，展示数据认责过程产出物。以《贷款借据》表为例子，具体展开讲解数据认责从0到1的过程</w:t>
      </w:r>
      <w:r>
        <w:rPr>
          <w:rFonts w:hint="eastAsia" w:ascii="仿宋" w:hAnsi="仿宋" w:cs="仿宋"/>
          <w:szCs w:val="28"/>
        </w:rPr>
        <w:t>；</w:t>
      </w:r>
    </w:p>
    <w:p w14:paraId="137CCDC6">
      <w:pPr>
        <w:pStyle w:val="16"/>
        <w:ind w:firstLine="560"/>
        <w:rPr>
          <w:rFonts w:hint="eastAsia" w:ascii="仿宋" w:hAnsi="仿宋" w:cs="仿宋"/>
          <w:szCs w:val="28"/>
          <w:lang w:eastAsia="zh-CN"/>
        </w:rPr>
      </w:pPr>
      <w:r>
        <w:rPr>
          <w:rFonts w:hint="eastAsia" w:ascii="仿宋" w:hAnsi="仿宋" w:cs="仿宋"/>
          <w:szCs w:val="28"/>
        </w:rPr>
        <w:t>（2）</w:t>
      </w:r>
      <w:r>
        <w:rPr>
          <w:rFonts w:hint="eastAsia" w:ascii="仿宋" w:hAnsi="仿宋" w:cs="仿宋"/>
          <w:szCs w:val="28"/>
          <w:lang w:val="en-US" w:eastAsia="zh-CN"/>
        </w:rPr>
        <w:t>假设已完成一表通数据认责，其中《贷款借据》牵头部门为风险管理部、协办部门为授信管理部，演示报送平台如何配置该表的数据归属部门；</w:t>
      </w:r>
    </w:p>
    <w:p w14:paraId="29C0AC43">
      <w:pPr>
        <w:pStyle w:val="16"/>
        <w:ind w:firstLine="560"/>
        <w:rPr>
          <w:rFonts w:ascii="仿宋" w:hAnsi="仿宋" w:cs="仿宋"/>
          <w:szCs w:val="28"/>
        </w:rPr>
      </w:pPr>
      <w:r>
        <w:rPr>
          <w:rFonts w:hint="eastAsia" w:ascii="仿宋" w:hAnsi="仿宋" w:cs="仿宋"/>
          <w:szCs w:val="28"/>
          <w:lang w:eastAsia="zh-CN"/>
        </w:rPr>
        <w:t>（</w:t>
      </w:r>
      <w:r>
        <w:rPr>
          <w:rFonts w:hint="eastAsia" w:ascii="仿宋" w:hAnsi="仿宋" w:cs="仿宋"/>
          <w:szCs w:val="28"/>
          <w:lang w:val="en-US" w:eastAsia="zh-CN"/>
        </w:rPr>
        <w:t>3</w:t>
      </w:r>
      <w:r>
        <w:rPr>
          <w:rFonts w:hint="eastAsia" w:ascii="仿宋" w:hAnsi="仿宋" w:cs="仿宋"/>
          <w:szCs w:val="28"/>
          <w:lang w:eastAsia="zh-CN"/>
        </w:rPr>
        <w:t>）</w:t>
      </w:r>
      <w:r>
        <w:rPr>
          <w:rFonts w:hint="eastAsia" w:ascii="仿宋" w:hAnsi="仿宋" w:cs="仿宋"/>
          <w:szCs w:val="28"/>
          <w:lang w:val="en-US" w:eastAsia="zh-CN"/>
        </w:rPr>
        <w:t>演示或讲解一次《贷款借据》出现数据质量问题从发现到完成整改的闭环管理操作。</w:t>
      </w:r>
    </w:p>
    <w:p w14:paraId="52834D1D">
      <w:pPr>
        <w:pStyle w:val="16"/>
        <w:ind w:firstLine="560"/>
        <w:rPr>
          <w:rFonts w:ascii="仿宋" w:hAnsi="仿宋" w:cs="仿宋"/>
          <w:szCs w:val="28"/>
        </w:rPr>
      </w:pPr>
      <w:r>
        <w:rPr>
          <w:rFonts w:hint="eastAsia" w:ascii="仿宋" w:hAnsi="仿宋" w:cs="仿宋"/>
          <w:szCs w:val="28"/>
        </w:rPr>
        <w:t>关注要点：</w:t>
      </w:r>
    </w:p>
    <w:p w14:paraId="12322529">
      <w:pPr>
        <w:pStyle w:val="16"/>
        <w:ind w:firstLine="560"/>
        <w:rPr>
          <w:rFonts w:ascii="仿宋" w:hAnsi="仿宋" w:cs="仿宋"/>
          <w:szCs w:val="28"/>
        </w:rPr>
      </w:pPr>
      <w:r>
        <w:rPr>
          <w:rFonts w:hint="eastAsia" w:ascii="仿宋" w:hAnsi="仿宋" w:cs="仿宋"/>
          <w:szCs w:val="28"/>
        </w:rPr>
        <w:t>（1）</w:t>
      </w:r>
      <w:r>
        <w:rPr>
          <w:rFonts w:hint="eastAsia" w:ascii="仿宋" w:hAnsi="仿宋" w:cs="仿宋"/>
          <w:szCs w:val="28"/>
          <w:lang w:val="en-US" w:eastAsia="zh-CN"/>
        </w:rPr>
        <w:t>是否具备成熟可落地的数据认责方案，如是否从组织架构、认责原则、认责维度、认责流程等方面进行数据认责方案的制定</w:t>
      </w:r>
      <w:r>
        <w:rPr>
          <w:rFonts w:hint="eastAsia" w:ascii="仿宋" w:hAnsi="仿宋" w:cs="仿宋"/>
          <w:szCs w:val="28"/>
        </w:rPr>
        <w:t>；</w:t>
      </w:r>
    </w:p>
    <w:p w14:paraId="3F0414AA">
      <w:pPr>
        <w:pStyle w:val="16"/>
        <w:ind w:firstLine="560"/>
        <w:rPr>
          <w:rFonts w:hint="eastAsia" w:ascii="仿宋" w:hAnsi="仿宋" w:cs="仿宋"/>
          <w:szCs w:val="28"/>
          <w:lang w:val="en-US" w:eastAsia="zh-CN"/>
        </w:rPr>
      </w:pPr>
      <w:r>
        <w:rPr>
          <w:rFonts w:hint="eastAsia" w:ascii="仿宋" w:hAnsi="仿宋" w:cs="仿宋"/>
          <w:szCs w:val="28"/>
        </w:rPr>
        <w:t>（2）</w:t>
      </w:r>
      <w:r>
        <w:rPr>
          <w:rFonts w:hint="eastAsia" w:ascii="仿宋" w:hAnsi="仿宋" w:cs="仿宋"/>
          <w:szCs w:val="28"/>
          <w:lang w:val="en-US" w:eastAsia="zh-CN"/>
        </w:rPr>
        <w:t>报送平台是否支持通过配置实现报表归属部门的划分；</w:t>
      </w:r>
    </w:p>
    <w:p w14:paraId="1525AF78">
      <w:pPr>
        <w:pStyle w:val="16"/>
        <w:ind w:firstLine="560"/>
        <w:rPr>
          <w:rFonts w:ascii="仿宋" w:hAnsi="仿宋" w:cs="仿宋"/>
          <w:szCs w:val="28"/>
        </w:rPr>
      </w:pPr>
      <w:r>
        <w:rPr>
          <w:rFonts w:hint="eastAsia" w:ascii="仿宋" w:hAnsi="仿宋" w:cs="仿宋"/>
          <w:szCs w:val="28"/>
          <w:lang w:val="en-US" w:eastAsia="zh-CN"/>
        </w:rPr>
        <w:t>（3）是否具备完善的数据质量闭环管理功能，支持在线跟踪数据质量问题，在线生成完整的数据质量问题整改清单，支持在线查询或统计数据质量问题整改情况、整改进度、责任部门等。</w:t>
      </w:r>
    </w:p>
    <w:p w14:paraId="116D13A6">
      <w:pPr>
        <w:pStyle w:val="4"/>
      </w:pPr>
      <w:bookmarkStart w:id="85" w:name="_Toc5492"/>
      <w:bookmarkStart w:id="86" w:name="_Toc1856"/>
      <w:bookmarkStart w:id="87" w:name="_Toc10967"/>
      <w:bookmarkStart w:id="88" w:name="_Toc2265"/>
      <w:bookmarkStart w:id="89" w:name="_Toc31140"/>
      <w:r>
        <w:rPr>
          <w:rFonts w:hint="eastAsia"/>
          <w:lang w:val="en-US" w:eastAsia="zh-CN"/>
        </w:rPr>
        <w:t>报送区</w:t>
      </w:r>
      <w:bookmarkEnd w:id="85"/>
      <w:bookmarkEnd w:id="86"/>
      <w:bookmarkEnd w:id="87"/>
      <w:bookmarkEnd w:id="88"/>
      <w:r>
        <w:rPr>
          <w:rFonts w:hint="eastAsia"/>
          <w:lang w:val="en-US" w:eastAsia="zh-CN"/>
        </w:rPr>
        <w:t>产品功能</w:t>
      </w:r>
      <w:bookmarkEnd w:id="89"/>
    </w:p>
    <w:p w14:paraId="531E8741">
      <w:pPr>
        <w:pStyle w:val="16"/>
        <w:ind w:firstLine="560"/>
        <w:rPr>
          <w:rFonts w:hint="default" w:ascii="仿宋" w:hAnsi="仿宋" w:eastAsia="仿宋" w:cs="仿宋"/>
          <w:szCs w:val="28"/>
          <w:lang w:val="en-US" w:eastAsia="zh-CN"/>
        </w:rPr>
      </w:pPr>
      <w:r>
        <w:rPr>
          <w:rFonts w:hint="eastAsia" w:ascii="仿宋" w:hAnsi="仿宋" w:cs="仿宋"/>
          <w:szCs w:val="28"/>
          <w:lang w:val="en-US" w:eastAsia="zh-CN"/>
        </w:rPr>
        <w:t>一表通报送平台应具备完整的数据报送操作流程，从制度解读成果文件管理、数据采集、数据填报、数据校验、数据上报全流程便捷化操作及可配置化管理，支持配置全流程自动化报送。</w:t>
      </w:r>
    </w:p>
    <w:p w14:paraId="4FF8A231">
      <w:pPr>
        <w:pStyle w:val="16"/>
        <w:numPr>
          <w:ilvl w:val="0"/>
          <w:numId w:val="10"/>
        </w:numPr>
        <w:ind w:firstLine="560"/>
        <w:rPr>
          <w:rFonts w:hint="eastAsia" w:ascii="仿宋" w:hAnsi="仿宋" w:cs="仿宋"/>
          <w:szCs w:val="28"/>
          <w:lang w:val="en-US" w:eastAsia="zh-CN"/>
        </w:rPr>
      </w:pPr>
      <w:r>
        <w:rPr>
          <w:rFonts w:hint="eastAsia" w:ascii="仿宋" w:hAnsi="仿宋" w:cs="仿宋"/>
          <w:szCs w:val="28"/>
          <w:lang w:val="en-US" w:eastAsia="zh-CN"/>
        </w:rPr>
        <w:t>以</w:t>
      </w:r>
      <w:r>
        <w:rPr>
          <w:rFonts w:hint="eastAsia" w:ascii="仿宋" w:hAnsi="仿宋" w:cs="仿宋"/>
          <w:szCs w:val="28"/>
          <w:lang w:eastAsia="zh-CN"/>
        </w:rPr>
        <w:t>《</w:t>
      </w:r>
      <w:r>
        <w:rPr>
          <w:rFonts w:hint="eastAsia" w:ascii="仿宋" w:hAnsi="仿宋" w:cs="仿宋"/>
          <w:szCs w:val="28"/>
          <w:lang w:val="en-US" w:eastAsia="zh-CN"/>
        </w:rPr>
        <w:t>贷款借据</w:t>
      </w:r>
      <w:r>
        <w:rPr>
          <w:rFonts w:hint="eastAsia" w:ascii="仿宋" w:hAnsi="仿宋" w:cs="仿宋"/>
          <w:szCs w:val="28"/>
          <w:lang w:eastAsia="zh-CN"/>
        </w:rPr>
        <w:t>》</w:t>
      </w:r>
      <w:r>
        <w:rPr>
          <w:rFonts w:hint="eastAsia" w:ascii="仿宋" w:hAnsi="仿宋" w:cs="仿宋"/>
          <w:szCs w:val="28"/>
          <w:lang w:val="en-US" w:eastAsia="zh-CN"/>
        </w:rPr>
        <w:t>表为例，以总行风险管理部经办人A登录报送平台为例，分别演示从角色权限配置、数据采集、数据填报、数据校验、数据上报等全流程的界面人工操作流程，包括以下关键功能演示：</w:t>
      </w:r>
    </w:p>
    <w:p w14:paraId="6FC0EBA4">
      <w:pPr>
        <w:pStyle w:val="16"/>
        <w:numPr>
          <w:ilvl w:val="1"/>
          <w:numId w:val="10"/>
        </w:numPr>
        <w:ind w:left="420" w:firstLine="560"/>
        <w:rPr>
          <w:rFonts w:ascii="仿宋" w:hAnsi="仿宋" w:cs="仿宋"/>
          <w:szCs w:val="28"/>
        </w:rPr>
      </w:pPr>
      <w:r>
        <w:rPr>
          <w:rFonts w:hint="eastAsia" w:ascii="仿宋" w:hAnsi="仿宋" w:cs="仿宋"/>
          <w:szCs w:val="28"/>
          <w:lang w:val="en-US" w:eastAsia="zh-CN"/>
        </w:rPr>
        <w:t>演示如何给经办人A开通账号、新建角色、授权等，授予其《贷款借据》表查询、导入导出、填报、校验、审核、生成报文和报文上报等权限</w:t>
      </w:r>
      <w:r>
        <w:rPr>
          <w:rFonts w:hint="eastAsia" w:ascii="仿宋" w:hAnsi="仿宋" w:cs="仿宋"/>
          <w:szCs w:val="28"/>
        </w:rPr>
        <w:t>；</w:t>
      </w:r>
    </w:p>
    <w:p w14:paraId="733B80E3">
      <w:pPr>
        <w:pStyle w:val="16"/>
        <w:numPr>
          <w:ilvl w:val="1"/>
          <w:numId w:val="10"/>
        </w:numPr>
        <w:ind w:left="420" w:firstLine="560"/>
        <w:rPr>
          <w:rFonts w:ascii="仿宋" w:hAnsi="仿宋" w:cs="仿宋"/>
          <w:szCs w:val="28"/>
        </w:rPr>
      </w:pPr>
      <w:r>
        <w:rPr>
          <w:rFonts w:hint="eastAsia" w:ascii="仿宋" w:hAnsi="仿宋" w:cs="仿宋"/>
          <w:szCs w:val="28"/>
          <w:lang w:val="en-US" w:eastAsia="zh-CN"/>
        </w:rPr>
        <w:t>经办人A登录报送平台后，展示并讲解如何通过待办任务界面明确当期待处理的事项，支持报送人员登录报送平台后首页即可清晰展示当期所有待办任务；</w:t>
      </w:r>
    </w:p>
    <w:p w14:paraId="567AC5DF">
      <w:pPr>
        <w:pStyle w:val="16"/>
        <w:numPr>
          <w:ilvl w:val="1"/>
          <w:numId w:val="10"/>
        </w:numPr>
        <w:ind w:left="420" w:firstLine="560"/>
        <w:rPr>
          <w:rFonts w:ascii="仿宋" w:hAnsi="仿宋" w:cs="仿宋"/>
          <w:szCs w:val="28"/>
        </w:rPr>
      </w:pPr>
      <w:r>
        <w:rPr>
          <w:rFonts w:hint="eastAsia" w:ascii="仿宋" w:hAnsi="仿宋" w:cs="仿宋"/>
          <w:szCs w:val="28"/>
          <w:lang w:val="en-US" w:eastAsia="zh-CN"/>
        </w:rPr>
        <w:t>演示如何导入导出、增删改查数据；如何进行单行/多行数据校验；如何自定义配置新增校验规则；如何查看校验结果及校验未通过的数据明细；如何进行数据提交、数据审核、数据打回、生成报文、单表报文上报或重报等。</w:t>
      </w:r>
    </w:p>
    <w:p w14:paraId="24E28606">
      <w:pPr>
        <w:pStyle w:val="16"/>
        <w:numPr>
          <w:ilvl w:val="0"/>
          <w:numId w:val="10"/>
        </w:numPr>
        <w:ind w:firstLine="560"/>
        <w:rPr>
          <w:rFonts w:hint="eastAsia" w:ascii="仿宋" w:hAnsi="仿宋" w:cs="仿宋"/>
          <w:szCs w:val="28"/>
          <w:lang w:eastAsia="zh-CN"/>
        </w:rPr>
      </w:pPr>
      <w:r>
        <w:rPr>
          <w:rFonts w:hint="eastAsia" w:ascii="仿宋" w:hAnsi="仿宋" w:cs="仿宋"/>
          <w:szCs w:val="28"/>
          <w:lang w:val="en-US" w:eastAsia="zh-CN"/>
        </w:rPr>
        <w:t>演示如何配置《贷款借据》全流程自动化报送，并模拟演示一次全流程自动化报送过程</w:t>
      </w:r>
      <w:r>
        <w:rPr>
          <w:rFonts w:hint="eastAsia" w:ascii="仿宋" w:hAnsi="仿宋" w:cs="仿宋"/>
          <w:szCs w:val="28"/>
          <w:lang w:eastAsia="zh-CN"/>
        </w:rPr>
        <w:t>；</w:t>
      </w:r>
    </w:p>
    <w:p w14:paraId="4464D7F7">
      <w:pPr>
        <w:pStyle w:val="16"/>
        <w:numPr>
          <w:ilvl w:val="0"/>
          <w:numId w:val="10"/>
        </w:numPr>
        <w:ind w:firstLine="560" w:firstLineChars="200"/>
        <w:rPr>
          <w:rFonts w:hint="eastAsia" w:ascii="仿宋" w:hAnsi="仿宋" w:cs="仿宋"/>
          <w:szCs w:val="28"/>
          <w:lang w:val="en-US" w:eastAsia="zh-CN"/>
        </w:rPr>
      </w:pPr>
      <w:r>
        <w:rPr>
          <w:rFonts w:hint="eastAsia" w:ascii="仿宋" w:hAnsi="仿宋" w:cs="仿宋"/>
          <w:szCs w:val="28"/>
          <w:lang w:val="en-US" w:eastAsia="zh-CN"/>
        </w:rPr>
        <w:t>以EAST《对公信贷业务借据表》为例，演示如何配置实现一表通转EAST；</w:t>
      </w:r>
    </w:p>
    <w:p w14:paraId="0D5B4BD1">
      <w:pPr>
        <w:pStyle w:val="16"/>
        <w:numPr>
          <w:ilvl w:val="0"/>
          <w:numId w:val="10"/>
        </w:numPr>
        <w:ind w:firstLine="560" w:firstLineChars="200"/>
        <w:rPr>
          <w:rFonts w:ascii="仿宋" w:hAnsi="仿宋" w:cs="仿宋"/>
          <w:szCs w:val="28"/>
        </w:rPr>
      </w:pPr>
      <w:r>
        <w:rPr>
          <w:rFonts w:hint="eastAsia" w:ascii="仿宋" w:hAnsi="仿宋" w:cs="仿宋"/>
          <w:szCs w:val="28"/>
          <w:lang w:val="en-US" w:eastAsia="zh-CN"/>
        </w:rPr>
        <w:t>演示如何灵活设置推送至可信区的报表范围；</w:t>
      </w:r>
    </w:p>
    <w:p w14:paraId="02A444BE">
      <w:pPr>
        <w:pStyle w:val="16"/>
        <w:numPr>
          <w:ilvl w:val="0"/>
          <w:numId w:val="10"/>
        </w:numPr>
        <w:ind w:firstLine="560" w:firstLineChars="200"/>
        <w:rPr>
          <w:rFonts w:ascii="仿宋" w:hAnsi="仿宋" w:cs="仿宋"/>
          <w:szCs w:val="28"/>
        </w:rPr>
      </w:pPr>
      <w:r>
        <w:rPr>
          <w:rFonts w:hint="eastAsia" w:cs="Times New Roman"/>
          <w:sz w:val="28"/>
          <w:szCs w:val="24"/>
          <w:lang w:val="en-US" w:eastAsia="zh-CN"/>
        </w:rPr>
        <w:t>演示如何基于某个制度文件在线增删改查解读成果文档。</w:t>
      </w:r>
    </w:p>
    <w:p w14:paraId="02784A53">
      <w:pPr>
        <w:pStyle w:val="16"/>
        <w:ind w:firstLine="560"/>
        <w:rPr>
          <w:rFonts w:ascii="仿宋" w:hAnsi="仿宋" w:cs="仿宋"/>
          <w:szCs w:val="28"/>
        </w:rPr>
      </w:pPr>
      <w:r>
        <w:rPr>
          <w:rFonts w:hint="eastAsia" w:ascii="仿宋" w:hAnsi="仿宋" w:cs="仿宋"/>
          <w:szCs w:val="28"/>
        </w:rPr>
        <w:t>关注要点：</w:t>
      </w:r>
    </w:p>
    <w:p w14:paraId="171B78E4">
      <w:pPr>
        <w:pStyle w:val="16"/>
        <w:numPr>
          <w:ilvl w:val="0"/>
          <w:numId w:val="11"/>
        </w:numPr>
        <w:ind w:firstLine="840" w:firstLineChars="300"/>
        <w:rPr>
          <w:rFonts w:hint="eastAsia" w:ascii="仿宋" w:hAnsi="仿宋" w:cs="仿宋"/>
          <w:szCs w:val="28"/>
        </w:rPr>
      </w:pPr>
      <w:r>
        <w:rPr>
          <w:rFonts w:hint="eastAsia" w:ascii="仿宋" w:hAnsi="仿宋" w:cs="仿宋"/>
          <w:szCs w:val="28"/>
          <w:lang w:val="en-US" w:eastAsia="zh-CN"/>
        </w:rPr>
        <w:t>是否</w:t>
      </w:r>
      <w:r>
        <w:rPr>
          <w:rFonts w:hint="eastAsia" w:ascii="仿宋" w:hAnsi="仿宋" w:cs="仿宋"/>
          <w:szCs w:val="28"/>
        </w:rPr>
        <w:t>具备统一管理功能，可统一配置一表通报送平台管理端基础功能，包括用户、角色、机构、菜单、配置等管理功能，且支持总、分、支层级架构，支持自定义配置报送流程、报表任务、系统模块、功能权限、人员权限等</w:t>
      </w:r>
      <w:r>
        <w:rPr>
          <w:rFonts w:hint="eastAsia" w:ascii="仿宋" w:hAnsi="仿宋" w:cs="仿宋"/>
          <w:szCs w:val="28"/>
          <w:lang w:eastAsia="zh-CN"/>
        </w:rPr>
        <w:t>；</w:t>
      </w:r>
    </w:p>
    <w:p w14:paraId="2BD6D3F0">
      <w:pPr>
        <w:pStyle w:val="16"/>
        <w:numPr>
          <w:ilvl w:val="0"/>
          <w:numId w:val="11"/>
        </w:numPr>
        <w:ind w:firstLine="840" w:firstLineChars="300"/>
        <w:rPr>
          <w:rFonts w:hint="eastAsia" w:ascii="仿宋" w:hAnsi="仿宋" w:cs="仿宋"/>
          <w:szCs w:val="28"/>
          <w:highlight w:val="none"/>
        </w:rPr>
      </w:pPr>
      <w:r>
        <w:rPr>
          <w:rFonts w:hint="eastAsia" w:ascii="仿宋" w:hAnsi="仿宋" w:cs="仿宋"/>
          <w:szCs w:val="28"/>
          <w:highlight w:val="none"/>
          <w:lang w:val="en-US" w:eastAsia="zh-CN"/>
        </w:rPr>
        <w:t>是否具备完善的待办提醒功能,包括但不局限于存在哪些校验未通过的本部门归属报表、哪些校验问题差错率高、哪些校验问题是新增待处理的、哪些校验问题是可以暂不处理的等等</w:t>
      </w:r>
    </w:p>
    <w:p w14:paraId="690A5818">
      <w:pPr>
        <w:pStyle w:val="16"/>
        <w:numPr>
          <w:ilvl w:val="0"/>
          <w:numId w:val="11"/>
        </w:numPr>
        <w:ind w:firstLine="840" w:firstLineChars="300"/>
        <w:rPr>
          <w:rFonts w:hint="eastAsia" w:ascii="仿宋" w:hAnsi="仿宋" w:cs="仿宋"/>
          <w:szCs w:val="28"/>
          <w:lang w:eastAsia="zh-CN"/>
        </w:rPr>
      </w:pPr>
      <w:r>
        <w:rPr>
          <w:rFonts w:hint="eastAsia" w:ascii="仿宋" w:hAnsi="仿宋" w:cs="仿宋"/>
          <w:szCs w:val="28"/>
          <w:lang w:val="en-US" w:eastAsia="zh-CN"/>
        </w:rPr>
        <w:t>是否</w:t>
      </w:r>
      <w:r>
        <w:rPr>
          <w:rFonts w:hint="eastAsia" w:ascii="仿宋" w:hAnsi="仿宋" w:cs="仿宋"/>
          <w:szCs w:val="28"/>
        </w:rPr>
        <w:t>具备完善的报送管理功能，支持单表、多表、单行、多行数据导入导出</w:t>
      </w:r>
      <w:r>
        <w:rPr>
          <w:rFonts w:hint="eastAsia" w:ascii="仿宋" w:hAnsi="仿宋" w:cs="仿宋"/>
          <w:szCs w:val="28"/>
          <w:lang w:val="en-US" w:eastAsia="zh-CN"/>
        </w:rPr>
        <w:t>,</w:t>
      </w:r>
      <w:r>
        <w:rPr>
          <w:rFonts w:hint="eastAsia" w:ascii="仿宋" w:hAnsi="仿宋" w:cs="仿宋"/>
          <w:szCs w:val="28"/>
        </w:rPr>
        <w:t>支持单行/多行增删改查报表明细，</w:t>
      </w:r>
      <w:r>
        <w:rPr>
          <w:rFonts w:hint="eastAsia" w:ascii="仿宋" w:hAnsi="仿宋" w:cs="仿宋"/>
          <w:szCs w:val="28"/>
          <w:lang w:val="en-US" w:eastAsia="zh-CN"/>
        </w:rPr>
        <w:t>支持单表/多表数据校验、数据提交、数据审核、数据打回、报文生成、报文上报等</w:t>
      </w:r>
      <w:r>
        <w:rPr>
          <w:rFonts w:hint="eastAsia" w:ascii="仿宋" w:hAnsi="仿宋" w:cs="仿宋"/>
          <w:szCs w:val="28"/>
          <w:lang w:eastAsia="zh-CN"/>
        </w:rPr>
        <w:t>；</w:t>
      </w:r>
    </w:p>
    <w:p w14:paraId="723BC4CF">
      <w:pPr>
        <w:pStyle w:val="16"/>
        <w:numPr>
          <w:ilvl w:val="0"/>
          <w:numId w:val="11"/>
        </w:numPr>
        <w:ind w:firstLine="840" w:firstLineChars="300"/>
        <w:rPr>
          <w:rFonts w:hint="eastAsia" w:ascii="仿宋" w:hAnsi="仿宋" w:cs="仿宋"/>
          <w:szCs w:val="28"/>
          <w:lang w:eastAsia="zh-CN"/>
        </w:rPr>
      </w:pPr>
      <w:r>
        <w:rPr>
          <w:rFonts w:hint="eastAsia" w:ascii="仿宋" w:hAnsi="仿宋" w:cs="仿宋"/>
          <w:szCs w:val="28"/>
          <w:lang w:val="en-US" w:eastAsia="zh-CN"/>
        </w:rPr>
        <w:t>是否</w:t>
      </w:r>
      <w:r>
        <w:rPr>
          <w:rFonts w:hint="eastAsia" w:ascii="仿宋" w:hAnsi="仿宋" w:cs="仿宋"/>
          <w:szCs w:val="28"/>
          <w:lang w:eastAsia="zh-CN"/>
        </w:rPr>
        <w:t>具备完善的校验规则体系，包括但不限于五性校验、单表校验、多表校验、总分校验、跨系统校验等，支持自定义配置或SQL脚本新增校验规则；</w:t>
      </w:r>
    </w:p>
    <w:p w14:paraId="7E2FA8E4">
      <w:pPr>
        <w:pStyle w:val="16"/>
        <w:numPr>
          <w:ilvl w:val="0"/>
          <w:numId w:val="11"/>
        </w:numPr>
        <w:ind w:firstLine="840" w:firstLineChars="300"/>
        <w:rPr>
          <w:rFonts w:ascii="仿宋" w:hAnsi="仿宋" w:cs="仿宋"/>
          <w:szCs w:val="28"/>
        </w:rPr>
      </w:pPr>
      <w:r>
        <w:rPr>
          <w:rFonts w:hint="eastAsia" w:ascii="仿宋" w:hAnsi="仿宋" w:cs="仿宋"/>
          <w:szCs w:val="28"/>
          <w:lang w:val="en-US" w:eastAsia="zh-CN"/>
        </w:rPr>
        <w:t>是否支持可配置化报送全流程自动化，包括数据采集、数据填报、数据校验、数据审批、报文生成、数据上报等；</w:t>
      </w:r>
    </w:p>
    <w:p w14:paraId="1D46A522">
      <w:pPr>
        <w:pStyle w:val="16"/>
        <w:numPr>
          <w:ilvl w:val="0"/>
          <w:numId w:val="11"/>
        </w:numPr>
        <w:ind w:firstLine="840" w:firstLineChars="300"/>
        <w:rPr>
          <w:rFonts w:ascii="仿宋" w:hAnsi="仿宋" w:cs="仿宋"/>
          <w:szCs w:val="28"/>
        </w:rPr>
      </w:pPr>
      <w:r>
        <w:rPr>
          <w:rFonts w:hint="eastAsia" w:ascii="仿宋" w:hAnsi="仿宋" w:cs="仿宋"/>
          <w:szCs w:val="28"/>
          <w:lang w:val="en-US" w:eastAsia="zh-CN"/>
        </w:rPr>
        <w:t>是否具备灵活可配置的一表通转EAST、1104等的功能；</w:t>
      </w:r>
    </w:p>
    <w:p w14:paraId="5BC80ADF">
      <w:pPr>
        <w:pStyle w:val="16"/>
        <w:numPr>
          <w:ilvl w:val="0"/>
          <w:numId w:val="11"/>
        </w:numPr>
        <w:ind w:firstLine="840" w:firstLineChars="300"/>
        <w:rPr>
          <w:rFonts w:ascii="仿宋" w:hAnsi="仿宋" w:cs="仿宋"/>
          <w:szCs w:val="28"/>
        </w:rPr>
      </w:pPr>
      <w:r>
        <w:rPr>
          <w:rFonts w:hint="eastAsia" w:ascii="仿宋" w:hAnsi="仿宋" w:cs="仿宋"/>
          <w:szCs w:val="28"/>
          <w:lang w:val="en-US" w:eastAsia="zh-CN"/>
        </w:rPr>
        <w:tab/>
      </w:r>
      <w:r>
        <w:rPr>
          <w:rFonts w:hint="eastAsia" w:ascii="仿宋" w:hAnsi="仿宋" w:cs="仿宋"/>
          <w:szCs w:val="28"/>
          <w:lang w:val="en-US" w:eastAsia="zh-CN"/>
        </w:rPr>
        <w:t>是否具备完善的制度文档管理功能，如支持对</w:t>
      </w:r>
      <w:r>
        <w:rPr>
          <w:rFonts w:hint="eastAsia"/>
          <w:lang w:val="en-US" w:eastAsia="zh-CN"/>
        </w:rPr>
        <w:t>制度文件的多版本存储管理、支持在线查看更新制度解读成果文件、业务分析成果文件、口径分析文档等。</w:t>
      </w:r>
    </w:p>
    <w:p w14:paraId="2455FA1D">
      <w:pPr>
        <w:pStyle w:val="4"/>
      </w:pPr>
      <w:bookmarkStart w:id="90" w:name="_Toc32212"/>
      <w:bookmarkStart w:id="91" w:name="_Toc11472"/>
      <w:bookmarkStart w:id="92" w:name="_Toc6530"/>
      <w:bookmarkStart w:id="93" w:name="_Toc30706"/>
      <w:bookmarkStart w:id="94" w:name="_Toc25063"/>
      <w:r>
        <w:rPr>
          <w:rFonts w:hint="eastAsia"/>
          <w:lang w:val="en-US" w:eastAsia="zh-CN"/>
        </w:rPr>
        <w:t>可信区</w:t>
      </w:r>
      <w:bookmarkEnd w:id="90"/>
      <w:bookmarkEnd w:id="91"/>
      <w:bookmarkEnd w:id="92"/>
      <w:bookmarkEnd w:id="93"/>
      <w:r>
        <w:rPr>
          <w:rFonts w:hint="eastAsia"/>
          <w:lang w:val="en-US" w:eastAsia="zh-CN"/>
        </w:rPr>
        <w:t>产品功能</w:t>
      </w:r>
      <w:bookmarkEnd w:id="94"/>
    </w:p>
    <w:p w14:paraId="1168E0A3">
      <w:pPr>
        <w:pStyle w:val="16"/>
        <w:ind w:firstLine="560"/>
        <w:rPr>
          <w:rFonts w:ascii="仿宋" w:hAnsi="仿宋" w:cs="仿宋"/>
          <w:szCs w:val="28"/>
        </w:rPr>
      </w:pPr>
      <w:r>
        <w:rPr>
          <w:rFonts w:hint="eastAsia" w:ascii="仿宋" w:hAnsi="仿宋" w:cs="仿宋"/>
          <w:szCs w:val="28"/>
          <w:lang w:val="en-US" w:eastAsia="zh-CN"/>
        </w:rPr>
        <w:t>一表通可信区平台可视化界面，可监控资源层数据入库情况、穿透层报表及重点指标加工生成情况等等。可查询数据台账、操作日志、服务请求及响应日志等</w:t>
      </w:r>
    </w:p>
    <w:p w14:paraId="1E116981">
      <w:pPr>
        <w:pStyle w:val="16"/>
        <w:numPr>
          <w:ilvl w:val="0"/>
          <w:numId w:val="12"/>
        </w:numPr>
        <w:ind w:firstLine="560"/>
        <w:rPr>
          <w:rFonts w:hint="eastAsia" w:ascii="仿宋" w:hAnsi="仿宋" w:cs="仿宋"/>
          <w:szCs w:val="28"/>
          <w:lang w:val="en-US" w:eastAsia="zh-CN"/>
        </w:rPr>
      </w:pPr>
      <w:r>
        <w:rPr>
          <w:rFonts w:hint="eastAsia" w:ascii="仿宋" w:hAnsi="仿宋" w:cs="仿宋"/>
          <w:szCs w:val="28"/>
          <w:lang w:val="en-US" w:eastAsia="zh-CN"/>
        </w:rPr>
        <w:t>演示可信区从加载数据到完成报送的完整流程及相关操作，包括以下主要功能：</w:t>
      </w:r>
    </w:p>
    <w:p w14:paraId="7F7E863B">
      <w:pPr>
        <w:pStyle w:val="16"/>
        <w:numPr>
          <w:ilvl w:val="1"/>
          <w:numId w:val="12"/>
        </w:numPr>
        <w:ind w:left="420" w:firstLine="560"/>
        <w:rPr>
          <w:rFonts w:ascii="仿宋" w:hAnsi="仿宋" w:cs="仿宋"/>
          <w:szCs w:val="28"/>
        </w:rPr>
      </w:pPr>
      <w:r>
        <w:rPr>
          <w:rFonts w:hint="eastAsia" w:ascii="仿宋" w:hAnsi="仿宋" w:cs="仿宋"/>
          <w:szCs w:val="28"/>
          <w:lang w:val="en-US" w:eastAsia="zh-CN"/>
        </w:rPr>
        <w:t>展示报送监控界面，可查看到资源曾数据入库情况、</w:t>
      </w:r>
      <w:r>
        <w:rPr>
          <w:rFonts w:hint="eastAsia"/>
        </w:rPr>
        <w:t>穿透层数据加工情况、数据整改通知列表、资源层数据校验情况、计算任务执行情况、可信区服务接收情况</w:t>
      </w:r>
      <w:r>
        <w:rPr>
          <w:rFonts w:hint="eastAsia"/>
          <w:lang w:val="en-US" w:eastAsia="zh-CN"/>
        </w:rPr>
        <w:t>等</w:t>
      </w:r>
      <w:r>
        <w:rPr>
          <w:rFonts w:hint="eastAsia" w:ascii="仿宋" w:hAnsi="仿宋" w:cs="仿宋"/>
          <w:szCs w:val="28"/>
        </w:rPr>
        <w:t>；</w:t>
      </w:r>
      <w:r>
        <w:rPr>
          <w:rFonts w:hint="eastAsia" w:ascii="仿宋" w:hAnsi="仿宋" w:cs="仿宋"/>
          <w:szCs w:val="28"/>
          <w:lang w:val="en-US" w:eastAsia="zh-CN"/>
        </w:rPr>
        <w:t>数据拆分</w:t>
      </w:r>
    </w:p>
    <w:p w14:paraId="21BFDD25">
      <w:pPr>
        <w:pStyle w:val="16"/>
        <w:numPr>
          <w:ilvl w:val="1"/>
          <w:numId w:val="12"/>
        </w:numPr>
        <w:ind w:left="420" w:firstLine="560"/>
        <w:rPr>
          <w:rFonts w:ascii="仿宋" w:hAnsi="仿宋" w:cs="仿宋"/>
          <w:szCs w:val="28"/>
        </w:rPr>
      </w:pPr>
      <w:r>
        <w:rPr>
          <w:rFonts w:hint="eastAsia" w:ascii="仿宋" w:hAnsi="仿宋" w:cs="仿宋"/>
          <w:szCs w:val="28"/>
          <w:lang w:val="en-US" w:eastAsia="zh-CN"/>
        </w:rPr>
        <w:t>以1104报表中G0102的正常类贷款指标为例，演示如何配置生成该指标数据；如何手工执行校验，生成校验结果；如何完成上报；如何判断是否已成功报送；</w:t>
      </w:r>
    </w:p>
    <w:p w14:paraId="6373B258">
      <w:pPr>
        <w:pStyle w:val="16"/>
        <w:numPr>
          <w:ilvl w:val="0"/>
          <w:numId w:val="12"/>
        </w:numPr>
        <w:ind w:firstLine="560"/>
        <w:rPr>
          <w:rFonts w:hint="eastAsia" w:ascii="仿宋" w:hAnsi="仿宋" w:cs="仿宋"/>
          <w:szCs w:val="28"/>
          <w:lang w:val="en-US" w:eastAsia="zh-CN"/>
        </w:rPr>
      </w:pPr>
      <w:r>
        <w:rPr>
          <w:rFonts w:hint="eastAsia" w:ascii="仿宋" w:hAnsi="仿宋" w:cs="仿宋"/>
          <w:szCs w:val="28"/>
          <w:lang w:val="en-US" w:eastAsia="zh-CN"/>
        </w:rPr>
        <w:t>假设监管下发了一个查询服务请求（监管提供SQL语句），演示在可信区平台需要通过哪些操作来完成此次监管查询服务请求，包括：</w:t>
      </w:r>
    </w:p>
    <w:p w14:paraId="4D1C6030">
      <w:pPr>
        <w:pStyle w:val="16"/>
        <w:numPr>
          <w:ilvl w:val="1"/>
          <w:numId w:val="12"/>
        </w:numPr>
        <w:ind w:left="420" w:firstLine="560" w:firstLineChars="200"/>
        <w:rPr>
          <w:rFonts w:hint="default" w:ascii="仿宋" w:hAnsi="仿宋" w:cs="仿宋"/>
          <w:szCs w:val="28"/>
          <w:lang w:val="en-US" w:eastAsia="zh-CN"/>
        </w:rPr>
      </w:pPr>
      <w:r>
        <w:rPr>
          <w:rFonts w:hint="eastAsia" w:ascii="仿宋" w:hAnsi="仿宋" w:cs="仿宋"/>
          <w:szCs w:val="28"/>
          <w:lang w:val="en-US" w:eastAsia="zh-CN"/>
        </w:rPr>
        <w:t>演示如何查看并解析监管下发的查询服务请求的详细内容；</w:t>
      </w:r>
    </w:p>
    <w:p w14:paraId="649308AD">
      <w:pPr>
        <w:pStyle w:val="16"/>
        <w:numPr>
          <w:ilvl w:val="1"/>
          <w:numId w:val="12"/>
        </w:numPr>
        <w:ind w:left="420" w:firstLine="560" w:firstLineChars="200"/>
        <w:rPr>
          <w:rFonts w:hint="default" w:ascii="仿宋" w:hAnsi="仿宋" w:cs="仿宋"/>
          <w:szCs w:val="28"/>
          <w:lang w:val="en-US" w:eastAsia="zh-CN"/>
        </w:rPr>
      </w:pPr>
      <w:r>
        <w:rPr>
          <w:rFonts w:hint="eastAsia" w:ascii="仿宋" w:hAnsi="仿宋" w:cs="仿宋"/>
          <w:szCs w:val="28"/>
          <w:lang w:val="en-US" w:eastAsia="zh-CN"/>
        </w:rPr>
        <w:t>演示通过什么方式生成监管需求的数据；</w:t>
      </w:r>
    </w:p>
    <w:p w14:paraId="34000F9D">
      <w:pPr>
        <w:pStyle w:val="16"/>
        <w:numPr>
          <w:ilvl w:val="1"/>
          <w:numId w:val="12"/>
        </w:numPr>
        <w:ind w:left="420" w:firstLine="560"/>
        <w:rPr>
          <w:rFonts w:hint="eastAsia" w:ascii="仿宋" w:hAnsi="仿宋" w:cs="仿宋"/>
          <w:szCs w:val="28"/>
          <w:lang w:val="en-US" w:eastAsia="zh-CN"/>
        </w:rPr>
      </w:pPr>
      <w:r>
        <w:rPr>
          <w:rFonts w:hint="eastAsia" w:ascii="仿宋" w:hAnsi="仿宋" w:cs="仿宋"/>
          <w:szCs w:val="28"/>
          <w:lang w:val="en-US" w:eastAsia="zh-CN"/>
        </w:rPr>
        <w:t>演示如何将监管需求的数据上报给监管。</w:t>
      </w:r>
    </w:p>
    <w:p w14:paraId="797C8361">
      <w:pPr>
        <w:pStyle w:val="16"/>
        <w:numPr>
          <w:ilvl w:val="0"/>
          <w:numId w:val="12"/>
        </w:numPr>
        <w:ind w:firstLine="560"/>
        <w:rPr>
          <w:rFonts w:hint="eastAsia" w:ascii="仿宋" w:hAnsi="仿宋" w:cs="仿宋"/>
          <w:szCs w:val="28"/>
          <w:lang w:val="en-US" w:eastAsia="zh-CN"/>
        </w:rPr>
      </w:pPr>
      <w:r>
        <w:rPr>
          <w:rFonts w:hint="eastAsia" w:ascii="仿宋" w:hAnsi="仿宋" w:cs="仿宋"/>
          <w:szCs w:val="28"/>
          <w:lang w:val="en-US" w:eastAsia="zh-CN"/>
        </w:rPr>
        <w:t>演示如何通过查询日志记录，获悉监管近期动态；</w:t>
      </w:r>
    </w:p>
    <w:p w14:paraId="4818B2F9">
      <w:pPr>
        <w:pStyle w:val="16"/>
        <w:numPr>
          <w:ilvl w:val="0"/>
          <w:numId w:val="12"/>
        </w:numPr>
        <w:ind w:firstLine="560"/>
        <w:rPr>
          <w:rFonts w:hint="eastAsia" w:ascii="仿宋" w:hAnsi="仿宋" w:cs="仿宋"/>
          <w:szCs w:val="28"/>
          <w:lang w:val="en-US" w:eastAsia="zh-CN"/>
        </w:rPr>
      </w:pPr>
      <w:r>
        <w:rPr>
          <w:rFonts w:hint="eastAsia" w:ascii="仿宋" w:hAnsi="仿宋" w:cs="仿宋"/>
          <w:szCs w:val="28"/>
          <w:lang w:val="en-US" w:eastAsia="zh-CN"/>
        </w:rPr>
        <w:t>假设需分别报送广东、深圳、重庆、湖南地区一表通数据，演示如何配置实现数据拆分，完成多属地数据报送。</w:t>
      </w:r>
    </w:p>
    <w:p w14:paraId="2E93E0C2">
      <w:pPr>
        <w:pStyle w:val="16"/>
        <w:ind w:firstLine="560"/>
        <w:rPr>
          <w:rFonts w:ascii="仿宋" w:hAnsi="仿宋" w:cs="仿宋"/>
          <w:szCs w:val="28"/>
        </w:rPr>
      </w:pPr>
      <w:r>
        <w:rPr>
          <w:rFonts w:hint="eastAsia" w:ascii="仿宋" w:hAnsi="仿宋" w:cs="仿宋"/>
          <w:szCs w:val="28"/>
        </w:rPr>
        <w:t>关注要点：</w:t>
      </w:r>
    </w:p>
    <w:p w14:paraId="27842EE4">
      <w:pPr>
        <w:pStyle w:val="16"/>
        <w:ind w:firstLine="560"/>
        <w:rPr>
          <w:rFonts w:hint="eastAsia" w:ascii="仿宋" w:hAnsi="仿宋" w:cs="仿宋"/>
          <w:szCs w:val="28"/>
          <w:lang w:eastAsia="zh-CN"/>
        </w:rPr>
      </w:pPr>
      <w:r>
        <w:rPr>
          <w:rFonts w:hint="eastAsia" w:ascii="仿宋" w:hAnsi="仿宋" w:cs="仿宋"/>
          <w:szCs w:val="28"/>
          <w:lang w:eastAsia="zh-CN"/>
        </w:rPr>
        <w:t>（</w:t>
      </w:r>
      <w:r>
        <w:rPr>
          <w:rFonts w:hint="eastAsia" w:ascii="仿宋" w:hAnsi="仿宋" w:cs="仿宋"/>
          <w:szCs w:val="28"/>
          <w:lang w:val="en-US" w:eastAsia="zh-CN"/>
        </w:rPr>
        <w:t>1</w:t>
      </w:r>
      <w:r>
        <w:rPr>
          <w:rFonts w:hint="eastAsia" w:ascii="仿宋" w:hAnsi="仿宋" w:cs="仿宋"/>
          <w:szCs w:val="28"/>
          <w:lang w:eastAsia="zh-CN"/>
        </w:rPr>
        <w:t>）</w:t>
      </w:r>
      <w:r>
        <w:rPr>
          <w:rFonts w:hint="eastAsia" w:ascii="仿宋" w:hAnsi="仿宋" w:cs="仿宋"/>
          <w:szCs w:val="28"/>
          <w:lang w:val="en-US" w:eastAsia="zh-CN"/>
        </w:rPr>
        <w:t>是否支持通过可视化界面监控可信区，包括资源层数据入库情况、可信区作业跑批情况、数据校验情况、报表报送情况、服务请求响应情况、基础资源使用情况、异常告警情况等</w:t>
      </w:r>
      <w:r>
        <w:rPr>
          <w:rFonts w:hint="eastAsia" w:ascii="仿宋" w:hAnsi="仿宋" w:cs="仿宋"/>
          <w:szCs w:val="28"/>
          <w:lang w:eastAsia="zh-CN"/>
        </w:rPr>
        <w:t>；</w:t>
      </w:r>
    </w:p>
    <w:p w14:paraId="474E35AD">
      <w:pPr>
        <w:pStyle w:val="16"/>
        <w:numPr>
          <w:ilvl w:val="0"/>
          <w:numId w:val="13"/>
        </w:numPr>
        <w:ind w:firstLine="560"/>
        <w:rPr>
          <w:rFonts w:hint="eastAsia" w:ascii="仿宋" w:hAnsi="仿宋" w:cs="仿宋"/>
          <w:szCs w:val="28"/>
          <w:lang w:val="en-US" w:eastAsia="zh-CN"/>
        </w:rPr>
      </w:pPr>
      <w:r>
        <w:rPr>
          <w:rFonts w:hint="eastAsia" w:ascii="仿宋" w:hAnsi="仿宋" w:cs="仿宋"/>
          <w:szCs w:val="28"/>
          <w:lang w:val="en-US" w:eastAsia="zh-CN"/>
        </w:rPr>
        <w:t>是否</w:t>
      </w:r>
      <w:r>
        <w:rPr>
          <w:rFonts w:hint="eastAsia" w:ascii="仿宋" w:hAnsi="仿宋" w:cs="仿宋"/>
          <w:szCs w:val="28"/>
        </w:rPr>
        <w:t>具备完善的</w:t>
      </w:r>
      <w:r>
        <w:rPr>
          <w:rFonts w:hint="eastAsia" w:ascii="仿宋" w:hAnsi="仿宋" w:cs="仿宋"/>
          <w:szCs w:val="28"/>
          <w:lang w:val="en-US" w:eastAsia="zh-CN"/>
        </w:rPr>
        <w:t>数据处理</w:t>
      </w:r>
      <w:r>
        <w:rPr>
          <w:rFonts w:hint="eastAsia" w:ascii="仿宋" w:hAnsi="仿宋" w:cs="仿宋"/>
          <w:szCs w:val="28"/>
        </w:rPr>
        <w:t>功能，</w:t>
      </w:r>
      <w:r>
        <w:rPr>
          <w:rFonts w:hint="eastAsia" w:ascii="仿宋" w:hAnsi="仿宋" w:cs="仿宋"/>
          <w:szCs w:val="28"/>
          <w:lang w:val="en-US" w:eastAsia="zh-CN"/>
        </w:rPr>
        <w:t>支持通过配置实现加工逻辑部署；支持手工执行数据加工、校验、上报等操作、支持全自动完成数据加工、校验及上报；</w:t>
      </w:r>
    </w:p>
    <w:p w14:paraId="7959AF65">
      <w:pPr>
        <w:pStyle w:val="16"/>
        <w:numPr>
          <w:ilvl w:val="0"/>
          <w:numId w:val="13"/>
        </w:numPr>
        <w:ind w:firstLine="560"/>
        <w:rPr>
          <w:rFonts w:ascii="仿宋" w:hAnsi="仿宋" w:cs="仿宋"/>
          <w:szCs w:val="28"/>
        </w:rPr>
      </w:pPr>
      <w:r>
        <w:rPr>
          <w:rFonts w:hint="eastAsia" w:ascii="仿宋" w:hAnsi="仿宋" w:cs="仿宋"/>
          <w:szCs w:val="28"/>
          <w:lang w:val="en-US" w:eastAsia="zh-CN"/>
        </w:rPr>
        <w:t>是否具备完整高效的响应监管下发服务请求的功能；</w:t>
      </w:r>
    </w:p>
    <w:p w14:paraId="36E65C85">
      <w:pPr>
        <w:pStyle w:val="16"/>
        <w:numPr>
          <w:ilvl w:val="0"/>
          <w:numId w:val="13"/>
        </w:numPr>
        <w:ind w:firstLine="560"/>
        <w:rPr>
          <w:rFonts w:ascii="仿宋" w:hAnsi="仿宋" w:cs="仿宋"/>
          <w:szCs w:val="28"/>
        </w:rPr>
      </w:pPr>
      <w:r>
        <w:rPr>
          <w:rFonts w:hint="eastAsia" w:ascii="仿宋" w:hAnsi="仿宋" w:cs="仿宋"/>
          <w:szCs w:val="28"/>
          <w:lang w:val="en-US" w:eastAsia="zh-CN"/>
        </w:rPr>
        <w:t>是否具备通过灵活查询日志，全面获悉监管动态的功能，如通过日志获悉监管在可信区内的近期操作、取走了哪些数据或文件、下发了哪些服务等等；</w:t>
      </w:r>
    </w:p>
    <w:p w14:paraId="7A22360F">
      <w:pPr>
        <w:pStyle w:val="16"/>
        <w:numPr>
          <w:ilvl w:val="0"/>
          <w:numId w:val="13"/>
        </w:numPr>
        <w:ind w:firstLine="560"/>
        <w:rPr>
          <w:rFonts w:ascii="仿宋" w:hAnsi="仿宋" w:cs="仿宋"/>
          <w:szCs w:val="28"/>
        </w:rPr>
      </w:pPr>
      <w:r>
        <w:rPr>
          <w:rFonts w:hint="eastAsia" w:ascii="仿宋" w:hAnsi="仿宋" w:cs="仿宋"/>
          <w:szCs w:val="28"/>
          <w:lang w:val="en-US" w:eastAsia="zh-CN"/>
        </w:rPr>
        <w:t>是否具备灵活可配置的数据拆分功能。</w:t>
      </w:r>
    </w:p>
    <w:p w14:paraId="0D80D783">
      <w:pPr>
        <w:pStyle w:val="4"/>
      </w:pPr>
      <w:bookmarkStart w:id="95" w:name="_Toc5861"/>
      <w:bookmarkStart w:id="96" w:name="_Toc32678"/>
      <w:bookmarkStart w:id="97" w:name="_Toc10906"/>
      <w:bookmarkStart w:id="98" w:name="_Toc16749"/>
      <w:bookmarkStart w:id="99" w:name="_Toc25001"/>
      <w:r>
        <w:rPr>
          <w:rFonts w:hint="eastAsia"/>
          <w:lang w:val="en-US" w:eastAsia="zh-CN"/>
        </w:rPr>
        <w:t>EAST</w:t>
      </w:r>
      <w:bookmarkEnd w:id="95"/>
      <w:bookmarkEnd w:id="96"/>
      <w:bookmarkEnd w:id="97"/>
      <w:bookmarkEnd w:id="98"/>
      <w:r>
        <w:rPr>
          <w:rFonts w:hint="eastAsia"/>
          <w:lang w:val="en-US" w:eastAsia="zh-CN"/>
        </w:rPr>
        <w:t>产品功能</w:t>
      </w:r>
      <w:bookmarkEnd w:id="99"/>
    </w:p>
    <w:p w14:paraId="5F451576">
      <w:pPr>
        <w:pStyle w:val="16"/>
        <w:ind w:firstLine="560"/>
        <w:rPr>
          <w:rFonts w:hint="eastAsia" w:ascii="仿宋" w:hAnsi="仿宋" w:cs="仿宋"/>
          <w:szCs w:val="28"/>
        </w:rPr>
      </w:pPr>
      <w:r>
        <w:rPr>
          <w:rFonts w:hint="eastAsia" w:ascii="仿宋" w:hAnsi="仿宋" w:cs="仿宋"/>
          <w:szCs w:val="28"/>
          <w:lang w:val="en-US" w:eastAsia="zh-CN"/>
        </w:rPr>
        <w:t>一表通报送平台支持EAST报送，有完整的功能模块支持完成EAST数据采集、数据补录、数据填报、数据校验、报文生成、报文上报等操作任务；支持多属地报送；支持在线生成《数据清单》和《检核结果》</w:t>
      </w:r>
    </w:p>
    <w:p w14:paraId="27C58BA1">
      <w:pPr>
        <w:pStyle w:val="16"/>
        <w:numPr>
          <w:ilvl w:val="0"/>
          <w:numId w:val="14"/>
        </w:numPr>
        <w:ind w:firstLine="560"/>
        <w:rPr>
          <w:rFonts w:hint="eastAsia" w:ascii="仿宋" w:hAnsi="仿宋" w:cs="仿宋"/>
          <w:szCs w:val="28"/>
          <w:lang w:eastAsia="zh-CN"/>
        </w:rPr>
      </w:pPr>
      <w:r>
        <w:rPr>
          <w:rFonts w:hint="eastAsia" w:ascii="仿宋" w:hAnsi="仿宋" w:cs="仿宋"/>
          <w:szCs w:val="28"/>
          <w:lang w:val="en-US" w:eastAsia="zh-CN"/>
        </w:rPr>
        <w:t>以EAST《对公信贷业务借据表》为例，演示一次EAST从数据采集到完成上报的完整操作流程，包括</w:t>
      </w:r>
      <w:r>
        <w:rPr>
          <w:rFonts w:hint="eastAsia" w:ascii="仿宋" w:hAnsi="仿宋" w:cs="仿宋"/>
          <w:szCs w:val="28"/>
          <w:lang w:eastAsia="zh-CN"/>
        </w:rPr>
        <w:t>：</w:t>
      </w:r>
    </w:p>
    <w:p w14:paraId="2B55C121">
      <w:pPr>
        <w:pStyle w:val="16"/>
        <w:ind w:firstLine="560"/>
        <w:rPr>
          <w:rFonts w:ascii="仿宋" w:hAnsi="仿宋" w:cs="仿宋"/>
          <w:szCs w:val="28"/>
        </w:rPr>
      </w:pPr>
      <w:r>
        <w:rPr>
          <w:rFonts w:hint="eastAsia" w:ascii="仿宋" w:hAnsi="仿宋" w:cs="仿宋"/>
          <w:szCs w:val="28"/>
          <w:lang w:val="en-US" w:eastAsia="zh-CN"/>
        </w:rPr>
        <w:t>演示如何导入导出、增删改查数据；如何进行单行/多行数据校验；如何自定义配置新增校验规则；如何查看校验结果及校验未通过的数据明细；如何进行数据提交、数据审核、数据打回、生成报文、单表报文上报或重报等;</w:t>
      </w:r>
    </w:p>
    <w:p w14:paraId="661CBD4B">
      <w:pPr>
        <w:pStyle w:val="16"/>
        <w:ind w:firstLine="560"/>
        <w:rPr>
          <w:rFonts w:hint="eastAsia" w:ascii="仿宋" w:hAnsi="仿宋" w:cs="仿宋"/>
          <w:szCs w:val="28"/>
          <w:lang w:eastAsia="zh-CN"/>
        </w:rPr>
      </w:pPr>
      <w:r>
        <w:rPr>
          <w:rFonts w:hint="eastAsia" w:ascii="仿宋" w:hAnsi="仿宋" w:cs="仿宋"/>
          <w:szCs w:val="28"/>
        </w:rPr>
        <w:t>（</w:t>
      </w:r>
      <w:r>
        <w:rPr>
          <w:rFonts w:hint="eastAsia" w:ascii="仿宋" w:hAnsi="仿宋" w:cs="仿宋"/>
          <w:szCs w:val="28"/>
          <w:lang w:val="en-US" w:eastAsia="zh-CN"/>
        </w:rPr>
        <w:t>2</w:t>
      </w:r>
      <w:r>
        <w:rPr>
          <w:rFonts w:hint="eastAsia" w:ascii="仿宋" w:hAnsi="仿宋" w:cs="仿宋"/>
          <w:szCs w:val="28"/>
        </w:rPr>
        <w:t>）</w:t>
      </w:r>
      <w:r>
        <w:rPr>
          <w:rFonts w:hint="eastAsia" w:ascii="仿宋" w:hAnsi="仿宋" w:cs="仿宋"/>
          <w:szCs w:val="28"/>
          <w:lang w:val="en-US" w:eastAsia="zh-CN"/>
        </w:rPr>
        <w:t>演示如何生成广东地区《数据清单》和《检核结果》两份EAST常规报送材料</w:t>
      </w:r>
      <w:r>
        <w:rPr>
          <w:rFonts w:hint="eastAsia" w:ascii="仿宋" w:hAnsi="仿宋" w:cs="仿宋"/>
          <w:szCs w:val="28"/>
          <w:lang w:eastAsia="zh-CN"/>
        </w:rPr>
        <w:t>。</w:t>
      </w:r>
    </w:p>
    <w:p w14:paraId="15CEDEE0">
      <w:pPr>
        <w:pStyle w:val="16"/>
        <w:ind w:firstLine="560"/>
        <w:rPr>
          <w:rFonts w:ascii="仿宋" w:hAnsi="仿宋" w:cs="仿宋"/>
          <w:szCs w:val="28"/>
        </w:rPr>
      </w:pPr>
      <w:r>
        <w:rPr>
          <w:rFonts w:hint="eastAsia" w:ascii="仿宋" w:hAnsi="仿宋" w:cs="仿宋"/>
          <w:szCs w:val="28"/>
        </w:rPr>
        <w:t>关注要点：</w:t>
      </w:r>
    </w:p>
    <w:p w14:paraId="473ED09F">
      <w:pPr>
        <w:pStyle w:val="16"/>
        <w:ind w:firstLine="560"/>
        <w:rPr>
          <w:rFonts w:hint="eastAsia" w:ascii="仿宋" w:hAnsi="仿宋" w:cs="仿宋"/>
          <w:szCs w:val="28"/>
          <w:lang w:val="en-US" w:eastAsia="zh-CN"/>
        </w:rPr>
      </w:pPr>
      <w:r>
        <w:rPr>
          <w:rFonts w:hint="eastAsia" w:ascii="仿宋" w:hAnsi="仿宋" w:cs="仿宋"/>
          <w:szCs w:val="28"/>
        </w:rPr>
        <w:t>（1）</w:t>
      </w:r>
      <w:r>
        <w:rPr>
          <w:rFonts w:hint="eastAsia" w:ascii="仿宋" w:hAnsi="仿宋" w:cs="仿宋"/>
          <w:szCs w:val="28"/>
          <w:lang w:val="en-US" w:eastAsia="zh-CN"/>
        </w:rPr>
        <w:t>是否</w:t>
      </w:r>
      <w:r>
        <w:rPr>
          <w:rFonts w:hint="eastAsia" w:ascii="仿宋" w:hAnsi="仿宋" w:cs="仿宋"/>
          <w:szCs w:val="28"/>
        </w:rPr>
        <w:t>具备完善的报送管理功能，支持单表、多表、单行、多行数据导入导出</w:t>
      </w:r>
      <w:r>
        <w:rPr>
          <w:rFonts w:hint="eastAsia" w:ascii="仿宋" w:hAnsi="仿宋" w:cs="仿宋"/>
          <w:szCs w:val="28"/>
          <w:lang w:val="en-US" w:eastAsia="zh-CN"/>
        </w:rPr>
        <w:t>,</w:t>
      </w:r>
      <w:r>
        <w:rPr>
          <w:rFonts w:hint="eastAsia" w:ascii="仿宋" w:hAnsi="仿宋" w:cs="仿宋"/>
          <w:szCs w:val="28"/>
        </w:rPr>
        <w:t>支持单行/多行增删改查报表明细，</w:t>
      </w:r>
      <w:r>
        <w:rPr>
          <w:rFonts w:hint="eastAsia" w:ascii="仿宋" w:hAnsi="仿宋" w:cs="仿宋"/>
          <w:szCs w:val="28"/>
          <w:lang w:val="en-US" w:eastAsia="zh-CN"/>
        </w:rPr>
        <w:t>支持单表/多表数据校验、数据提交、数据审核、数据打回、报文生成、报文上报等</w:t>
      </w:r>
      <w:r>
        <w:rPr>
          <w:rFonts w:hint="eastAsia" w:ascii="仿宋" w:hAnsi="仿宋" w:cs="仿宋"/>
          <w:szCs w:val="28"/>
        </w:rPr>
        <w:t>；</w:t>
      </w:r>
    </w:p>
    <w:p w14:paraId="07174382">
      <w:pPr>
        <w:pStyle w:val="16"/>
        <w:ind w:firstLine="560"/>
      </w:pPr>
      <w:r>
        <w:rPr>
          <w:rFonts w:hint="eastAsia" w:ascii="仿宋" w:hAnsi="仿宋" w:cs="仿宋"/>
          <w:szCs w:val="28"/>
          <w:lang w:val="en-US" w:eastAsia="zh-CN"/>
        </w:rPr>
        <w:t>（2）是否支持在线生成《数据清单》和《检核结果》。</w:t>
      </w:r>
    </w:p>
    <w:p w14:paraId="467BA99F">
      <w:pPr>
        <w:pStyle w:val="16"/>
        <w:ind w:firstLine="560"/>
        <w:rPr>
          <w:rFonts w:hint="eastAsia" w:ascii="仿宋" w:hAnsi="仿宋" w:eastAsia="仿宋" w:cs="仿宋"/>
          <w:szCs w:val="28"/>
          <w:lang w:eastAsia="zh-CN"/>
        </w:rPr>
      </w:pPr>
    </w:p>
    <w:p w14:paraId="08428396">
      <w:pPr>
        <w:pStyle w:val="3"/>
        <w:rPr>
          <w:rFonts w:ascii="仿宋" w:hAnsi="仿宋" w:eastAsia="仿宋" w:cs="仿宋"/>
        </w:rPr>
      </w:pPr>
      <w:bookmarkStart w:id="100" w:name="_Toc1593"/>
      <w:bookmarkStart w:id="101" w:name="_Toc15158"/>
      <w:bookmarkStart w:id="102" w:name="_Toc29266"/>
      <w:bookmarkStart w:id="103" w:name="_Toc17638"/>
      <w:bookmarkStart w:id="104" w:name="_Toc4023"/>
      <w:r>
        <w:rPr>
          <w:rFonts w:hint="eastAsia" w:ascii="仿宋" w:hAnsi="仿宋" w:eastAsia="仿宋" w:cs="仿宋"/>
        </w:rPr>
        <w:t>技术方案评测</w:t>
      </w:r>
      <w:bookmarkEnd w:id="100"/>
      <w:bookmarkEnd w:id="101"/>
      <w:bookmarkEnd w:id="102"/>
      <w:bookmarkEnd w:id="103"/>
      <w:bookmarkEnd w:id="104"/>
    </w:p>
    <w:p w14:paraId="7ABEC94F">
      <w:pPr>
        <w:pStyle w:val="4"/>
      </w:pPr>
      <w:bookmarkStart w:id="105" w:name="_Toc14526"/>
      <w:bookmarkStart w:id="106" w:name="_Toc25168"/>
      <w:bookmarkStart w:id="107" w:name="_Toc26978"/>
      <w:bookmarkStart w:id="108" w:name="_Toc3756"/>
      <w:bookmarkStart w:id="109" w:name="_Toc22724"/>
      <w:r>
        <w:rPr>
          <w:rFonts w:hint="eastAsia"/>
        </w:rPr>
        <w:t>产品技术</w:t>
      </w:r>
      <w:r>
        <w:rPr>
          <w:rFonts w:hint="eastAsia"/>
          <w:lang w:val="en-US" w:eastAsia="zh-CN"/>
        </w:rPr>
        <w:t>架构</w:t>
      </w:r>
      <w:r>
        <w:rPr>
          <w:rFonts w:hint="eastAsia"/>
        </w:rPr>
        <w:t>能力</w:t>
      </w:r>
      <w:bookmarkEnd w:id="105"/>
      <w:bookmarkEnd w:id="106"/>
      <w:bookmarkEnd w:id="107"/>
      <w:bookmarkEnd w:id="108"/>
      <w:bookmarkEnd w:id="109"/>
    </w:p>
    <w:p w14:paraId="043DE845">
      <w:pPr>
        <w:pStyle w:val="16"/>
        <w:ind w:firstLine="560"/>
        <w:rPr>
          <w:b/>
          <w:bCs/>
        </w:rPr>
      </w:pPr>
      <w:r>
        <w:rPr>
          <w:rFonts w:hint="eastAsia" w:ascii="仿宋" w:hAnsi="仿宋" w:cs="仿宋"/>
          <w:szCs w:val="28"/>
        </w:rPr>
        <w:t>对</w:t>
      </w:r>
      <w:r>
        <w:rPr>
          <w:rFonts w:hint="eastAsia" w:ascii="仿宋" w:hAnsi="仿宋" w:cs="仿宋"/>
          <w:szCs w:val="28"/>
          <w:lang w:eastAsia="zh-CN"/>
        </w:rPr>
        <w:t>投标人</w:t>
      </w:r>
      <w:r>
        <w:rPr>
          <w:rFonts w:hint="eastAsia" w:ascii="仿宋" w:hAnsi="仿宋" w:cs="仿宋"/>
          <w:szCs w:val="28"/>
        </w:rPr>
        <w:t>产品的技术能力，包括平台扩展性、可管理可运维等方面进行测评，考察产品非功能需求满足度。</w:t>
      </w:r>
    </w:p>
    <w:p w14:paraId="56044940">
      <w:pPr>
        <w:pStyle w:val="16"/>
        <w:ind w:firstLine="560"/>
        <w:rPr>
          <w:rFonts w:ascii="仿宋" w:hAnsi="仿宋" w:cs="仿宋"/>
          <w:szCs w:val="28"/>
        </w:rPr>
      </w:pPr>
      <w:r>
        <w:rPr>
          <w:rFonts w:hint="eastAsia" w:ascii="仿宋" w:hAnsi="仿宋" w:cs="仿宋"/>
          <w:szCs w:val="28"/>
        </w:rPr>
        <w:t>（1）开放性评测：基于主流技术搭建，技术自主可控。</w:t>
      </w:r>
    </w:p>
    <w:p w14:paraId="7D7B0033">
      <w:pPr>
        <w:pStyle w:val="16"/>
        <w:ind w:firstLine="560"/>
        <w:rPr>
          <w:rFonts w:ascii="仿宋" w:hAnsi="仿宋" w:cs="仿宋"/>
          <w:szCs w:val="28"/>
        </w:rPr>
      </w:pPr>
      <w:r>
        <w:rPr>
          <w:rFonts w:hint="eastAsia" w:ascii="仿宋" w:hAnsi="仿宋" w:cs="仿宋"/>
          <w:szCs w:val="28"/>
        </w:rPr>
        <w:t>（2）信创要求：系统支持信创部署，需支持主流的信创服务器、信创操作系统、信创数据库和信创中间件；</w:t>
      </w:r>
    </w:p>
    <w:p w14:paraId="72C3B091">
      <w:pPr>
        <w:pStyle w:val="16"/>
        <w:ind w:firstLine="560"/>
        <w:rPr>
          <w:rFonts w:ascii="仿宋" w:hAnsi="仿宋" w:cs="仿宋"/>
          <w:szCs w:val="28"/>
        </w:rPr>
      </w:pPr>
      <w:r>
        <w:rPr>
          <w:rFonts w:hint="eastAsia" w:ascii="仿宋" w:hAnsi="仿宋" w:cs="仿宋"/>
          <w:szCs w:val="28"/>
        </w:rPr>
        <w:t>（3）可扩展性：整体技术架构和功能具有持续支撑</w:t>
      </w:r>
      <w:r>
        <w:rPr>
          <w:rFonts w:hint="eastAsia" w:ascii="仿宋" w:hAnsi="仿宋" w:cs="仿宋"/>
          <w:szCs w:val="28"/>
          <w:lang w:val="en-US" w:eastAsia="zh-CN"/>
        </w:rPr>
        <w:t>一表通</w:t>
      </w:r>
      <w:r>
        <w:rPr>
          <w:rFonts w:hint="eastAsia" w:ascii="仿宋" w:hAnsi="仿宋" w:cs="仿宋"/>
          <w:szCs w:val="28"/>
        </w:rPr>
        <w:t>系统建设能力，如能持续支持扩展建设</w:t>
      </w:r>
      <w:r>
        <w:rPr>
          <w:rFonts w:hint="eastAsia" w:ascii="仿宋" w:hAnsi="仿宋" w:cs="仿宋"/>
          <w:szCs w:val="28"/>
          <w:lang w:val="en-US" w:eastAsia="zh-CN"/>
        </w:rPr>
        <w:t>EAST或其他报送模块</w:t>
      </w:r>
      <w:r>
        <w:rPr>
          <w:rFonts w:hint="eastAsia" w:ascii="仿宋" w:hAnsi="仿宋" w:cs="仿宋"/>
          <w:szCs w:val="28"/>
        </w:rPr>
        <w:t>相关功能。</w:t>
      </w:r>
    </w:p>
    <w:p w14:paraId="4F30AA01">
      <w:pPr>
        <w:pStyle w:val="4"/>
        <w:rPr>
          <w:rFonts w:hint="default"/>
          <w:lang w:val="en-US" w:eastAsia="zh-CN"/>
        </w:rPr>
      </w:pPr>
      <w:bookmarkStart w:id="110" w:name="_Toc12935"/>
      <w:r>
        <w:rPr>
          <w:rFonts w:hint="eastAsia" w:ascii="仿宋" w:hAnsi="仿宋" w:cs="仿宋"/>
          <w:szCs w:val="28"/>
          <w:lang w:val="en-US" w:eastAsia="zh-CN"/>
        </w:rPr>
        <w:t>产品运维管理能力</w:t>
      </w:r>
      <w:bookmarkEnd w:id="110"/>
    </w:p>
    <w:p w14:paraId="266822D8">
      <w:pPr>
        <w:pStyle w:val="16"/>
        <w:ind w:firstLine="560"/>
        <w:rPr>
          <w:rFonts w:ascii="仿宋" w:hAnsi="仿宋" w:cs="仿宋"/>
          <w:szCs w:val="28"/>
        </w:rPr>
      </w:pPr>
      <w:r>
        <w:rPr>
          <w:rFonts w:hint="eastAsia" w:ascii="仿宋" w:hAnsi="仿宋" w:cs="仿宋"/>
          <w:szCs w:val="28"/>
        </w:rPr>
        <w:t>（</w:t>
      </w:r>
      <w:r>
        <w:rPr>
          <w:rFonts w:hint="eastAsia" w:ascii="仿宋" w:hAnsi="仿宋" w:cs="仿宋"/>
          <w:szCs w:val="28"/>
          <w:lang w:val="en-US" w:eastAsia="zh-CN"/>
        </w:rPr>
        <w:t>1</w:t>
      </w:r>
      <w:r>
        <w:rPr>
          <w:rFonts w:hint="eastAsia" w:ascii="仿宋" w:hAnsi="仿宋" w:cs="仿宋"/>
          <w:szCs w:val="28"/>
        </w:rPr>
        <w:t>）可管理测评：系统支持运行维护监控，包括系统运行情况、用户操作日志、微服务体系内中间件、应用服务器等进行监控；</w:t>
      </w:r>
    </w:p>
    <w:p w14:paraId="31A3A97E">
      <w:pPr>
        <w:pStyle w:val="16"/>
        <w:ind w:firstLine="560"/>
        <w:rPr>
          <w:rFonts w:ascii="仿宋" w:hAnsi="仿宋" w:cs="仿宋"/>
          <w:szCs w:val="28"/>
        </w:rPr>
      </w:pPr>
      <w:r>
        <w:rPr>
          <w:rFonts w:hint="eastAsia" w:ascii="仿宋" w:hAnsi="仿宋" w:cs="仿宋"/>
          <w:szCs w:val="28"/>
        </w:rPr>
        <w:t>（</w:t>
      </w:r>
      <w:r>
        <w:rPr>
          <w:rFonts w:hint="eastAsia" w:ascii="仿宋" w:hAnsi="仿宋" w:cs="仿宋"/>
          <w:szCs w:val="28"/>
          <w:lang w:val="en-US" w:eastAsia="zh-CN"/>
        </w:rPr>
        <w:t>2</w:t>
      </w:r>
      <w:r>
        <w:rPr>
          <w:rFonts w:hint="eastAsia" w:ascii="仿宋" w:hAnsi="仿宋" w:cs="仿宋"/>
          <w:szCs w:val="28"/>
        </w:rPr>
        <w:t>）运维灵活性：系统需支持快速</w:t>
      </w:r>
      <w:r>
        <w:rPr>
          <w:rFonts w:hint="eastAsia" w:ascii="仿宋" w:hAnsi="仿宋" w:cs="仿宋"/>
          <w:szCs w:val="28"/>
          <w:lang w:val="en-US" w:eastAsia="zh-CN"/>
        </w:rPr>
        <w:t>导入校验规则</w:t>
      </w:r>
      <w:r>
        <w:rPr>
          <w:rFonts w:hint="eastAsia" w:ascii="仿宋" w:hAnsi="仿宋" w:cs="仿宋"/>
          <w:szCs w:val="28"/>
        </w:rPr>
        <w:t>，并可通过配置，实现</w:t>
      </w:r>
      <w:r>
        <w:rPr>
          <w:rFonts w:hint="eastAsia" w:ascii="仿宋" w:hAnsi="仿宋" w:cs="仿宋"/>
          <w:szCs w:val="28"/>
          <w:lang w:val="en-US" w:eastAsia="zh-CN"/>
        </w:rPr>
        <w:t>数据补录、校验规则配置、数据审批等功能变更</w:t>
      </w:r>
      <w:r>
        <w:rPr>
          <w:rFonts w:hint="eastAsia" w:ascii="仿宋" w:hAnsi="仿宋" w:cs="仿宋"/>
          <w:szCs w:val="28"/>
        </w:rPr>
        <w:t>。</w:t>
      </w:r>
    </w:p>
    <w:p w14:paraId="62AA5064">
      <w:pPr>
        <w:pStyle w:val="16"/>
        <w:ind w:firstLine="560"/>
        <w:rPr>
          <w:rFonts w:hint="default"/>
          <w:lang w:val="en-US" w:eastAsia="zh-CN"/>
        </w:rPr>
      </w:pPr>
      <w:r>
        <w:rPr>
          <w:rFonts w:hint="eastAsia" w:ascii="仿宋" w:hAnsi="仿宋" w:cs="仿宋"/>
          <w:szCs w:val="28"/>
        </w:rPr>
        <w:t>（</w:t>
      </w:r>
      <w:r>
        <w:rPr>
          <w:rFonts w:hint="eastAsia" w:ascii="仿宋" w:hAnsi="仿宋" w:cs="仿宋"/>
          <w:szCs w:val="28"/>
          <w:lang w:val="en-US" w:eastAsia="zh-CN"/>
        </w:rPr>
        <w:t>3</w:t>
      </w:r>
      <w:r>
        <w:rPr>
          <w:rFonts w:hint="eastAsia" w:ascii="仿宋" w:hAnsi="仿宋" w:cs="仿宋"/>
          <w:szCs w:val="28"/>
        </w:rPr>
        <w:t>）数据安全：系统支持对敏感信息的加密，支持对客户信息诸如联系方式等敏感信息进行加密存储、脱敏展示。</w:t>
      </w:r>
    </w:p>
    <w:p w14:paraId="4A2982A6">
      <w:pPr>
        <w:pStyle w:val="16"/>
        <w:ind w:firstLine="560"/>
        <w:rPr>
          <w:rFonts w:hint="eastAsia" w:ascii="仿宋" w:hAnsi="仿宋" w:eastAsia="仿宋" w:cs="仿宋"/>
          <w:sz w:val="28"/>
          <w:szCs w:val="28"/>
          <w:lang w:val="en-US" w:eastAsia="zh-CN"/>
        </w:rPr>
      </w:pPr>
      <w:r>
        <w:rPr>
          <w:rFonts w:hint="eastAsia" w:ascii="仿宋" w:hAnsi="仿宋" w:cs="仿宋"/>
          <w:szCs w:val="28"/>
        </w:rPr>
        <w:t>（</w:t>
      </w:r>
      <w:r>
        <w:rPr>
          <w:rFonts w:hint="eastAsia" w:ascii="仿宋" w:hAnsi="仿宋" w:cs="仿宋"/>
          <w:szCs w:val="28"/>
          <w:lang w:val="en-US" w:eastAsia="zh-CN"/>
        </w:rPr>
        <w:t>4</w:t>
      </w:r>
      <w:r>
        <w:rPr>
          <w:rFonts w:hint="eastAsia" w:ascii="仿宋" w:hAnsi="仿宋" w:cs="仿宋"/>
          <w:szCs w:val="28"/>
        </w:rPr>
        <w:t>）</w:t>
      </w:r>
      <w:r>
        <w:rPr>
          <w:rFonts w:hint="eastAsia" w:ascii="仿宋" w:hAnsi="仿宋" w:cs="仿宋"/>
          <w:szCs w:val="28"/>
          <w:lang w:val="en-US" w:eastAsia="zh-CN"/>
        </w:rPr>
        <w:t>调度管理：一表通调度包括报送区调度和可信区调度。以一表通《贷款借据》表为例，演示产品调度功能的完备度，是否支持多种数据源配置、作业调度配置、作业报错重跑、作业跑批通知等可视化配置和管理功能。</w:t>
      </w:r>
    </w:p>
    <w:p w14:paraId="52472B60">
      <w:pPr>
        <w:pStyle w:val="4"/>
        <w:rPr>
          <w:rFonts w:hint="eastAsia" w:ascii="仿宋" w:hAnsi="仿宋" w:cs="仿宋"/>
          <w:bCs w:val="0"/>
          <w:szCs w:val="28"/>
          <w:lang w:val="en-US" w:eastAsia="zh-CN"/>
        </w:rPr>
      </w:pPr>
      <w:bookmarkStart w:id="111" w:name="_Toc31556"/>
      <w:r>
        <w:rPr>
          <w:rFonts w:hint="eastAsia" w:ascii="仿宋" w:hAnsi="仿宋" w:cs="仿宋"/>
          <w:szCs w:val="28"/>
          <w:lang w:val="en-US" w:eastAsia="zh-CN"/>
        </w:rPr>
        <w:t>产品性能方案</w:t>
      </w:r>
      <w:bookmarkEnd w:id="111"/>
    </w:p>
    <w:p w14:paraId="736A37A6">
      <w:pPr>
        <w:pStyle w:val="16"/>
        <w:numPr>
          <w:ilvl w:val="0"/>
          <w:numId w:val="0"/>
        </w:numPr>
        <w:ind w:firstLine="560"/>
        <w:rPr>
          <w:rFonts w:hint="eastAsia" w:ascii="仿宋" w:hAnsi="仿宋" w:eastAsia="仿宋" w:cs="仿宋"/>
          <w:sz w:val="28"/>
          <w:szCs w:val="28"/>
          <w:lang w:val="en-US" w:eastAsia="zh-CN"/>
        </w:rPr>
      </w:pPr>
      <w:r>
        <w:rPr>
          <w:rFonts w:hint="eastAsia" w:ascii="仿宋" w:hAnsi="仿宋" w:cs="仿宋"/>
          <w:sz w:val="28"/>
          <w:szCs w:val="28"/>
          <w:lang w:val="en-US" w:eastAsia="zh-CN"/>
        </w:rPr>
        <w:t>产品</w:t>
      </w:r>
      <w:r>
        <w:rPr>
          <w:rFonts w:hint="eastAsia" w:ascii="仿宋" w:hAnsi="仿宋" w:cs="仿宋"/>
          <w:sz w:val="28"/>
          <w:szCs w:val="28"/>
        </w:rPr>
        <w:t>的性能不但要满足南粤银行目前业务实际需要，并应充分考虑满足未来3到5年业务发展的要求</w:t>
      </w:r>
      <w:r>
        <w:rPr>
          <w:rFonts w:hint="eastAsia" w:ascii="仿宋" w:hAnsi="仿宋" w:cs="仿宋"/>
          <w:sz w:val="28"/>
          <w:szCs w:val="28"/>
          <w:lang w:eastAsia="zh-CN"/>
        </w:rPr>
        <w:t>。</w:t>
      </w:r>
      <w:r>
        <w:rPr>
          <w:rFonts w:hint="eastAsia" w:ascii="仿宋" w:hAnsi="仿宋" w:cs="仿宋"/>
          <w:sz w:val="28"/>
          <w:szCs w:val="28"/>
          <w:lang w:val="en-US" w:eastAsia="zh-CN"/>
        </w:rPr>
        <w:t>投标人介绍产品对数据加工、报表查询等</w:t>
      </w:r>
      <w:r>
        <w:rPr>
          <w:rFonts w:hint="eastAsia" w:ascii="仿宋" w:hAnsi="仿宋" w:cs="仿宋"/>
          <w:sz w:val="28"/>
          <w:szCs w:val="28"/>
        </w:rPr>
        <w:t>采</w:t>
      </w:r>
      <w:r>
        <w:rPr>
          <w:rFonts w:hint="eastAsia" w:ascii="仿宋" w:hAnsi="仿宋" w:cs="仿宋"/>
          <w:sz w:val="28"/>
          <w:szCs w:val="28"/>
          <w:lang w:val="en-US" w:eastAsia="zh-CN"/>
        </w:rPr>
        <w:t>用的</w:t>
      </w:r>
      <w:r>
        <w:rPr>
          <w:rFonts w:hint="eastAsia" w:ascii="仿宋" w:hAnsi="仿宋" w:cs="仿宋"/>
          <w:sz w:val="28"/>
          <w:szCs w:val="28"/>
        </w:rPr>
        <w:t>有效</w:t>
      </w:r>
      <w:r>
        <w:rPr>
          <w:rFonts w:hint="eastAsia" w:ascii="仿宋" w:hAnsi="仿宋" w:cs="仿宋"/>
          <w:sz w:val="28"/>
          <w:szCs w:val="28"/>
          <w:lang w:val="en-US" w:eastAsia="zh-CN"/>
        </w:rPr>
        <w:t>优化</w:t>
      </w:r>
      <w:r>
        <w:rPr>
          <w:rFonts w:hint="eastAsia" w:ascii="仿宋" w:hAnsi="仿宋" w:cs="仿宋"/>
          <w:sz w:val="28"/>
          <w:szCs w:val="28"/>
        </w:rPr>
        <w:t>手段</w:t>
      </w:r>
      <w:r>
        <w:rPr>
          <w:rFonts w:hint="eastAsia" w:ascii="仿宋" w:hAnsi="仿宋" w:cs="仿宋"/>
          <w:sz w:val="28"/>
          <w:szCs w:val="28"/>
          <w:lang w:eastAsia="zh-CN"/>
        </w:rPr>
        <w:t>，</w:t>
      </w:r>
      <w:r>
        <w:rPr>
          <w:rFonts w:hint="eastAsia" w:ascii="仿宋" w:hAnsi="仿宋" w:cs="仿宋"/>
          <w:sz w:val="28"/>
          <w:szCs w:val="28"/>
          <w:lang w:val="en-US" w:eastAsia="zh-CN"/>
        </w:rPr>
        <w:t>保证平台性能满足监管和业务需求。</w:t>
      </w:r>
    </w:p>
    <w:p w14:paraId="3B84AE6C">
      <w:pPr>
        <w:ind w:firstLine="420"/>
        <w:rPr>
          <w:rFonts w:hint="default" w:ascii="仿宋" w:hAnsi="仿宋" w:cs="仿宋"/>
          <w:szCs w:val="28"/>
          <w:lang w:val="en-US" w:eastAsia="zh-CN"/>
        </w:rPr>
      </w:pPr>
    </w:p>
    <w:p w14:paraId="4F4AD1A8">
      <w:pPr>
        <w:pStyle w:val="2"/>
      </w:pPr>
      <w:bookmarkStart w:id="112" w:name="_Toc181"/>
      <w:bookmarkStart w:id="113" w:name="_Toc28671"/>
      <w:bookmarkStart w:id="114" w:name="_Toc12318"/>
      <w:bookmarkStart w:id="115" w:name="_Toc24281"/>
      <w:bookmarkStart w:id="116" w:name="_Toc20699"/>
      <w:r>
        <w:rPr>
          <w:rFonts w:hint="eastAsia"/>
        </w:rPr>
        <w:t>评分规则</w:t>
      </w:r>
      <w:bookmarkEnd w:id="112"/>
      <w:bookmarkEnd w:id="113"/>
      <w:bookmarkEnd w:id="114"/>
      <w:bookmarkEnd w:id="115"/>
      <w:bookmarkEnd w:id="116"/>
    </w:p>
    <w:tbl>
      <w:tblPr>
        <w:tblStyle w:val="37"/>
        <w:tblpPr w:leftFromText="180" w:rightFromText="180" w:vertAnchor="text" w:horzAnchor="page" w:tblpX="1528" w:tblpY="319"/>
        <w:tblOverlap w:val="never"/>
        <w:tblW w:w="9089" w:type="dxa"/>
        <w:tblInd w:w="0" w:type="dxa"/>
        <w:tblLayout w:type="fixed"/>
        <w:tblCellMar>
          <w:top w:w="0" w:type="dxa"/>
          <w:left w:w="108" w:type="dxa"/>
          <w:bottom w:w="0" w:type="dxa"/>
          <w:right w:w="108" w:type="dxa"/>
        </w:tblCellMar>
      </w:tblPr>
      <w:tblGrid>
        <w:gridCol w:w="476"/>
        <w:gridCol w:w="1525"/>
        <w:gridCol w:w="7088"/>
      </w:tblGrid>
      <w:tr w14:paraId="246AE600">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045A0542">
            <w:pPr>
              <w:jc w:val="center"/>
              <w:rPr>
                <w:rFonts w:ascii="宋体" w:hAnsi="宋体" w:cs="宋体"/>
                <w:b/>
                <w:bCs/>
                <w:color w:val="000000"/>
                <w:kern w:val="0"/>
                <w:szCs w:val="21"/>
              </w:rPr>
            </w:pPr>
            <w:r>
              <w:rPr>
                <w:rFonts w:hint="eastAsia" w:ascii="宋体" w:hAnsi="宋体" w:cs="宋体"/>
                <w:b/>
                <w:bCs/>
                <w:color w:val="000000"/>
                <w:kern w:val="0"/>
                <w:szCs w:val="21"/>
              </w:rPr>
              <w:t>编号</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C8865AF">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测评项</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7B1A098">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评分规则</w:t>
            </w:r>
          </w:p>
        </w:tc>
      </w:tr>
      <w:tr w14:paraId="0BB9F42E">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34064E5D">
            <w:pPr>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1525" w:type="dxa"/>
            <w:tcBorders>
              <w:top w:val="single" w:color="auto" w:sz="4" w:space="0"/>
              <w:left w:val="nil"/>
              <w:bottom w:val="single" w:color="auto" w:sz="4" w:space="0"/>
              <w:right w:val="single" w:color="auto" w:sz="4" w:space="0"/>
            </w:tcBorders>
            <w:shd w:val="clear" w:color="auto" w:fill="auto"/>
            <w:vAlign w:val="center"/>
          </w:tcPr>
          <w:p w14:paraId="70F920BF">
            <w:pPr>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bidi="ar"/>
              </w:rPr>
              <w:t>业务方案</w:t>
            </w:r>
          </w:p>
        </w:tc>
        <w:tc>
          <w:tcPr>
            <w:tcW w:w="7088" w:type="dxa"/>
            <w:tcBorders>
              <w:top w:val="single" w:color="auto" w:sz="4" w:space="0"/>
              <w:left w:val="nil"/>
              <w:bottom w:val="single" w:color="auto" w:sz="4" w:space="0"/>
              <w:right w:val="single" w:color="auto" w:sz="4" w:space="0"/>
            </w:tcBorders>
            <w:shd w:val="clear" w:color="auto" w:fill="auto"/>
            <w:vAlign w:val="center"/>
          </w:tcPr>
          <w:p w14:paraId="699C5CD1">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针对投标人业务分析与数据质量提升能力进行评分，关键评分项如下：</w:t>
            </w:r>
          </w:p>
          <w:p w14:paraId="69D0E5CF">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1、具备成熟的业务分析能力，如对监管采集规范的解读是否清晰准确无歧义、对可信区建设规范的解读是否到位等；</w:t>
            </w:r>
          </w:p>
          <w:p w14:paraId="1EBEFF1A">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2、具备成熟可落地的数据认责方案，如是否从组织架构、认责原则、认责维度、认责流程等方面进行数据认责方案的制定；</w:t>
            </w:r>
          </w:p>
          <w:p w14:paraId="4745C909">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3、报送平台支持通过配置实现报表归属部门的划分；</w:t>
            </w:r>
          </w:p>
          <w:p w14:paraId="661F55DA">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4、具备完善的数据质量闭环管理功能，支持在线跟踪数据质量问题，在线生成完整的数据质量问题整改清单，支持在线查询或统计数据质量问题整改情况、整改进度、责任部门等。</w:t>
            </w:r>
          </w:p>
          <w:p w14:paraId="07EDACDB">
            <w:pPr>
              <w:numPr>
                <w:ilvl w:val="-1"/>
                <w:numId w:val="0"/>
              </w:numPr>
              <w:ind w:firstLine="210" w:firstLineChars="1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以上每满足1</w:t>
            </w:r>
            <w:r>
              <w:rPr>
                <w:rFonts w:hint="eastAsia" w:ascii="宋体" w:hAnsi="宋体" w:cs="宋体"/>
                <w:color w:val="000000"/>
                <w:kern w:val="0"/>
                <w:szCs w:val="21"/>
                <w:lang w:val="en-US" w:eastAsia="zh-CN" w:bidi="ar"/>
              </w:rPr>
              <w:t>项</w:t>
            </w:r>
            <w:r>
              <w:rPr>
                <w:rFonts w:hint="eastAsia" w:ascii="宋体" w:hAnsi="宋体" w:cs="宋体"/>
                <w:color w:val="000000"/>
                <w:kern w:val="0"/>
                <w:szCs w:val="21"/>
                <w:lang w:bidi="ar"/>
              </w:rPr>
              <w:t>得</w:t>
            </w:r>
            <w:r>
              <w:rPr>
                <w:rFonts w:hint="eastAsia" w:ascii="宋体" w:hAnsi="宋体" w:cs="宋体"/>
                <w:color w:val="000000"/>
                <w:kern w:val="0"/>
                <w:szCs w:val="21"/>
                <w:lang w:val="en-US" w:eastAsia="zh-CN" w:bidi="ar"/>
              </w:rPr>
              <w:t>0.5</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不满足或未完全满足的则该小项不得分）</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本项最高</w:t>
            </w:r>
            <w:r>
              <w:rPr>
                <w:rFonts w:hint="eastAsia" w:ascii="宋体" w:hAnsi="宋体" w:cs="宋体"/>
                <w:color w:val="000000"/>
                <w:kern w:val="0"/>
                <w:szCs w:val="21"/>
                <w:lang w:bidi="ar"/>
              </w:rPr>
              <w:t>得2分。</w:t>
            </w:r>
          </w:p>
          <w:p w14:paraId="6E1B6CA3">
            <w:pPr>
              <w:numPr>
                <w:ilvl w:val="-1"/>
                <w:numId w:val="0"/>
              </w:numPr>
              <w:ind w:firstLine="210" w:firstLineChars="100"/>
              <w:textAlignment w:val="center"/>
              <w:rPr>
                <w:rFonts w:ascii="宋体" w:hAnsi="宋体" w:cs="宋体"/>
                <w:color w:val="000000"/>
                <w:kern w:val="0"/>
                <w:szCs w:val="21"/>
                <w:lang w:bidi="ar"/>
              </w:rPr>
            </w:pPr>
          </w:p>
          <w:p w14:paraId="7B306059">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针对投标人一表通报送区产品的关键功能满足度进行评分，关键评分项如下：</w:t>
            </w:r>
          </w:p>
          <w:p w14:paraId="7F0DBF27">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具备统一管理功能，可统一配置一表通报送平台管理端基础功能，包括用户、角色、机构、菜单、配置等管理功能，且支持总、分、支层级架构，支持自定义配置报送流程、报表任务、系统模块、功能权限、人员权限等；</w:t>
            </w:r>
          </w:p>
          <w:p w14:paraId="2C298561">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2、具备完善的待办提醒功能,包括但不局限于存在哪些校验未通过的本部门归属报表、哪些校验问题差错率高、哪些校验问题是新增待处理的、哪些校验问题是可以暂不处理的等；</w:t>
            </w:r>
          </w:p>
          <w:p w14:paraId="5B7CB4CD">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3、具备完善的报送管理功能，支持单表、多表、单行、多行数据导入导出,支持单行/多行增删改查报表明细，支持单表/多表数据校验、数据提交、数据审核、数据打回、报文生成、报文上报等；</w:t>
            </w:r>
          </w:p>
          <w:p w14:paraId="286D0F94">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4、具备完善的校验规则体系，包括但不限于五性校验、单表校验、多表校验、总分校验、跨系统校验等，支持自定义配置或SQL脚本新增校验规则；</w:t>
            </w:r>
          </w:p>
          <w:p w14:paraId="64FF7E7A">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5、支持可配置化报送全流程自动化，包括数据采集、数据填报、数据校验、数据审批、报文生成、数据上报等；</w:t>
            </w:r>
          </w:p>
          <w:p w14:paraId="7BFE3D71">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6、具备灵活可配置的一表通转EAST、1104等的功能；</w:t>
            </w:r>
          </w:p>
          <w:p w14:paraId="4012042A">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7、具备完善的制度文档管理功能，如支持对制度文件的多版本存储管理、支持在线查看更新制度解读成果文件、业务分析成果文件、口径分析文档等。</w:t>
            </w:r>
          </w:p>
          <w:p w14:paraId="1CA0A8FA">
            <w:pPr>
              <w:numPr>
                <w:ilvl w:val="-1"/>
                <w:numId w:val="0"/>
              </w:numPr>
              <w:ind w:firstLine="210" w:firstLineChars="100"/>
              <w:textAlignment w:val="center"/>
              <w:rPr>
                <w:rFonts w:ascii="宋体" w:hAnsi="宋体" w:cs="宋体"/>
                <w:color w:val="000000"/>
                <w:kern w:val="0"/>
                <w:szCs w:val="21"/>
                <w:lang w:bidi="ar"/>
              </w:rPr>
            </w:pPr>
            <w:r>
              <w:rPr>
                <w:rFonts w:hint="eastAsia" w:ascii="宋体" w:hAnsi="宋体" w:eastAsia="宋体" w:cs="宋体"/>
                <w:color w:val="000000"/>
                <w:kern w:val="0"/>
                <w:sz w:val="21"/>
                <w:szCs w:val="21"/>
                <w:lang w:val="en-US" w:eastAsia="zh-CN" w:bidi="ar"/>
              </w:rPr>
              <w:t>全部满足得4分，满足任意五至六项得3分，满足任意三至四项得2分，满足一至两项得1分（不满足或未完全满足的则该小项不得分）；</w:t>
            </w:r>
          </w:p>
          <w:p w14:paraId="159DC4B9">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针对投标人一表通可信区产品的关键功能满足度进行评分，关键评分项如下：</w:t>
            </w:r>
          </w:p>
          <w:p w14:paraId="05AD8FBF">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1、支持通过可视化界面监控可信区，包括资源层数据入库情况、可信区作业跑批情况、数据校验情况、报表报送情况、服务请求响应情况、基础资源使用情况、异常告警情况等；</w:t>
            </w:r>
          </w:p>
          <w:p w14:paraId="0AF313AC">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2、具备完善的数据处理功能，支持通过配置实现加工逻辑部署；支持手工执行数据加工、校验、上报等操作、支持全自动完成数据加工、校验及上报；</w:t>
            </w:r>
          </w:p>
          <w:p w14:paraId="55736D0E">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3、具备完整高效的响应监管下发服务请求的功能；</w:t>
            </w:r>
          </w:p>
          <w:p w14:paraId="1F48CC5D">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4、具备通过灵活查询日志，全面获悉监管动态的功能，如通过日志获悉监管在可信区内的近期操作、取走了哪些数据或文件、下发了哪些服务等等；</w:t>
            </w:r>
          </w:p>
          <w:p w14:paraId="1A15AC12">
            <w:pPr>
              <w:numPr>
                <w:ilvl w:val="-1"/>
                <w:numId w:val="0"/>
              </w:numPr>
              <w:ind w:firstLine="210" w:firstLineChars="100"/>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5、具备灵活可配置的数据拆分功能。</w:t>
            </w:r>
          </w:p>
          <w:p w14:paraId="5FD4A445">
            <w:pPr>
              <w:numPr>
                <w:ilvl w:val="-1"/>
                <w:numId w:val="0"/>
              </w:numPr>
              <w:ind w:firstLine="210" w:firstLineChars="100"/>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 w:val="21"/>
                <w:szCs w:val="21"/>
                <w:lang w:val="en-US" w:eastAsia="zh-CN" w:bidi="ar"/>
              </w:rPr>
              <w:t>全部满足得3分，满足任意四项得2分，满足任意三项得1分（不满足或未完全满足的则该小项不得分）；</w:t>
            </w:r>
          </w:p>
          <w:p w14:paraId="78721DCD">
            <w:pP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针对投标人EAST报送模块的关键功能满足度进行评分，关键评分项如下：</w:t>
            </w:r>
          </w:p>
          <w:p w14:paraId="2E59E8F3">
            <w:pP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1、具备完善的报送管理功能，支持单表、多表、单行、多行数据导入导出,支持单行/多行增删改查报表明细，支持单表/多表数据校验、数据提交、数据审核、数据打回、报文生成、报文上报等；</w:t>
            </w:r>
          </w:p>
          <w:p w14:paraId="170C98B6">
            <w:pP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2、支持在线生成《数据清单》和《检核结果》。</w:t>
            </w:r>
          </w:p>
          <w:p w14:paraId="122026A2">
            <w:pP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 w:val="21"/>
                <w:szCs w:val="21"/>
                <w:lang w:val="en-US" w:eastAsia="zh-CN" w:bidi="ar"/>
              </w:rPr>
              <w:t>全部满足得1分，以上每满足1项得0.5分（不满足或未完全满足的则该小项不得分）；</w:t>
            </w:r>
          </w:p>
        </w:tc>
      </w:tr>
      <w:tr w14:paraId="73F7E1DB">
        <w:tblPrEx>
          <w:tblCellMar>
            <w:top w:w="0" w:type="dxa"/>
            <w:left w:w="108" w:type="dxa"/>
            <w:bottom w:w="0" w:type="dxa"/>
            <w:right w:w="108" w:type="dxa"/>
          </w:tblCellMar>
        </w:tblPrEx>
        <w:trPr>
          <w:trHeight w:val="557"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7D92F5F">
            <w:pPr>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1525" w:type="dxa"/>
            <w:tcBorders>
              <w:top w:val="nil"/>
              <w:left w:val="nil"/>
              <w:bottom w:val="single" w:color="auto" w:sz="4" w:space="0"/>
              <w:right w:val="single" w:color="auto" w:sz="4" w:space="0"/>
            </w:tcBorders>
            <w:shd w:val="clear" w:color="auto" w:fill="auto"/>
            <w:vAlign w:val="center"/>
          </w:tcPr>
          <w:p w14:paraId="61FB4539">
            <w:pPr>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bidi="ar"/>
              </w:rPr>
              <w:t>技术方案</w:t>
            </w:r>
          </w:p>
        </w:tc>
        <w:tc>
          <w:tcPr>
            <w:tcW w:w="7088" w:type="dxa"/>
            <w:tcBorders>
              <w:top w:val="nil"/>
              <w:left w:val="nil"/>
              <w:bottom w:val="single" w:color="auto" w:sz="4" w:space="0"/>
              <w:right w:val="single" w:color="auto" w:sz="4" w:space="0"/>
            </w:tcBorders>
            <w:shd w:val="clear" w:color="auto" w:fill="auto"/>
            <w:vAlign w:val="center"/>
          </w:tcPr>
          <w:p w14:paraId="09F2D3FA">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针对投标人产品技术架构能力进行评分，关键评分项如下：</w:t>
            </w:r>
          </w:p>
          <w:p w14:paraId="7F3DA7C1">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1、系统支持分布式架构部署，支持主流云平台，软硬件技术成熟可控、可维护，系统具备跨平台性；</w:t>
            </w:r>
          </w:p>
          <w:p w14:paraId="11F3CF7E">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2、系统支持信创全栈部署，支持主流的信创服务器、信创操作系统、信创数据库和信创中间件；</w:t>
            </w:r>
          </w:p>
          <w:p w14:paraId="7324B254">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3、整体技术架构和功能是否具有持续支撑一表通系统建设能力，如能持续支持扩展建设EAST或其他报送模块相关功能。</w:t>
            </w:r>
          </w:p>
          <w:p w14:paraId="309BF657">
            <w:pPr>
              <w:numPr>
                <w:ilvl w:val="0"/>
                <w:numId w:val="0"/>
              </w:numPr>
              <w:textAlignment w:val="center"/>
              <w:rPr>
                <w:rFonts w:ascii="宋体" w:hAnsi="宋体" w:cs="宋体"/>
                <w:color w:val="000000"/>
                <w:kern w:val="0"/>
                <w:szCs w:val="21"/>
                <w:lang w:bidi="ar"/>
              </w:rPr>
            </w:pPr>
            <w:r>
              <w:rPr>
                <w:rFonts w:hint="eastAsia" w:ascii="宋体" w:hAnsi="宋体" w:cs="宋体"/>
                <w:color w:val="000000"/>
                <w:kern w:val="0"/>
                <w:szCs w:val="21"/>
                <w:lang w:bidi="ar"/>
              </w:rPr>
              <w:t>全部满足得3分，以上每满足1</w:t>
            </w:r>
            <w:r>
              <w:rPr>
                <w:rFonts w:hint="eastAsia" w:ascii="宋体" w:hAnsi="宋体" w:cs="宋体"/>
                <w:color w:val="000000"/>
                <w:kern w:val="0"/>
                <w:szCs w:val="21"/>
                <w:lang w:val="en-US" w:eastAsia="zh-CN" w:bidi="ar"/>
              </w:rPr>
              <w:t>项</w:t>
            </w:r>
            <w:r>
              <w:rPr>
                <w:rFonts w:hint="eastAsia" w:ascii="宋体" w:hAnsi="宋体" w:cs="宋体"/>
                <w:color w:val="000000"/>
                <w:kern w:val="0"/>
                <w:szCs w:val="21"/>
                <w:lang w:bidi="ar"/>
              </w:rPr>
              <w:t>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不满足或未完全满足的则该小项不得分）</w:t>
            </w:r>
            <w:r>
              <w:rPr>
                <w:rFonts w:hint="eastAsia" w:ascii="宋体" w:hAnsi="宋体" w:cs="宋体"/>
                <w:color w:val="000000"/>
                <w:kern w:val="0"/>
                <w:szCs w:val="21"/>
                <w:lang w:bidi="ar"/>
              </w:rPr>
              <w:t>；</w:t>
            </w:r>
          </w:p>
          <w:p w14:paraId="417271C1">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针对投标人产品运维管理能力进行评分，关键评分项如下：</w:t>
            </w:r>
          </w:p>
          <w:p w14:paraId="72A93E4D">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1、系统支持运行维护监控，包括系统运行情况、用户操作日志、微服务体系内中间件、应用服务器等进行监控；</w:t>
            </w:r>
          </w:p>
          <w:p w14:paraId="38FBA190">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2、系统支持快速导入校验规则，并可通过配置，实现数据补录、校验规则配置、数据审批等功能变更；</w:t>
            </w:r>
          </w:p>
          <w:p w14:paraId="1804FD28">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3、系统支持对敏感信息的加密，支持对客户信息诸如联系方式等敏感信息进行加密存储、脱敏展示；</w:t>
            </w:r>
          </w:p>
          <w:p w14:paraId="75F90590">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4、一表通调度工具支持多种数据源配置、作业调度配置、作业报错重跑、作业跑批通知等可视化配置和管理功能。</w:t>
            </w:r>
          </w:p>
          <w:p w14:paraId="343C8EF1">
            <w:pPr>
              <w:numPr>
                <w:ilvl w:val="0"/>
                <w:numId w:val="0"/>
              </w:numPr>
              <w:textAlignment w:val="center"/>
              <w:rPr>
                <w:rFonts w:ascii="宋体" w:hAnsi="宋体" w:cs="宋体"/>
                <w:color w:val="000000"/>
                <w:kern w:val="0"/>
                <w:szCs w:val="21"/>
                <w:lang w:bidi="ar"/>
              </w:rPr>
            </w:pPr>
            <w:r>
              <w:rPr>
                <w:rFonts w:hint="eastAsia" w:ascii="宋体" w:hAnsi="宋体" w:cs="宋体"/>
                <w:color w:val="000000"/>
                <w:kern w:val="0"/>
                <w:szCs w:val="21"/>
                <w:lang w:bidi="ar"/>
              </w:rPr>
              <w:t>全部满足得5分，满足任意三</w:t>
            </w:r>
            <w:r>
              <w:rPr>
                <w:rFonts w:hint="eastAsia" w:ascii="宋体" w:hAnsi="宋体" w:cs="宋体"/>
                <w:color w:val="000000"/>
                <w:kern w:val="0"/>
                <w:szCs w:val="21"/>
                <w:lang w:val="en-US" w:eastAsia="zh-CN" w:bidi="ar"/>
              </w:rPr>
              <w:t>项</w:t>
            </w:r>
            <w:r>
              <w:rPr>
                <w:rFonts w:hint="eastAsia" w:ascii="宋体" w:hAnsi="宋体" w:cs="宋体"/>
                <w:color w:val="000000"/>
                <w:kern w:val="0"/>
                <w:szCs w:val="21"/>
                <w:lang w:bidi="ar"/>
              </w:rPr>
              <w:t>得4分，满足任意两</w:t>
            </w:r>
            <w:r>
              <w:rPr>
                <w:rFonts w:hint="eastAsia" w:ascii="宋体" w:hAnsi="宋体" w:cs="宋体"/>
                <w:color w:val="000000"/>
                <w:kern w:val="0"/>
                <w:szCs w:val="21"/>
                <w:lang w:val="en-US" w:eastAsia="zh-CN" w:bidi="ar"/>
              </w:rPr>
              <w:t>项</w:t>
            </w:r>
            <w:r>
              <w:rPr>
                <w:rFonts w:hint="eastAsia" w:ascii="宋体" w:hAnsi="宋体" w:cs="宋体"/>
                <w:color w:val="000000"/>
                <w:kern w:val="0"/>
                <w:szCs w:val="21"/>
                <w:lang w:bidi="ar"/>
              </w:rPr>
              <w:t>得3分，满足任意一</w:t>
            </w:r>
            <w:r>
              <w:rPr>
                <w:rFonts w:hint="eastAsia" w:ascii="宋体" w:hAnsi="宋体" w:cs="宋体"/>
                <w:color w:val="000000"/>
                <w:kern w:val="0"/>
                <w:szCs w:val="21"/>
                <w:lang w:val="en-US" w:eastAsia="zh-CN" w:bidi="ar"/>
              </w:rPr>
              <w:t>项</w:t>
            </w:r>
            <w:r>
              <w:rPr>
                <w:rFonts w:hint="eastAsia" w:ascii="宋体" w:hAnsi="宋体" w:cs="宋体"/>
                <w:color w:val="000000"/>
                <w:kern w:val="0"/>
                <w:szCs w:val="21"/>
                <w:lang w:bidi="ar"/>
              </w:rPr>
              <w:t>得1分，</w:t>
            </w:r>
            <w:r>
              <w:rPr>
                <w:rFonts w:hint="eastAsia" w:ascii="宋体" w:hAnsi="宋体" w:cs="宋体"/>
                <w:color w:val="000000"/>
                <w:kern w:val="0"/>
                <w:szCs w:val="21"/>
                <w:lang w:val="en-US" w:eastAsia="zh-CN" w:bidi="ar"/>
              </w:rPr>
              <w:t>不满足或未完全满足的则该小项不得分</w:t>
            </w:r>
            <w:r>
              <w:rPr>
                <w:rFonts w:hint="eastAsia" w:ascii="宋体" w:hAnsi="宋体" w:cs="宋体"/>
                <w:color w:val="000000"/>
                <w:kern w:val="0"/>
                <w:szCs w:val="21"/>
                <w:lang w:bidi="ar"/>
              </w:rPr>
              <w:t>；</w:t>
            </w:r>
          </w:p>
          <w:p w14:paraId="52CADF2A">
            <w:pPr>
              <w:numPr>
                <w:ilvl w:val="-1"/>
                <w:numId w:val="0"/>
              </w:numP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3、在产品性能方案方面（2分）：</w:t>
            </w:r>
          </w:p>
          <w:p w14:paraId="5970DEEC">
            <w:pPr>
              <w:numPr>
                <w:ilvl w:val="-1"/>
                <w:numId w:val="0"/>
              </w:numP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 xml:space="preserve">系统是否支持通过SQL优化、可视化参数配置优化、作业跑批链路优化等方式对数据加工、报表查询等进行优化，保证平台性能满足监管和业务需求。 </w:t>
            </w:r>
          </w:p>
          <w:p w14:paraId="3870A521">
            <w:pPr>
              <w:numPr>
                <w:ilvl w:val="0"/>
                <w:numId w:val="0"/>
              </w:numP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满足得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分，部分满足得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分，不满足得0分；</w:t>
            </w:r>
          </w:p>
        </w:tc>
      </w:tr>
      <w:bookmarkEnd w:id="69"/>
    </w:tbl>
    <w:p w14:paraId="45697F90">
      <w:pPr>
        <w:pStyle w:val="2"/>
      </w:pPr>
      <w:bookmarkStart w:id="117" w:name="_Toc2968"/>
      <w:bookmarkStart w:id="118" w:name="_Toc30514"/>
      <w:bookmarkStart w:id="119" w:name="_Toc12714"/>
      <w:bookmarkStart w:id="120" w:name="_Toc10040"/>
      <w:bookmarkStart w:id="121" w:name="_Toc16789"/>
      <w:bookmarkStart w:id="122" w:name="_Toc489365176"/>
      <w:bookmarkStart w:id="123" w:name="_Toc16672689"/>
      <w:r>
        <w:rPr>
          <w:rFonts w:hint="eastAsia"/>
        </w:rPr>
        <w:t>测评方式</w:t>
      </w:r>
      <w:bookmarkEnd w:id="117"/>
      <w:bookmarkEnd w:id="118"/>
      <w:bookmarkEnd w:id="119"/>
      <w:bookmarkEnd w:id="120"/>
      <w:bookmarkEnd w:id="121"/>
    </w:p>
    <w:p w14:paraId="7B4F8B87">
      <w:pPr>
        <w:pStyle w:val="16"/>
        <w:ind w:firstLine="560"/>
        <w:rPr>
          <w:rFonts w:ascii="仿宋" w:hAnsi="仿宋" w:cs="仿宋"/>
          <w:szCs w:val="28"/>
        </w:rPr>
      </w:pPr>
      <w:r>
        <w:rPr>
          <w:rFonts w:hint="eastAsia" w:ascii="仿宋" w:hAnsi="仿宋" w:cs="仿宋"/>
          <w:szCs w:val="28"/>
        </w:rPr>
        <w:t>本次</w:t>
      </w:r>
      <w:r>
        <w:rPr>
          <w:rFonts w:hint="eastAsia" w:ascii="仿宋" w:hAnsi="仿宋" w:cs="仿宋"/>
          <w:szCs w:val="28"/>
          <w:lang w:val="en-US" w:eastAsia="zh-CN"/>
        </w:rPr>
        <w:t>一表通</w:t>
      </w:r>
      <w:r>
        <w:rPr>
          <w:rFonts w:hint="eastAsia" w:ascii="仿宋" w:hAnsi="仿宋" w:cs="仿宋"/>
          <w:szCs w:val="28"/>
        </w:rPr>
        <w:t>系统建设项目POC测评</w:t>
      </w:r>
      <w:r>
        <w:rPr>
          <w:rFonts w:hint="eastAsia" w:ascii="仿宋" w:hAnsi="仿宋" w:cs="仿宋"/>
          <w:szCs w:val="28"/>
          <w:lang w:val="en-US" w:eastAsia="zh-CN"/>
        </w:rPr>
        <w:t>原则上</w:t>
      </w:r>
      <w:r>
        <w:rPr>
          <w:rFonts w:hint="eastAsia" w:ascii="仿宋" w:hAnsi="仿宋" w:cs="仿宋"/>
          <w:szCs w:val="28"/>
        </w:rPr>
        <w:t>采用现场（演示）方式进行</w:t>
      </w:r>
      <w:r>
        <w:rPr>
          <w:rFonts w:hint="eastAsia" w:ascii="仿宋" w:hAnsi="仿宋" w:cs="仿宋"/>
          <w:szCs w:val="28"/>
          <w:lang w:eastAsia="zh-CN"/>
        </w:rPr>
        <w:t>，</w:t>
      </w:r>
      <w:r>
        <w:rPr>
          <w:rFonts w:hint="eastAsia" w:ascii="仿宋" w:hAnsi="仿宋" w:cs="仿宋"/>
          <w:szCs w:val="28"/>
          <w:lang w:val="en-US" w:eastAsia="zh-CN"/>
        </w:rPr>
        <w:t>投标人如无法现场参测，须提前2天向招标人申请线上评测</w:t>
      </w:r>
      <w:r>
        <w:rPr>
          <w:rFonts w:hint="eastAsia" w:ascii="仿宋" w:hAnsi="仿宋" w:cs="仿宋"/>
          <w:szCs w:val="28"/>
        </w:rPr>
        <w:t>。参测</w:t>
      </w:r>
      <w:r>
        <w:rPr>
          <w:rFonts w:hint="eastAsia" w:ascii="仿宋" w:hAnsi="仿宋" w:cs="仿宋"/>
          <w:szCs w:val="28"/>
          <w:lang w:eastAsia="zh-CN"/>
        </w:rPr>
        <w:t>投标人</w:t>
      </w:r>
      <w:r>
        <w:rPr>
          <w:rFonts w:hint="eastAsia" w:ascii="仿宋" w:hAnsi="仿宋" w:cs="仿宋"/>
          <w:szCs w:val="28"/>
        </w:rPr>
        <w:t>就整体方案、产品功能、业务案例执行结果情况等方面向招标人演示系统功能，招标人抽查、评估产品功能的全面性、易用性、扩展性和特色性等。</w:t>
      </w:r>
    </w:p>
    <w:p w14:paraId="35A8C08A">
      <w:pPr>
        <w:pStyle w:val="16"/>
        <w:ind w:firstLine="560"/>
        <w:rPr>
          <w:rFonts w:hint="eastAsia" w:ascii="仿宋" w:hAnsi="仿宋" w:cs="仿宋"/>
          <w:szCs w:val="28"/>
        </w:rPr>
      </w:pPr>
      <w:r>
        <w:rPr>
          <w:rFonts w:hint="eastAsia" w:ascii="仿宋" w:hAnsi="仿宋" w:cs="仿宋"/>
          <w:szCs w:val="28"/>
        </w:rPr>
        <w:t>本次测评由招标人根据POC评测项进行打分，</w:t>
      </w:r>
      <w:bookmarkEnd w:id="122"/>
      <w:bookmarkEnd w:id="123"/>
      <w:r>
        <w:rPr>
          <w:rFonts w:hint="eastAsia" w:ascii="仿宋" w:hAnsi="仿宋" w:cs="仿宋"/>
          <w:szCs w:val="28"/>
          <w:lang w:eastAsia="zh-CN"/>
        </w:rPr>
        <w:t>投标人</w:t>
      </w:r>
      <w:r>
        <w:rPr>
          <w:rFonts w:hint="eastAsia" w:ascii="仿宋" w:hAnsi="仿宋" w:cs="仿宋"/>
          <w:szCs w:val="28"/>
        </w:rPr>
        <w:t>提交的POC测评报告除对招标人要求的测评案例进行逐点应答及佐证外，还需介绍参与POC工作的团队情况，说明POC使用的数据、硬件环境、软件环境等。由</w:t>
      </w:r>
      <w:r>
        <w:rPr>
          <w:rFonts w:hint="eastAsia" w:ascii="仿宋" w:hAnsi="仿宋" w:cs="仿宋"/>
          <w:szCs w:val="28"/>
          <w:lang w:val="en-US" w:eastAsia="zh-CN"/>
        </w:rPr>
        <w:t>招标人根据POC评测评分</w:t>
      </w:r>
      <w:r>
        <w:rPr>
          <w:rFonts w:hint="eastAsia" w:ascii="仿宋" w:hAnsi="仿宋" w:cs="仿宋"/>
          <w:szCs w:val="28"/>
        </w:rPr>
        <w:t>项</w:t>
      </w:r>
      <w:r>
        <w:rPr>
          <w:rFonts w:hint="eastAsia" w:ascii="仿宋" w:hAnsi="仿宋" w:cs="仿宋"/>
          <w:szCs w:val="28"/>
          <w:lang w:val="en-US" w:eastAsia="zh-CN"/>
        </w:rPr>
        <w:t>进行</w:t>
      </w:r>
      <w:r>
        <w:rPr>
          <w:rFonts w:hint="eastAsia" w:ascii="仿宋" w:hAnsi="仿宋" w:cs="仿宋"/>
          <w:szCs w:val="28"/>
        </w:rPr>
        <w:t>打分，</w:t>
      </w:r>
      <w:r>
        <w:rPr>
          <w:rFonts w:hint="eastAsia" w:ascii="仿宋" w:hAnsi="仿宋" w:cs="仿宋"/>
          <w:szCs w:val="28"/>
          <w:lang w:val="en-US" w:eastAsia="zh-CN"/>
        </w:rPr>
        <w:t>POC</w:t>
      </w:r>
      <w:r>
        <w:rPr>
          <w:rFonts w:hint="eastAsia" w:ascii="仿宋" w:hAnsi="仿宋" w:cs="仿宋"/>
          <w:szCs w:val="28"/>
        </w:rPr>
        <w:t>得分结果</w:t>
      </w:r>
      <w:r>
        <w:rPr>
          <w:rFonts w:hint="eastAsia" w:ascii="仿宋" w:hAnsi="仿宋" w:cs="仿宋"/>
          <w:szCs w:val="28"/>
          <w:lang w:val="en-US" w:eastAsia="zh-CN"/>
        </w:rPr>
        <w:t>将作为技术商务评审对应项的重要参考依据之一（具体详见招标文件）</w:t>
      </w:r>
      <w:r>
        <w:rPr>
          <w:rFonts w:hint="eastAsia" w:ascii="仿宋" w:hAnsi="仿宋" w:cs="仿宋"/>
          <w:szCs w:val="28"/>
        </w:rPr>
        <w:t>。</w:t>
      </w:r>
    </w:p>
    <w:p w14:paraId="5CE09D67">
      <w:pPr>
        <w:pStyle w:val="16"/>
        <w:ind w:firstLine="560"/>
        <w:rPr>
          <w:rFonts w:hint="eastAsia" w:ascii="仿宋" w:hAnsi="仿宋" w:eastAsia="仿宋" w:cs="仿宋"/>
          <w:szCs w:val="28"/>
          <w:lang w:eastAsia="zh-CN"/>
        </w:rPr>
      </w:pPr>
      <w:r>
        <w:rPr>
          <w:rFonts w:hint="eastAsia" w:ascii="仿宋" w:hAnsi="仿宋" w:cs="仿宋"/>
          <w:szCs w:val="28"/>
          <w:lang w:val="en-US" w:eastAsia="zh-CN"/>
        </w:rPr>
        <w:t>投标人</w:t>
      </w:r>
      <w:r>
        <w:rPr>
          <w:rFonts w:hint="eastAsia" w:ascii="仿宋" w:hAnsi="仿宋" w:cs="仿宋"/>
          <w:szCs w:val="28"/>
        </w:rPr>
        <w:t>应在招标人指定时间内按要求完成测试内容，</w:t>
      </w:r>
      <w:r>
        <w:rPr>
          <w:rFonts w:hint="eastAsia" w:ascii="仿宋" w:hAnsi="仿宋" w:cs="仿宋"/>
          <w:szCs w:val="28"/>
          <w:lang w:val="en-US" w:eastAsia="zh-CN"/>
        </w:rPr>
        <w:t>自行负责</w:t>
      </w:r>
      <w:r>
        <w:rPr>
          <w:rFonts w:hint="eastAsia" w:ascii="仿宋" w:hAnsi="仿宋" w:cs="仿宋"/>
          <w:szCs w:val="28"/>
        </w:rPr>
        <w:t>对信息安全、测试费用</w:t>
      </w:r>
      <w:r>
        <w:rPr>
          <w:rFonts w:hint="eastAsia" w:ascii="仿宋" w:hAnsi="仿宋" w:cs="仿宋"/>
          <w:szCs w:val="28"/>
          <w:lang w:val="en-US" w:eastAsia="zh-CN"/>
        </w:rPr>
        <w:t>等情况</w:t>
      </w:r>
      <w:r>
        <w:rPr>
          <w:rFonts w:hint="eastAsia" w:ascii="仿宋" w:hAnsi="仿宋" w:cs="仿宋"/>
          <w:szCs w:val="28"/>
          <w:lang w:eastAsia="zh-CN"/>
        </w:rPr>
        <w:t>。投标人</w:t>
      </w:r>
      <w:r>
        <w:rPr>
          <w:rFonts w:hint="eastAsia" w:ascii="仿宋" w:hAnsi="仿宋" w:cs="仿宋"/>
          <w:szCs w:val="28"/>
          <w:lang w:val="en-US" w:eastAsia="zh-CN"/>
        </w:rPr>
        <w:t>应</w:t>
      </w:r>
      <w:r>
        <w:rPr>
          <w:rFonts w:hint="eastAsia" w:ascii="仿宋" w:hAnsi="仿宋" w:cs="仿宋"/>
          <w:szCs w:val="28"/>
          <w:lang w:eastAsia="zh-CN"/>
        </w:rPr>
        <w:t>现场对测试结果进行确认，如有对未通过测试项有疑问，需在现场及时提出。如未对未通过测试项提供可信的解释，以招标人测试结论为准。测试结束后不接受再次测试。</w:t>
      </w:r>
    </w:p>
    <w:p w14:paraId="25EF49C6">
      <w:pPr>
        <w:pStyle w:val="16"/>
        <w:ind w:firstLine="560"/>
        <w:rPr>
          <w:rFonts w:ascii="仿宋" w:hAnsi="仿宋" w:cs="仿宋"/>
          <w:szCs w:val="28"/>
        </w:rPr>
      </w:pPr>
    </w:p>
    <w:p w14:paraId="67EDEA06">
      <w:pPr>
        <w:pStyle w:val="16"/>
        <w:ind w:firstLine="560"/>
        <w:rPr>
          <w:rFonts w:ascii="仿宋" w:hAnsi="仿宋" w:cs="仿宋"/>
          <w:szCs w:val="28"/>
        </w:rPr>
      </w:pPr>
    </w:p>
    <w:p w14:paraId="186490B4">
      <w:pPr>
        <w:pStyle w:val="16"/>
        <w:ind w:firstLine="560"/>
        <w:rPr>
          <w:rFonts w:ascii="仿宋" w:hAnsi="仿宋" w:cs="仿宋"/>
          <w:szCs w:val="28"/>
        </w:rPr>
        <w:sectPr>
          <w:headerReference r:id="rId4" w:type="default"/>
          <w:footerReference r:id="rId5" w:type="default"/>
          <w:pgSz w:w="11906" w:h="16838"/>
          <w:pgMar w:top="1418" w:right="1418" w:bottom="1418" w:left="1418" w:header="851" w:footer="819" w:gutter="0"/>
          <w:pgNumType w:start="1"/>
          <w:cols w:space="425" w:num="1"/>
          <w:docGrid w:type="lines" w:linePitch="312" w:charSpace="0"/>
        </w:sectPr>
      </w:pPr>
    </w:p>
    <w:p w14:paraId="5176B054">
      <w:r>
        <w:rPr>
          <w:rFonts w:hint="eastAsia" w:eastAsia="仿宋"/>
          <w:sz w:val="28"/>
          <w:szCs w:val="36"/>
        </w:rPr>
        <w:t>附录：</w:t>
      </w:r>
    </w:p>
    <w:p w14:paraId="515770D7">
      <w:pPr>
        <w:widowControl w:val="0"/>
        <w:spacing w:after="240" w:line="480" w:lineRule="auto"/>
        <w:jc w:val="center"/>
        <w:outlineLvl w:val="0"/>
        <w:rPr>
          <w:rFonts w:ascii="仿宋" w:hAnsi="仿宋" w:eastAsia="仿宋" w:cs="仿宋"/>
          <w:b/>
          <w:bCs/>
          <w:sz w:val="28"/>
          <w:szCs w:val="28"/>
        </w:rPr>
      </w:pPr>
      <w:r>
        <w:rPr>
          <w:rFonts w:hint="eastAsia" w:ascii="仿宋" w:hAnsi="仿宋" w:eastAsia="仿宋" w:cs="仿宋"/>
          <w:b/>
          <w:bCs/>
          <w:sz w:val="36"/>
          <w:szCs w:val="36"/>
        </w:rPr>
        <w:t>法定代表人授权委托书</w:t>
      </w:r>
    </w:p>
    <w:p w14:paraId="2290B848">
      <w:pPr>
        <w:widowControl w:val="0"/>
        <w:spacing w:line="360" w:lineRule="auto"/>
        <w:rPr>
          <w:rFonts w:ascii="仿宋" w:hAnsi="仿宋" w:eastAsia="仿宋" w:cs="仿宋"/>
          <w:sz w:val="28"/>
          <w:szCs w:val="28"/>
        </w:rPr>
      </w:pPr>
      <w:r>
        <w:rPr>
          <w:rFonts w:hint="eastAsia" w:ascii="仿宋" w:hAnsi="仿宋" w:eastAsia="仿宋" w:cs="仿宋"/>
          <w:sz w:val="28"/>
          <w:szCs w:val="28"/>
        </w:rPr>
        <w:t>致广东南粤银行股份有限公司：</w:t>
      </w:r>
    </w:p>
    <w:p w14:paraId="24FA6345">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本授权委托书声明：</w:t>
      </w:r>
      <w:r>
        <w:rPr>
          <w:rFonts w:hint="eastAsia" w:ascii="仿宋" w:hAnsi="仿宋" w:eastAsia="仿宋" w:cs="仿宋"/>
          <w:sz w:val="28"/>
          <w:szCs w:val="28"/>
          <w:u w:val="single"/>
        </w:rPr>
        <w:t xml:space="preserve">                           </w:t>
      </w:r>
      <w:r>
        <w:rPr>
          <w:rFonts w:hint="eastAsia" w:ascii="仿宋" w:hAnsi="仿宋" w:eastAsia="仿宋" w:cs="仿宋"/>
          <w:sz w:val="28"/>
          <w:szCs w:val="28"/>
        </w:rPr>
        <w:t>公司是中华人民共和国合法企业，</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（法定代表人姓名）代表本公司授权委托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（被授权人姓名及身份证件号）代表我公司参加贵司的“</w:t>
      </w:r>
      <w:r>
        <w:rPr>
          <w:rFonts w:hint="eastAsia" w:ascii="仿宋" w:hAnsi="仿宋" w:eastAsia="仿宋" w:cs="仿宋"/>
          <w:sz w:val="28"/>
          <w:szCs w:val="28"/>
          <w:lang w:val="en-US" w:eastAsia="zh-CN"/>
        </w:rPr>
        <w:t>一表通</w:t>
      </w:r>
      <w:r>
        <w:rPr>
          <w:rFonts w:hint="eastAsia" w:ascii="仿宋" w:hAnsi="仿宋" w:eastAsia="仿宋" w:cs="仿宋"/>
          <w:sz w:val="28"/>
          <w:szCs w:val="28"/>
        </w:rPr>
        <w:t>系统建设项目”的POC测试，并签署相关文件。我公司对被授权人在POC测试中所签署的一切文件及处理与之有关的一切事务均以承认并承担由此产生的全部后果。</w:t>
      </w:r>
    </w:p>
    <w:p w14:paraId="34BF21FD">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本授权书于签字盖章后生效，被授权人无权转授权，特此声明。</w:t>
      </w:r>
    </w:p>
    <w:p w14:paraId="2387AB2C">
      <w:pPr>
        <w:widowControl w:val="0"/>
        <w:spacing w:line="360" w:lineRule="auto"/>
        <w:rPr>
          <w:rFonts w:ascii="仿宋" w:hAnsi="仿宋" w:eastAsia="仿宋" w:cs="仿宋"/>
          <w:sz w:val="28"/>
          <w:szCs w:val="28"/>
        </w:rPr>
      </w:pPr>
    </w:p>
    <w:p w14:paraId="26BE7CAB">
      <w:pPr>
        <w:widowControl w:val="0"/>
        <w:spacing w:line="360" w:lineRule="auto"/>
        <w:rPr>
          <w:rFonts w:ascii="仿宋" w:hAnsi="仿宋" w:eastAsia="仿宋" w:cs="仿宋"/>
          <w:sz w:val="28"/>
          <w:szCs w:val="28"/>
        </w:rPr>
      </w:pPr>
      <w:r>
        <w:rPr>
          <w:rFonts w:hint="eastAsia" w:ascii="仿宋" w:hAnsi="仿宋" w:eastAsia="仿宋" w:cs="仿宋"/>
          <w:sz w:val="28"/>
          <w:szCs w:val="28"/>
        </w:rPr>
        <w:t>附：被授权人有效身份证正反面复印件</w:t>
      </w:r>
    </w:p>
    <w:p w14:paraId="74C1831C">
      <w:pPr>
        <w:widowControl w:val="0"/>
        <w:spacing w:line="360" w:lineRule="auto"/>
        <w:rPr>
          <w:rFonts w:ascii="仿宋" w:hAnsi="仿宋" w:eastAsia="仿宋" w:cs="仿宋"/>
          <w:sz w:val="28"/>
          <w:szCs w:val="28"/>
        </w:rPr>
      </w:pPr>
    </w:p>
    <w:p w14:paraId="3ECFC4F4">
      <w:pPr>
        <w:widowControl w:val="0"/>
        <w:spacing w:line="360" w:lineRule="auto"/>
        <w:rPr>
          <w:rFonts w:ascii="仿宋" w:hAnsi="仿宋" w:eastAsia="仿宋" w:cs="仿宋"/>
          <w:sz w:val="28"/>
          <w:szCs w:val="28"/>
        </w:rPr>
      </w:pPr>
    </w:p>
    <w:p w14:paraId="43C3A12D">
      <w:pPr>
        <w:widowControl w:val="0"/>
        <w:spacing w:line="360" w:lineRule="auto"/>
        <w:rPr>
          <w:rFonts w:ascii="仿宋" w:hAnsi="仿宋" w:eastAsia="仿宋" w:cs="仿宋"/>
          <w:sz w:val="28"/>
          <w:szCs w:val="28"/>
        </w:rPr>
      </w:pPr>
    </w:p>
    <w:p w14:paraId="430B21B3">
      <w:pPr>
        <w:widowControl w:val="0"/>
        <w:spacing w:line="360" w:lineRule="auto"/>
        <w:rPr>
          <w:rFonts w:ascii="仿宋" w:hAnsi="仿宋" w:eastAsia="仿宋" w:cs="仿宋"/>
          <w:sz w:val="28"/>
          <w:szCs w:val="28"/>
        </w:rPr>
      </w:pPr>
      <w:r>
        <w:rPr>
          <w:rFonts w:hint="eastAsia" w:ascii="仿宋" w:hAnsi="仿宋" w:eastAsia="仿宋" w:cs="仿宋"/>
          <w:sz w:val="28"/>
          <w:szCs w:val="28"/>
        </w:rPr>
        <w:t>公司名称（盖章）：</w:t>
      </w:r>
    </w:p>
    <w:p w14:paraId="1D18AE84">
      <w:pPr>
        <w:widowControl w:val="0"/>
        <w:spacing w:line="360" w:lineRule="auto"/>
        <w:rPr>
          <w:rFonts w:ascii="仿宋" w:hAnsi="仿宋" w:eastAsia="仿宋" w:cs="仿宋"/>
          <w:sz w:val="28"/>
          <w:szCs w:val="28"/>
        </w:rPr>
      </w:pPr>
      <w:r>
        <w:rPr>
          <w:rFonts w:hint="eastAsia" w:ascii="仿宋" w:hAnsi="仿宋" w:eastAsia="仿宋" w:cs="仿宋"/>
          <w:sz w:val="28"/>
          <w:szCs w:val="28"/>
        </w:rPr>
        <w:t>地         址：</w:t>
      </w:r>
    </w:p>
    <w:p w14:paraId="56EBB34D">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法定代表人（签字或盖章）：                  </w:t>
      </w:r>
    </w:p>
    <w:p w14:paraId="2B4A7767">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被授权人（签字或盖章）：                职务：          </w:t>
      </w:r>
    </w:p>
    <w:p w14:paraId="62D36981">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被授权人联系电话：                      邮箱：                 </w:t>
      </w:r>
    </w:p>
    <w:p w14:paraId="638377D1">
      <w:pPr>
        <w:widowControl w:val="0"/>
        <w:spacing w:line="360" w:lineRule="auto"/>
        <w:rPr>
          <w:rFonts w:ascii="仿宋" w:hAnsi="仿宋" w:eastAsia="仿宋" w:cs="仿宋"/>
          <w:sz w:val="28"/>
          <w:szCs w:val="28"/>
        </w:rPr>
      </w:pPr>
      <w:r>
        <w:rPr>
          <w:rFonts w:hint="eastAsia" w:ascii="仿宋" w:hAnsi="仿宋" w:eastAsia="仿宋" w:cs="仿宋"/>
          <w:sz w:val="28"/>
          <w:szCs w:val="28"/>
        </w:rPr>
        <w:t>日期：</w: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Songti SC">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959B">
    <w:pPr>
      <w:pStyle w:val="24"/>
      <w:jc w:val="center"/>
    </w:pPr>
    <w:r>
      <w:fldChar w:fldCharType="begin"/>
    </w:r>
    <w:r>
      <w:instrText xml:space="preserve"> PAGE   \* MERGEFORMAT </w:instrText>
    </w:r>
    <w:r>
      <w:fldChar w:fldCharType="separate"/>
    </w:r>
    <w:r>
      <w:rPr>
        <w:lang w:val="zh-CN"/>
      </w:rPr>
      <w:t>8</w:t>
    </w:r>
    <w:r>
      <w:rPr>
        <w:lang w:val="zh-CN"/>
      </w:rPr>
      <w:fldChar w:fldCharType="end"/>
    </w:r>
  </w:p>
  <w:p w14:paraId="248EFA08">
    <w:pPr>
      <w:pStyle w:val="24"/>
      <w:pBdr>
        <w:top w:val="single" w:color="D9D9D9" w:sz="4" w:space="0"/>
      </w:pBdr>
      <w:tabs>
        <w:tab w:val="left" w:pos="420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10B7">
    <w:pPr>
      <w:pBdr>
        <w:bottom w:val="single" w:color="auto" w:sz="4" w:space="1"/>
      </w:pBdr>
      <w:jc w:val="both"/>
    </w:pPr>
    <w:r>
      <w:drawing>
        <wp:inline distT="0" distB="0" distL="0" distR="0">
          <wp:extent cx="1333500" cy="295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rPr>
        <w:rFonts w:hint="eastAsia" w:asciiTheme="minorEastAsia" w:hAnsiTheme="minorEastAsia" w:eastAsiaTheme="minorEastAsia"/>
        <w:sz w:val="18"/>
        <w:szCs w:val="18"/>
      </w:rPr>
      <w:t>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p w14:paraId="038210A1">
    <w:pPr>
      <w:pStyle w:val="25"/>
      <w:pBdr>
        <w:bottom w:val="none" w:color="auto" w:sz="0" w:space="0"/>
      </w:pBdr>
      <w:jc w:val="both"/>
    </w:pP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2D91">
    <w:pPr>
      <w:pBdr>
        <w:bottom w:val="single" w:color="auto" w:sz="4" w:space="1"/>
      </w:pBdr>
    </w:pPr>
    <w:r>
      <w:drawing>
        <wp:inline distT="0" distB="0" distL="0" distR="0">
          <wp:extent cx="1333500" cy="29527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t xml:space="preserve"> </w:t>
    </w:r>
    <w:r>
      <w:rPr>
        <w:rFonts w:hint="eastAsia"/>
        <w:lang w:val="en-US" w:eastAsia="zh-CN"/>
      </w:rPr>
      <w:t>一表通</w:t>
    </w:r>
    <w:r>
      <w:rPr>
        <w:rFonts w:hint="eastAsia" w:asciiTheme="minorEastAsia" w:hAnsiTheme="minorEastAsia" w:eastAsiaTheme="minorEastAsia"/>
        <w:sz w:val="18"/>
        <w:szCs w:val="18"/>
      </w:rPr>
      <w:t>系统建设项目P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07CD">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E836A"/>
    <w:multiLevelType w:val="singleLevel"/>
    <w:tmpl w:val="B59E836A"/>
    <w:lvl w:ilvl="0" w:tentative="0">
      <w:start w:val="2"/>
      <w:numFmt w:val="decimal"/>
      <w:suff w:val="nothing"/>
      <w:lvlText w:val="（%1）"/>
      <w:lvlJc w:val="left"/>
    </w:lvl>
  </w:abstractNum>
  <w:abstractNum w:abstractNumId="1">
    <w:nsid w:val="B643BCA7"/>
    <w:multiLevelType w:val="multilevel"/>
    <w:tmpl w:val="B643BCA7"/>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BA157FFA"/>
    <w:multiLevelType w:val="singleLevel"/>
    <w:tmpl w:val="BA157FFA"/>
    <w:lvl w:ilvl="0" w:tentative="0">
      <w:start w:val="1"/>
      <w:numFmt w:val="decimal"/>
      <w:suff w:val="nothing"/>
      <w:lvlText w:val="%1、"/>
      <w:lvlJc w:val="left"/>
    </w:lvl>
  </w:abstractNum>
  <w:abstractNum w:abstractNumId="3">
    <w:nsid w:val="C9A9F0AA"/>
    <w:multiLevelType w:val="multilevel"/>
    <w:tmpl w:val="C9A9F0AA"/>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FEC8C763"/>
    <w:multiLevelType w:val="singleLevel"/>
    <w:tmpl w:val="FEC8C763"/>
    <w:lvl w:ilvl="0" w:tentative="0">
      <w:start w:val="1"/>
      <w:numFmt w:val="decimal"/>
      <w:suff w:val="nothing"/>
      <w:lvlText w:val="（%1）"/>
      <w:lvlJc w:val="left"/>
    </w:lvl>
  </w:abstractNum>
  <w:abstractNum w:abstractNumId="5">
    <w:nsid w:val="035E5B1C"/>
    <w:multiLevelType w:val="multilevel"/>
    <w:tmpl w:val="035E5B1C"/>
    <w:lvl w:ilvl="0" w:tentative="0">
      <w:start w:val="1"/>
      <w:numFmt w:val="bullet"/>
      <w:pStyle w:val="84"/>
      <w:lvlText w:val=""/>
      <w:lvlJc w:val="left"/>
      <w:pPr>
        <w:ind w:left="900" w:hanging="420"/>
      </w:pPr>
      <w:rPr>
        <w:rFonts w:hint="default" w:ascii="Wingdings" w:hAnsi="Wingdings"/>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55219F1"/>
    <w:multiLevelType w:val="multilevel"/>
    <w:tmpl w:val="155219F1"/>
    <w:lvl w:ilvl="0" w:tentative="0">
      <w:start w:val="1"/>
      <w:numFmt w:val="decimal"/>
      <w:pStyle w:val="7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39179A"/>
    <w:multiLevelType w:val="singleLevel"/>
    <w:tmpl w:val="2139179A"/>
    <w:lvl w:ilvl="0" w:tentative="0">
      <w:start w:val="1"/>
      <w:numFmt w:val="decimal"/>
      <w:suff w:val="nothing"/>
      <w:lvlText w:val="（%1）"/>
      <w:lvlJc w:val="left"/>
    </w:lvl>
  </w:abstractNum>
  <w:abstractNum w:abstractNumId="8">
    <w:nsid w:val="253807C3"/>
    <w:multiLevelType w:val="multilevel"/>
    <w:tmpl w:val="253807C3"/>
    <w:lvl w:ilvl="0" w:tentative="0">
      <w:start w:val="1"/>
      <w:numFmt w:val="chineseCountingThousand"/>
      <w:pStyle w:val="68"/>
      <w:lvlText w:val="第%1条"/>
      <w:lvlJc w:val="left"/>
      <w:pPr>
        <w:ind w:left="420" w:hanging="420"/>
      </w:pPr>
      <w:rPr>
        <w:rFonts w:hint="eastAsia" w:ascii="仿宋_GB2312" w:eastAsia="仿宋_GB2312"/>
        <w:b/>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CD3A05"/>
    <w:multiLevelType w:val="multilevel"/>
    <w:tmpl w:val="2ACD3A05"/>
    <w:lvl w:ilvl="0" w:tentative="0">
      <w:start w:val="1"/>
      <w:numFmt w:val="bullet"/>
      <w:pStyle w:val="79"/>
      <w:lvlText w:val=""/>
      <w:lvlJc w:val="left"/>
      <w:pPr>
        <w:tabs>
          <w:tab w:val="left" w:pos="480"/>
        </w:tabs>
        <w:ind w:left="480" w:hanging="480"/>
      </w:pPr>
      <w:rPr>
        <w:rFonts w:hint="default" w:ascii="Wingdings 3" w:hAnsi="Wingdings 3"/>
        <w:sz w:val="22"/>
        <w:szCs w:val="22"/>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10">
    <w:nsid w:val="49CD0738"/>
    <w:multiLevelType w:val="multilevel"/>
    <w:tmpl w:val="49CD0738"/>
    <w:lvl w:ilvl="0" w:tentative="0">
      <w:start w:val="1"/>
      <w:numFmt w:val="decimal"/>
      <w:lvlText w:val="%1"/>
      <w:lvlJc w:val="left"/>
      <w:pPr>
        <w:ind w:left="432" w:hanging="432"/>
      </w:pPr>
      <w:rPr>
        <w:rFonts w:hint="default" w:ascii="Arial Black" w:hAnsi="Arial Black"/>
      </w:rPr>
    </w:lvl>
    <w:lvl w:ilvl="1" w:tentative="0">
      <w:start w:val="1"/>
      <w:numFmt w:val="decimal"/>
      <w:lvlText w:val="%1.%2"/>
      <w:lvlJc w:val="left"/>
      <w:pPr>
        <w:ind w:left="576" w:hanging="576"/>
      </w:pPr>
      <w:rPr>
        <w:rFonts w:hint="default" w:ascii="Arial Black" w:hAnsi="Arial Black" w:eastAsia="仿宋"/>
      </w:rPr>
    </w:lvl>
    <w:lvl w:ilvl="2" w:tentative="0">
      <w:start w:val="1"/>
      <w:numFmt w:val="decimal"/>
      <w:lvlText w:val="3.3.%3"/>
      <w:lvlJc w:val="left"/>
      <w:pPr>
        <w:ind w:left="567" w:hanging="567"/>
      </w:pPr>
      <w:rPr>
        <w:rFonts w:hint="default" w:ascii="宋体" w:hAnsi="宋体" w:eastAsia="宋体"/>
        <w:b/>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1">
    <w:nsid w:val="57CE66AF"/>
    <w:multiLevelType w:val="multilevel"/>
    <w:tmpl w:val="57CE66AF"/>
    <w:lvl w:ilvl="0" w:tentative="0">
      <w:start w:val="1"/>
      <w:numFmt w:val="chineseCounting"/>
      <w:pStyle w:val="92"/>
      <w:suff w:val="space"/>
      <w:lvlText w:val="%1. "/>
      <w:lvlJc w:val="left"/>
      <w:pPr>
        <w:tabs>
          <w:tab w:val="left" w:pos="0"/>
        </w:tabs>
        <w:ind w:left="0" w:firstLine="0"/>
      </w:pPr>
      <w:rPr>
        <w:rFonts w:hint="eastAsia" w:ascii="宋体" w:hAnsi="宋体" w:eastAsia="宋体" w:cs="宋体"/>
        <w:b/>
        <w:sz w:val="44"/>
      </w:rPr>
    </w:lvl>
    <w:lvl w:ilvl="1" w:tentative="0">
      <w:start w:val="1"/>
      <w:numFmt w:val="decimal"/>
      <w:isLgl/>
      <w:suff w:val="space"/>
      <w:lvlText w:val="%1.%2 "/>
      <w:lvlJc w:val="left"/>
      <w:pPr>
        <w:ind w:left="0" w:firstLine="0"/>
      </w:pPr>
      <w:rPr>
        <w:rFonts w:hint="eastAsia" w:ascii="宋体" w:hAnsi="宋体" w:eastAsia="宋体" w:cs="宋体"/>
        <w:b/>
        <w:sz w:val="32"/>
      </w:rPr>
    </w:lvl>
    <w:lvl w:ilvl="2" w:tentative="0">
      <w:start w:val="1"/>
      <w:numFmt w:val="decimal"/>
      <w:pStyle w:val="91"/>
      <w:isLgl/>
      <w:suff w:val="space"/>
      <w:lvlText w:val="%1.%2.%3 "/>
      <w:lvlJc w:val="left"/>
      <w:pPr>
        <w:tabs>
          <w:tab w:val="left" w:pos="0"/>
        </w:tabs>
        <w:ind w:left="0" w:firstLine="0"/>
      </w:pPr>
      <w:rPr>
        <w:rFonts w:hint="eastAsia" w:ascii="宋体" w:hAnsi="宋体" w:eastAsia="宋体" w:cs="宋体"/>
        <w:b/>
        <w:sz w:val="30"/>
      </w:rPr>
    </w:lvl>
    <w:lvl w:ilvl="3" w:tentative="0">
      <w:start w:val="1"/>
      <w:numFmt w:val="decimal"/>
      <w:isLgl/>
      <w:suff w:val="space"/>
      <w:lvlText w:val="%1.%2.%3.%4 "/>
      <w:lvlJc w:val="left"/>
      <w:pPr>
        <w:tabs>
          <w:tab w:val="left" w:pos="0"/>
        </w:tabs>
        <w:ind w:left="0" w:firstLine="0"/>
      </w:pPr>
      <w:rPr>
        <w:rFonts w:hint="eastAsia" w:ascii="宋体" w:hAnsi="宋体" w:eastAsia="宋体" w:cs="宋体"/>
        <w:b/>
        <w:sz w:val="28"/>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5A69C248"/>
    <w:multiLevelType w:val="multilevel"/>
    <w:tmpl w:val="5A69C248"/>
    <w:lvl w:ilvl="0" w:tentative="0">
      <w:start w:val="1"/>
      <w:numFmt w:val="decimal"/>
      <w:pStyle w:val="2"/>
      <w:lvlText w:val="%1."/>
      <w:lvlJc w:val="left"/>
      <w:pPr>
        <w:tabs>
          <w:tab w:val="left" w:pos="425"/>
        </w:tabs>
        <w:ind w:left="425" w:hanging="425"/>
      </w:pPr>
      <w:rPr>
        <w:rFonts w:hint="default"/>
      </w:rPr>
    </w:lvl>
    <w:lvl w:ilvl="1" w:tentative="0">
      <w:start w:val="1"/>
      <w:numFmt w:val="decimal"/>
      <w:pStyle w:val="3"/>
      <w:lvlText w:val="%1.%2."/>
      <w:lvlJc w:val="left"/>
      <w:pPr>
        <w:tabs>
          <w:tab w:val="left" w:pos="567"/>
        </w:tabs>
        <w:ind w:left="567" w:hanging="567"/>
      </w:pPr>
      <w:rPr>
        <w:rFonts w:hint="default"/>
      </w:rPr>
    </w:lvl>
    <w:lvl w:ilvl="2" w:tentative="0">
      <w:start w:val="1"/>
      <w:numFmt w:val="decimal"/>
      <w:pStyle w:val="4"/>
      <w:lvlText w:val="%1.%2.%3."/>
      <w:lvlJc w:val="left"/>
      <w:pPr>
        <w:tabs>
          <w:tab w:val="left" w:pos="709"/>
        </w:tabs>
        <w:ind w:left="567" w:hanging="567"/>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3">
    <w:nsid w:val="704AB1C7"/>
    <w:multiLevelType w:val="multilevel"/>
    <w:tmpl w:val="704AB1C7"/>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2"/>
  </w:num>
  <w:num w:numId="2">
    <w:abstractNumId w:val="10"/>
  </w:num>
  <w:num w:numId="3">
    <w:abstractNumId w:val="8"/>
  </w:num>
  <w:num w:numId="4">
    <w:abstractNumId w:val="6"/>
  </w:num>
  <w:num w:numId="5">
    <w:abstractNumId w:val="9"/>
  </w:num>
  <w:num w:numId="6">
    <w:abstractNumId w:val="5"/>
  </w:num>
  <w:num w:numId="7">
    <w:abstractNumId w:val="11"/>
  </w:num>
  <w:num w:numId="8">
    <w:abstractNumId w:val="7"/>
  </w:num>
  <w:num w:numId="9">
    <w:abstractNumId w:val="2"/>
  </w:num>
  <w:num w:numId="10">
    <w:abstractNumId w:val="1"/>
  </w:num>
  <w:num w:numId="11">
    <w:abstractNumId w:val="4"/>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MDdmYWIzNjZmZDdmY2NmYzc4MjVlZTNhOTNmODUifQ=="/>
  </w:docVars>
  <w:rsids>
    <w:rsidRoot w:val="00134A4C"/>
    <w:rsid w:val="00000065"/>
    <w:rsid w:val="0000173B"/>
    <w:rsid w:val="00001DC0"/>
    <w:rsid w:val="000022D0"/>
    <w:rsid w:val="00002E48"/>
    <w:rsid w:val="00004198"/>
    <w:rsid w:val="00011E9E"/>
    <w:rsid w:val="000128A8"/>
    <w:rsid w:val="00013D41"/>
    <w:rsid w:val="00013DFA"/>
    <w:rsid w:val="00015213"/>
    <w:rsid w:val="0001754E"/>
    <w:rsid w:val="0002164A"/>
    <w:rsid w:val="000223E8"/>
    <w:rsid w:val="000224F2"/>
    <w:rsid w:val="000235DA"/>
    <w:rsid w:val="0002415B"/>
    <w:rsid w:val="000262AF"/>
    <w:rsid w:val="00026A7E"/>
    <w:rsid w:val="0003006B"/>
    <w:rsid w:val="000304A1"/>
    <w:rsid w:val="0003125F"/>
    <w:rsid w:val="0003216B"/>
    <w:rsid w:val="00033B17"/>
    <w:rsid w:val="0003418E"/>
    <w:rsid w:val="00034E70"/>
    <w:rsid w:val="00035381"/>
    <w:rsid w:val="000353B6"/>
    <w:rsid w:val="000371B8"/>
    <w:rsid w:val="000412C6"/>
    <w:rsid w:val="00041CA5"/>
    <w:rsid w:val="000428F6"/>
    <w:rsid w:val="000433A8"/>
    <w:rsid w:val="000469B4"/>
    <w:rsid w:val="000477EC"/>
    <w:rsid w:val="00050F00"/>
    <w:rsid w:val="0005116D"/>
    <w:rsid w:val="00053548"/>
    <w:rsid w:val="00053DB5"/>
    <w:rsid w:val="0005464C"/>
    <w:rsid w:val="00054714"/>
    <w:rsid w:val="00054BA9"/>
    <w:rsid w:val="0005525B"/>
    <w:rsid w:val="0005547D"/>
    <w:rsid w:val="00056984"/>
    <w:rsid w:val="000606C7"/>
    <w:rsid w:val="000609B4"/>
    <w:rsid w:val="00062F8E"/>
    <w:rsid w:val="00063A5A"/>
    <w:rsid w:val="00066305"/>
    <w:rsid w:val="00067546"/>
    <w:rsid w:val="00067B3E"/>
    <w:rsid w:val="00067EFF"/>
    <w:rsid w:val="00067F9B"/>
    <w:rsid w:val="0007021F"/>
    <w:rsid w:val="00071314"/>
    <w:rsid w:val="00072022"/>
    <w:rsid w:val="00073229"/>
    <w:rsid w:val="00073891"/>
    <w:rsid w:val="000739DA"/>
    <w:rsid w:val="00073E43"/>
    <w:rsid w:val="00074C3C"/>
    <w:rsid w:val="00075399"/>
    <w:rsid w:val="00082034"/>
    <w:rsid w:val="000823F9"/>
    <w:rsid w:val="000831A7"/>
    <w:rsid w:val="00083BC5"/>
    <w:rsid w:val="00087488"/>
    <w:rsid w:val="00087E1C"/>
    <w:rsid w:val="00090A35"/>
    <w:rsid w:val="00090B0C"/>
    <w:rsid w:val="00091BE2"/>
    <w:rsid w:val="00092784"/>
    <w:rsid w:val="0009473E"/>
    <w:rsid w:val="00094CED"/>
    <w:rsid w:val="00094D41"/>
    <w:rsid w:val="00094F73"/>
    <w:rsid w:val="000954B0"/>
    <w:rsid w:val="00095D8B"/>
    <w:rsid w:val="00096DDB"/>
    <w:rsid w:val="000972CD"/>
    <w:rsid w:val="00097EB1"/>
    <w:rsid w:val="000A1F5C"/>
    <w:rsid w:val="000B0A43"/>
    <w:rsid w:val="000B1B00"/>
    <w:rsid w:val="000B1D54"/>
    <w:rsid w:val="000B1F9B"/>
    <w:rsid w:val="000B2235"/>
    <w:rsid w:val="000B26FE"/>
    <w:rsid w:val="000B2B1E"/>
    <w:rsid w:val="000B3069"/>
    <w:rsid w:val="000B379F"/>
    <w:rsid w:val="000B4995"/>
    <w:rsid w:val="000B4F30"/>
    <w:rsid w:val="000B5A82"/>
    <w:rsid w:val="000B6798"/>
    <w:rsid w:val="000B6ADA"/>
    <w:rsid w:val="000B7E7F"/>
    <w:rsid w:val="000C08CB"/>
    <w:rsid w:val="000C14A5"/>
    <w:rsid w:val="000C230B"/>
    <w:rsid w:val="000C349F"/>
    <w:rsid w:val="000C39FB"/>
    <w:rsid w:val="000C5958"/>
    <w:rsid w:val="000C63A7"/>
    <w:rsid w:val="000C7239"/>
    <w:rsid w:val="000D0031"/>
    <w:rsid w:val="000D2376"/>
    <w:rsid w:val="000D4105"/>
    <w:rsid w:val="000D47FA"/>
    <w:rsid w:val="000D4B29"/>
    <w:rsid w:val="000D62C1"/>
    <w:rsid w:val="000E0101"/>
    <w:rsid w:val="000E12F1"/>
    <w:rsid w:val="000E139E"/>
    <w:rsid w:val="000E341F"/>
    <w:rsid w:val="000E3ED8"/>
    <w:rsid w:val="000E62BA"/>
    <w:rsid w:val="000E7DA7"/>
    <w:rsid w:val="000E7FAE"/>
    <w:rsid w:val="000F153E"/>
    <w:rsid w:val="000F3C8C"/>
    <w:rsid w:val="000F4111"/>
    <w:rsid w:val="000F436E"/>
    <w:rsid w:val="000F4937"/>
    <w:rsid w:val="000F59A7"/>
    <w:rsid w:val="00100EBF"/>
    <w:rsid w:val="00102C48"/>
    <w:rsid w:val="00103A72"/>
    <w:rsid w:val="00103BAD"/>
    <w:rsid w:val="00106B7D"/>
    <w:rsid w:val="0011056B"/>
    <w:rsid w:val="00113F2E"/>
    <w:rsid w:val="001145ED"/>
    <w:rsid w:val="0011532C"/>
    <w:rsid w:val="00120228"/>
    <w:rsid w:val="00122DAB"/>
    <w:rsid w:val="00123D90"/>
    <w:rsid w:val="00123E5A"/>
    <w:rsid w:val="0012495E"/>
    <w:rsid w:val="001268E3"/>
    <w:rsid w:val="001306D3"/>
    <w:rsid w:val="0013070C"/>
    <w:rsid w:val="00130CCC"/>
    <w:rsid w:val="001325C0"/>
    <w:rsid w:val="0013481A"/>
    <w:rsid w:val="00134A4C"/>
    <w:rsid w:val="00137B0C"/>
    <w:rsid w:val="00141E52"/>
    <w:rsid w:val="00143B31"/>
    <w:rsid w:val="00144260"/>
    <w:rsid w:val="00144F99"/>
    <w:rsid w:val="0015076F"/>
    <w:rsid w:val="0015092B"/>
    <w:rsid w:val="00150CCF"/>
    <w:rsid w:val="00151F59"/>
    <w:rsid w:val="00152D63"/>
    <w:rsid w:val="00155089"/>
    <w:rsid w:val="00156184"/>
    <w:rsid w:val="00156719"/>
    <w:rsid w:val="001604D3"/>
    <w:rsid w:val="00160712"/>
    <w:rsid w:val="0016078C"/>
    <w:rsid w:val="00160BE4"/>
    <w:rsid w:val="00160F25"/>
    <w:rsid w:val="00161301"/>
    <w:rsid w:val="001621BA"/>
    <w:rsid w:val="00164415"/>
    <w:rsid w:val="00165944"/>
    <w:rsid w:val="00171E6F"/>
    <w:rsid w:val="00172DFB"/>
    <w:rsid w:val="00175402"/>
    <w:rsid w:val="00180C29"/>
    <w:rsid w:val="00181AE4"/>
    <w:rsid w:val="00181B94"/>
    <w:rsid w:val="0018204D"/>
    <w:rsid w:val="00182F4D"/>
    <w:rsid w:val="00183186"/>
    <w:rsid w:val="001831B8"/>
    <w:rsid w:val="00183A2B"/>
    <w:rsid w:val="00184004"/>
    <w:rsid w:val="001843F9"/>
    <w:rsid w:val="0018453E"/>
    <w:rsid w:val="001862F2"/>
    <w:rsid w:val="00186407"/>
    <w:rsid w:val="0018710E"/>
    <w:rsid w:val="001877B0"/>
    <w:rsid w:val="001902C3"/>
    <w:rsid w:val="00190B78"/>
    <w:rsid w:val="001911AD"/>
    <w:rsid w:val="00192740"/>
    <w:rsid w:val="00193F97"/>
    <w:rsid w:val="00194197"/>
    <w:rsid w:val="00194985"/>
    <w:rsid w:val="00194A8E"/>
    <w:rsid w:val="00195E91"/>
    <w:rsid w:val="001966F0"/>
    <w:rsid w:val="00196A62"/>
    <w:rsid w:val="001A0487"/>
    <w:rsid w:val="001A10E3"/>
    <w:rsid w:val="001A1222"/>
    <w:rsid w:val="001A17EE"/>
    <w:rsid w:val="001A2CF1"/>
    <w:rsid w:val="001A4B3D"/>
    <w:rsid w:val="001A5358"/>
    <w:rsid w:val="001A6C62"/>
    <w:rsid w:val="001A7FDC"/>
    <w:rsid w:val="001B0EEE"/>
    <w:rsid w:val="001B1325"/>
    <w:rsid w:val="001B14C6"/>
    <w:rsid w:val="001B2061"/>
    <w:rsid w:val="001B4337"/>
    <w:rsid w:val="001B58E7"/>
    <w:rsid w:val="001B72F0"/>
    <w:rsid w:val="001B77BB"/>
    <w:rsid w:val="001C0A24"/>
    <w:rsid w:val="001C2E25"/>
    <w:rsid w:val="001C4A59"/>
    <w:rsid w:val="001C4BAA"/>
    <w:rsid w:val="001C5FDF"/>
    <w:rsid w:val="001C712C"/>
    <w:rsid w:val="001D2769"/>
    <w:rsid w:val="001D2DB6"/>
    <w:rsid w:val="001D3281"/>
    <w:rsid w:val="001D3324"/>
    <w:rsid w:val="001D54E0"/>
    <w:rsid w:val="001D5605"/>
    <w:rsid w:val="001D7A7E"/>
    <w:rsid w:val="001E07D3"/>
    <w:rsid w:val="001E0ECB"/>
    <w:rsid w:val="001E1DA7"/>
    <w:rsid w:val="001E21F0"/>
    <w:rsid w:val="001E548C"/>
    <w:rsid w:val="001F109D"/>
    <w:rsid w:val="001F1758"/>
    <w:rsid w:val="001F4241"/>
    <w:rsid w:val="001F4555"/>
    <w:rsid w:val="001F4F0A"/>
    <w:rsid w:val="001F5319"/>
    <w:rsid w:val="00201F18"/>
    <w:rsid w:val="002024EE"/>
    <w:rsid w:val="002026F8"/>
    <w:rsid w:val="00202B44"/>
    <w:rsid w:val="00202DAF"/>
    <w:rsid w:val="0020376E"/>
    <w:rsid w:val="0020394F"/>
    <w:rsid w:val="002055E4"/>
    <w:rsid w:val="00205E58"/>
    <w:rsid w:val="00205E80"/>
    <w:rsid w:val="00206688"/>
    <w:rsid w:val="002105FA"/>
    <w:rsid w:val="002109E6"/>
    <w:rsid w:val="0021132D"/>
    <w:rsid w:val="00213023"/>
    <w:rsid w:val="0021380D"/>
    <w:rsid w:val="00215AB4"/>
    <w:rsid w:val="0021690D"/>
    <w:rsid w:val="00216952"/>
    <w:rsid w:val="002179FA"/>
    <w:rsid w:val="0022054F"/>
    <w:rsid w:val="00220C0D"/>
    <w:rsid w:val="00221028"/>
    <w:rsid w:val="00222B37"/>
    <w:rsid w:val="00224210"/>
    <w:rsid w:val="00227E37"/>
    <w:rsid w:val="00230715"/>
    <w:rsid w:val="0023157E"/>
    <w:rsid w:val="00232B7B"/>
    <w:rsid w:val="00236325"/>
    <w:rsid w:val="00241D34"/>
    <w:rsid w:val="00242515"/>
    <w:rsid w:val="002426C7"/>
    <w:rsid w:val="00243B3A"/>
    <w:rsid w:val="002445C3"/>
    <w:rsid w:val="002446C7"/>
    <w:rsid w:val="0024470F"/>
    <w:rsid w:val="00244D89"/>
    <w:rsid w:val="0024665D"/>
    <w:rsid w:val="002467BC"/>
    <w:rsid w:val="00246ABD"/>
    <w:rsid w:val="00247F91"/>
    <w:rsid w:val="002509F1"/>
    <w:rsid w:val="00251375"/>
    <w:rsid w:val="00254C1F"/>
    <w:rsid w:val="00254FF0"/>
    <w:rsid w:val="00255E48"/>
    <w:rsid w:val="00257538"/>
    <w:rsid w:val="00257FAD"/>
    <w:rsid w:val="002606E5"/>
    <w:rsid w:val="00261CCB"/>
    <w:rsid w:val="002649D2"/>
    <w:rsid w:val="00265B2E"/>
    <w:rsid w:val="00274A65"/>
    <w:rsid w:val="00275283"/>
    <w:rsid w:val="00275730"/>
    <w:rsid w:val="00275AFF"/>
    <w:rsid w:val="00275F9D"/>
    <w:rsid w:val="00276565"/>
    <w:rsid w:val="00281762"/>
    <w:rsid w:val="00281C60"/>
    <w:rsid w:val="002829BC"/>
    <w:rsid w:val="002832FB"/>
    <w:rsid w:val="00283666"/>
    <w:rsid w:val="00285426"/>
    <w:rsid w:val="002869E5"/>
    <w:rsid w:val="0029094C"/>
    <w:rsid w:val="00293DC1"/>
    <w:rsid w:val="002A0984"/>
    <w:rsid w:val="002A0C4A"/>
    <w:rsid w:val="002A2EBF"/>
    <w:rsid w:val="002A3F3B"/>
    <w:rsid w:val="002A5D92"/>
    <w:rsid w:val="002A69F5"/>
    <w:rsid w:val="002A6E00"/>
    <w:rsid w:val="002A701A"/>
    <w:rsid w:val="002A70E2"/>
    <w:rsid w:val="002B0315"/>
    <w:rsid w:val="002B0408"/>
    <w:rsid w:val="002B0C17"/>
    <w:rsid w:val="002B2BE8"/>
    <w:rsid w:val="002B4CF3"/>
    <w:rsid w:val="002B6C76"/>
    <w:rsid w:val="002B7D97"/>
    <w:rsid w:val="002C0334"/>
    <w:rsid w:val="002C0873"/>
    <w:rsid w:val="002C0B2A"/>
    <w:rsid w:val="002C1686"/>
    <w:rsid w:val="002C3971"/>
    <w:rsid w:val="002C4BBB"/>
    <w:rsid w:val="002C6550"/>
    <w:rsid w:val="002D017F"/>
    <w:rsid w:val="002D0B90"/>
    <w:rsid w:val="002E008A"/>
    <w:rsid w:val="002E04A0"/>
    <w:rsid w:val="002E0CC9"/>
    <w:rsid w:val="002E147D"/>
    <w:rsid w:val="002E1F6F"/>
    <w:rsid w:val="002E4686"/>
    <w:rsid w:val="002E5B3A"/>
    <w:rsid w:val="002E78BB"/>
    <w:rsid w:val="002F04B6"/>
    <w:rsid w:val="002F11AD"/>
    <w:rsid w:val="002F1291"/>
    <w:rsid w:val="002F1834"/>
    <w:rsid w:val="002F3490"/>
    <w:rsid w:val="002F56B1"/>
    <w:rsid w:val="00300C38"/>
    <w:rsid w:val="00300C9C"/>
    <w:rsid w:val="00300E33"/>
    <w:rsid w:val="00302200"/>
    <w:rsid w:val="00302CBA"/>
    <w:rsid w:val="00305EDE"/>
    <w:rsid w:val="0030722F"/>
    <w:rsid w:val="003073E5"/>
    <w:rsid w:val="0031155A"/>
    <w:rsid w:val="003121B3"/>
    <w:rsid w:val="0031224E"/>
    <w:rsid w:val="00313782"/>
    <w:rsid w:val="003140AC"/>
    <w:rsid w:val="003152C5"/>
    <w:rsid w:val="0031546F"/>
    <w:rsid w:val="003167FA"/>
    <w:rsid w:val="0032079E"/>
    <w:rsid w:val="0032081D"/>
    <w:rsid w:val="00321165"/>
    <w:rsid w:val="00321445"/>
    <w:rsid w:val="003218FA"/>
    <w:rsid w:val="0032274A"/>
    <w:rsid w:val="0032400F"/>
    <w:rsid w:val="00324863"/>
    <w:rsid w:val="003252FC"/>
    <w:rsid w:val="003300E1"/>
    <w:rsid w:val="00331981"/>
    <w:rsid w:val="00332703"/>
    <w:rsid w:val="00332C53"/>
    <w:rsid w:val="00336070"/>
    <w:rsid w:val="00336679"/>
    <w:rsid w:val="00337BCC"/>
    <w:rsid w:val="00341C64"/>
    <w:rsid w:val="00341E37"/>
    <w:rsid w:val="0034213B"/>
    <w:rsid w:val="00342909"/>
    <w:rsid w:val="003445D2"/>
    <w:rsid w:val="003452EF"/>
    <w:rsid w:val="003453E6"/>
    <w:rsid w:val="00347626"/>
    <w:rsid w:val="00347B89"/>
    <w:rsid w:val="00353D73"/>
    <w:rsid w:val="00354B7B"/>
    <w:rsid w:val="00356427"/>
    <w:rsid w:val="00356A7C"/>
    <w:rsid w:val="00356CC9"/>
    <w:rsid w:val="003576E0"/>
    <w:rsid w:val="003578A0"/>
    <w:rsid w:val="00357F04"/>
    <w:rsid w:val="00360146"/>
    <w:rsid w:val="00360E77"/>
    <w:rsid w:val="00362058"/>
    <w:rsid w:val="003624F3"/>
    <w:rsid w:val="003658A4"/>
    <w:rsid w:val="00365B97"/>
    <w:rsid w:val="00366D7E"/>
    <w:rsid w:val="00370165"/>
    <w:rsid w:val="0037070F"/>
    <w:rsid w:val="0037115B"/>
    <w:rsid w:val="0037337B"/>
    <w:rsid w:val="00374A25"/>
    <w:rsid w:val="00376A01"/>
    <w:rsid w:val="00377C03"/>
    <w:rsid w:val="003814EC"/>
    <w:rsid w:val="00381FA4"/>
    <w:rsid w:val="00384DB7"/>
    <w:rsid w:val="003852F8"/>
    <w:rsid w:val="00386B14"/>
    <w:rsid w:val="00393F45"/>
    <w:rsid w:val="0039650C"/>
    <w:rsid w:val="00397097"/>
    <w:rsid w:val="003A0914"/>
    <w:rsid w:val="003A17CB"/>
    <w:rsid w:val="003A1AD6"/>
    <w:rsid w:val="003A34A6"/>
    <w:rsid w:val="003A3AAE"/>
    <w:rsid w:val="003A464E"/>
    <w:rsid w:val="003A7863"/>
    <w:rsid w:val="003B04A4"/>
    <w:rsid w:val="003B0C03"/>
    <w:rsid w:val="003B23C0"/>
    <w:rsid w:val="003B4CCA"/>
    <w:rsid w:val="003B5C7A"/>
    <w:rsid w:val="003B6053"/>
    <w:rsid w:val="003B608C"/>
    <w:rsid w:val="003B6B88"/>
    <w:rsid w:val="003B7307"/>
    <w:rsid w:val="003B74F2"/>
    <w:rsid w:val="003C2AFF"/>
    <w:rsid w:val="003C31E0"/>
    <w:rsid w:val="003C36E3"/>
    <w:rsid w:val="003C3900"/>
    <w:rsid w:val="003C3D5F"/>
    <w:rsid w:val="003C4CC3"/>
    <w:rsid w:val="003C527F"/>
    <w:rsid w:val="003C74B9"/>
    <w:rsid w:val="003C7D04"/>
    <w:rsid w:val="003D0513"/>
    <w:rsid w:val="003D212E"/>
    <w:rsid w:val="003D2D5B"/>
    <w:rsid w:val="003D37FE"/>
    <w:rsid w:val="003D3D16"/>
    <w:rsid w:val="003D4796"/>
    <w:rsid w:val="003D4DB0"/>
    <w:rsid w:val="003D72CE"/>
    <w:rsid w:val="003D79DE"/>
    <w:rsid w:val="003D7A70"/>
    <w:rsid w:val="003E0968"/>
    <w:rsid w:val="003E1037"/>
    <w:rsid w:val="003E1082"/>
    <w:rsid w:val="003E24E2"/>
    <w:rsid w:val="003E371A"/>
    <w:rsid w:val="003E37EA"/>
    <w:rsid w:val="003E4240"/>
    <w:rsid w:val="003E4422"/>
    <w:rsid w:val="003E59F7"/>
    <w:rsid w:val="003F0F24"/>
    <w:rsid w:val="003F3083"/>
    <w:rsid w:val="003F7AB2"/>
    <w:rsid w:val="00402596"/>
    <w:rsid w:val="004027F9"/>
    <w:rsid w:val="0040498D"/>
    <w:rsid w:val="00405A9D"/>
    <w:rsid w:val="0040758D"/>
    <w:rsid w:val="004106F1"/>
    <w:rsid w:val="00411428"/>
    <w:rsid w:val="00414524"/>
    <w:rsid w:val="0042002B"/>
    <w:rsid w:val="00420F47"/>
    <w:rsid w:val="00423860"/>
    <w:rsid w:val="00423A3E"/>
    <w:rsid w:val="004276A5"/>
    <w:rsid w:val="004303A9"/>
    <w:rsid w:val="00430524"/>
    <w:rsid w:val="00431115"/>
    <w:rsid w:val="00432732"/>
    <w:rsid w:val="00433137"/>
    <w:rsid w:val="004347AF"/>
    <w:rsid w:val="00434EEF"/>
    <w:rsid w:val="00435070"/>
    <w:rsid w:val="00435871"/>
    <w:rsid w:val="00437593"/>
    <w:rsid w:val="00437F24"/>
    <w:rsid w:val="00441725"/>
    <w:rsid w:val="0044370B"/>
    <w:rsid w:val="004462B2"/>
    <w:rsid w:val="0044642B"/>
    <w:rsid w:val="0044775B"/>
    <w:rsid w:val="00450870"/>
    <w:rsid w:val="00452787"/>
    <w:rsid w:val="0045363A"/>
    <w:rsid w:val="004545D0"/>
    <w:rsid w:val="00454B96"/>
    <w:rsid w:val="0045646A"/>
    <w:rsid w:val="004601F6"/>
    <w:rsid w:val="00460CD1"/>
    <w:rsid w:val="004614E3"/>
    <w:rsid w:val="00461AEA"/>
    <w:rsid w:val="0046298C"/>
    <w:rsid w:val="00465DDE"/>
    <w:rsid w:val="00466673"/>
    <w:rsid w:val="00466F81"/>
    <w:rsid w:val="004674BA"/>
    <w:rsid w:val="0047007B"/>
    <w:rsid w:val="00470354"/>
    <w:rsid w:val="00470C6C"/>
    <w:rsid w:val="00471058"/>
    <w:rsid w:val="004719AD"/>
    <w:rsid w:val="00471BCB"/>
    <w:rsid w:val="00472196"/>
    <w:rsid w:val="00474198"/>
    <w:rsid w:val="0047618A"/>
    <w:rsid w:val="00477998"/>
    <w:rsid w:val="00477B80"/>
    <w:rsid w:val="004800A2"/>
    <w:rsid w:val="0048029C"/>
    <w:rsid w:val="004810CB"/>
    <w:rsid w:val="004828EA"/>
    <w:rsid w:val="00482E73"/>
    <w:rsid w:val="00483A3E"/>
    <w:rsid w:val="0048458D"/>
    <w:rsid w:val="004849F2"/>
    <w:rsid w:val="00484B15"/>
    <w:rsid w:val="004853FC"/>
    <w:rsid w:val="00486546"/>
    <w:rsid w:val="004869BD"/>
    <w:rsid w:val="00487F23"/>
    <w:rsid w:val="004906C9"/>
    <w:rsid w:val="00490ABE"/>
    <w:rsid w:val="00490DED"/>
    <w:rsid w:val="00493B61"/>
    <w:rsid w:val="00494296"/>
    <w:rsid w:val="004948A0"/>
    <w:rsid w:val="0049534A"/>
    <w:rsid w:val="00495408"/>
    <w:rsid w:val="004956CD"/>
    <w:rsid w:val="00495F87"/>
    <w:rsid w:val="0049613D"/>
    <w:rsid w:val="004A0F81"/>
    <w:rsid w:val="004A281D"/>
    <w:rsid w:val="004A315C"/>
    <w:rsid w:val="004A3F4B"/>
    <w:rsid w:val="004A55E8"/>
    <w:rsid w:val="004A5610"/>
    <w:rsid w:val="004A5976"/>
    <w:rsid w:val="004A71A0"/>
    <w:rsid w:val="004B0E15"/>
    <w:rsid w:val="004B0F41"/>
    <w:rsid w:val="004B3CA8"/>
    <w:rsid w:val="004B5DF7"/>
    <w:rsid w:val="004C022E"/>
    <w:rsid w:val="004C3D34"/>
    <w:rsid w:val="004C53D1"/>
    <w:rsid w:val="004C7135"/>
    <w:rsid w:val="004D03ED"/>
    <w:rsid w:val="004D0E47"/>
    <w:rsid w:val="004D178F"/>
    <w:rsid w:val="004D425E"/>
    <w:rsid w:val="004D4F32"/>
    <w:rsid w:val="004D79BF"/>
    <w:rsid w:val="004D7C97"/>
    <w:rsid w:val="004D7F7E"/>
    <w:rsid w:val="004E0BC8"/>
    <w:rsid w:val="004E155C"/>
    <w:rsid w:val="004E32F5"/>
    <w:rsid w:val="004E3566"/>
    <w:rsid w:val="004E4099"/>
    <w:rsid w:val="004E4BA4"/>
    <w:rsid w:val="004E5A49"/>
    <w:rsid w:val="004F1071"/>
    <w:rsid w:val="004F1810"/>
    <w:rsid w:val="004F19AE"/>
    <w:rsid w:val="004F3B86"/>
    <w:rsid w:val="004F648D"/>
    <w:rsid w:val="004F6909"/>
    <w:rsid w:val="004F7CB4"/>
    <w:rsid w:val="0050128D"/>
    <w:rsid w:val="0050190F"/>
    <w:rsid w:val="005049C0"/>
    <w:rsid w:val="00507894"/>
    <w:rsid w:val="005125FF"/>
    <w:rsid w:val="005130ED"/>
    <w:rsid w:val="00513399"/>
    <w:rsid w:val="00514E27"/>
    <w:rsid w:val="00515433"/>
    <w:rsid w:val="0052034A"/>
    <w:rsid w:val="00520CC9"/>
    <w:rsid w:val="00521098"/>
    <w:rsid w:val="00522821"/>
    <w:rsid w:val="00522A3E"/>
    <w:rsid w:val="0052335E"/>
    <w:rsid w:val="00524C04"/>
    <w:rsid w:val="005266EC"/>
    <w:rsid w:val="00532F95"/>
    <w:rsid w:val="005332EB"/>
    <w:rsid w:val="005363E4"/>
    <w:rsid w:val="005375F4"/>
    <w:rsid w:val="005403BA"/>
    <w:rsid w:val="00545429"/>
    <w:rsid w:val="005465AB"/>
    <w:rsid w:val="00547276"/>
    <w:rsid w:val="0054762A"/>
    <w:rsid w:val="0054788B"/>
    <w:rsid w:val="0055138D"/>
    <w:rsid w:val="0055360C"/>
    <w:rsid w:val="00556930"/>
    <w:rsid w:val="0056055A"/>
    <w:rsid w:val="00562BEF"/>
    <w:rsid w:val="0056375D"/>
    <w:rsid w:val="00564976"/>
    <w:rsid w:val="00564B9F"/>
    <w:rsid w:val="00565CC7"/>
    <w:rsid w:val="00570545"/>
    <w:rsid w:val="005756A6"/>
    <w:rsid w:val="005759AA"/>
    <w:rsid w:val="00577354"/>
    <w:rsid w:val="00577E7F"/>
    <w:rsid w:val="005806AE"/>
    <w:rsid w:val="00580BAF"/>
    <w:rsid w:val="00582032"/>
    <w:rsid w:val="005839D2"/>
    <w:rsid w:val="00584319"/>
    <w:rsid w:val="00584B9C"/>
    <w:rsid w:val="0058570E"/>
    <w:rsid w:val="005861AC"/>
    <w:rsid w:val="00591F54"/>
    <w:rsid w:val="0059202F"/>
    <w:rsid w:val="00592284"/>
    <w:rsid w:val="00592753"/>
    <w:rsid w:val="00593E13"/>
    <w:rsid w:val="0059693D"/>
    <w:rsid w:val="005973AF"/>
    <w:rsid w:val="00597A68"/>
    <w:rsid w:val="005A04C3"/>
    <w:rsid w:val="005A3360"/>
    <w:rsid w:val="005A4C3B"/>
    <w:rsid w:val="005A50C9"/>
    <w:rsid w:val="005A5160"/>
    <w:rsid w:val="005A5312"/>
    <w:rsid w:val="005B0495"/>
    <w:rsid w:val="005B1F23"/>
    <w:rsid w:val="005B2BB0"/>
    <w:rsid w:val="005B517B"/>
    <w:rsid w:val="005B5C69"/>
    <w:rsid w:val="005B6113"/>
    <w:rsid w:val="005B660E"/>
    <w:rsid w:val="005C5A48"/>
    <w:rsid w:val="005D00CD"/>
    <w:rsid w:val="005D0639"/>
    <w:rsid w:val="005D1433"/>
    <w:rsid w:val="005D245F"/>
    <w:rsid w:val="005D252B"/>
    <w:rsid w:val="005D2CE5"/>
    <w:rsid w:val="005D66DA"/>
    <w:rsid w:val="005E07DF"/>
    <w:rsid w:val="005E2240"/>
    <w:rsid w:val="005E3604"/>
    <w:rsid w:val="005E4239"/>
    <w:rsid w:val="005E4C61"/>
    <w:rsid w:val="005E5B1B"/>
    <w:rsid w:val="005E5C9F"/>
    <w:rsid w:val="005F366E"/>
    <w:rsid w:val="005F3B8C"/>
    <w:rsid w:val="005F3D21"/>
    <w:rsid w:val="005F4801"/>
    <w:rsid w:val="005F4A19"/>
    <w:rsid w:val="005F63A0"/>
    <w:rsid w:val="005F66A9"/>
    <w:rsid w:val="005F757B"/>
    <w:rsid w:val="0060019E"/>
    <w:rsid w:val="00601425"/>
    <w:rsid w:val="00602989"/>
    <w:rsid w:val="00603DDA"/>
    <w:rsid w:val="006044F3"/>
    <w:rsid w:val="00604F17"/>
    <w:rsid w:val="00605C7D"/>
    <w:rsid w:val="006069AE"/>
    <w:rsid w:val="00606A76"/>
    <w:rsid w:val="006071F0"/>
    <w:rsid w:val="0061198F"/>
    <w:rsid w:val="00612945"/>
    <w:rsid w:val="0061350B"/>
    <w:rsid w:val="00615184"/>
    <w:rsid w:val="006152CA"/>
    <w:rsid w:val="0061568C"/>
    <w:rsid w:val="00624906"/>
    <w:rsid w:val="00630063"/>
    <w:rsid w:val="00630BEC"/>
    <w:rsid w:val="00632B76"/>
    <w:rsid w:val="00633D64"/>
    <w:rsid w:val="00635597"/>
    <w:rsid w:val="00640086"/>
    <w:rsid w:val="006413AD"/>
    <w:rsid w:val="00641E15"/>
    <w:rsid w:val="006423E5"/>
    <w:rsid w:val="00643C52"/>
    <w:rsid w:val="006444CF"/>
    <w:rsid w:val="006457ED"/>
    <w:rsid w:val="00647494"/>
    <w:rsid w:val="006500D6"/>
    <w:rsid w:val="006505AE"/>
    <w:rsid w:val="00650D42"/>
    <w:rsid w:val="00650F25"/>
    <w:rsid w:val="0065182A"/>
    <w:rsid w:val="00652CFB"/>
    <w:rsid w:val="006535F0"/>
    <w:rsid w:val="0065527D"/>
    <w:rsid w:val="006553EB"/>
    <w:rsid w:val="006557D5"/>
    <w:rsid w:val="0065769B"/>
    <w:rsid w:val="00657934"/>
    <w:rsid w:val="00657D07"/>
    <w:rsid w:val="00662592"/>
    <w:rsid w:val="006667D6"/>
    <w:rsid w:val="00666CB9"/>
    <w:rsid w:val="00666E3A"/>
    <w:rsid w:val="006676C4"/>
    <w:rsid w:val="0067061E"/>
    <w:rsid w:val="00670BA4"/>
    <w:rsid w:val="00670ED9"/>
    <w:rsid w:val="0067285C"/>
    <w:rsid w:val="00672D14"/>
    <w:rsid w:val="00672D4F"/>
    <w:rsid w:val="0067314A"/>
    <w:rsid w:val="0067484D"/>
    <w:rsid w:val="00674D08"/>
    <w:rsid w:val="00675885"/>
    <w:rsid w:val="00680281"/>
    <w:rsid w:val="00681072"/>
    <w:rsid w:val="0068189D"/>
    <w:rsid w:val="00681DB4"/>
    <w:rsid w:val="00684B8F"/>
    <w:rsid w:val="006866C0"/>
    <w:rsid w:val="00687C04"/>
    <w:rsid w:val="006914E8"/>
    <w:rsid w:val="0069655E"/>
    <w:rsid w:val="00697FC9"/>
    <w:rsid w:val="006A046B"/>
    <w:rsid w:val="006A2DDB"/>
    <w:rsid w:val="006A376A"/>
    <w:rsid w:val="006A40C6"/>
    <w:rsid w:val="006A42AD"/>
    <w:rsid w:val="006A4E33"/>
    <w:rsid w:val="006A59F0"/>
    <w:rsid w:val="006A6909"/>
    <w:rsid w:val="006A6A47"/>
    <w:rsid w:val="006A6CBD"/>
    <w:rsid w:val="006B0911"/>
    <w:rsid w:val="006B1680"/>
    <w:rsid w:val="006B1879"/>
    <w:rsid w:val="006B23BE"/>
    <w:rsid w:val="006B309A"/>
    <w:rsid w:val="006B3BC6"/>
    <w:rsid w:val="006B7EF7"/>
    <w:rsid w:val="006C0675"/>
    <w:rsid w:val="006C0685"/>
    <w:rsid w:val="006C1ED5"/>
    <w:rsid w:val="006C31F3"/>
    <w:rsid w:val="006C43E3"/>
    <w:rsid w:val="006C441A"/>
    <w:rsid w:val="006C52CA"/>
    <w:rsid w:val="006C5AE4"/>
    <w:rsid w:val="006C6CED"/>
    <w:rsid w:val="006D0891"/>
    <w:rsid w:val="006D0EED"/>
    <w:rsid w:val="006D2BDA"/>
    <w:rsid w:val="006D3137"/>
    <w:rsid w:val="006D4D40"/>
    <w:rsid w:val="006D5334"/>
    <w:rsid w:val="006D61A3"/>
    <w:rsid w:val="006D7731"/>
    <w:rsid w:val="006D773C"/>
    <w:rsid w:val="006E054A"/>
    <w:rsid w:val="006E13FE"/>
    <w:rsid w:val="006E205D"/>
    <w:rsid w:val="006E2B3E"/>
    <w:rsid w:val="006E2EE4"/>
    <w:rsid w:val="006E3138"/>
    <w:rsid w:val="006E3EA9"/>
    <w:rsid w:val="006E46F7"/>
    <w:rsid w:val="006E4B9E"/>
    <w:rsid w:val="006E5C50"/>
    <w:rsid w:val="006F003D"/>
    <w:rsid w:val="006F080A"/>
    <w:rsid w:val="006F0B1E"/>
    <w:rsid w:val="006F1A97"/>
    <w:rsid w:val="006F1D8A"/>
    <w:rsid w:val="006F1EC4"/>
    <w:rsid w:val="006F2C36"/>
    <w:rsid w:val="006F428D"/>
    <w:rsid w:val="006F472C"/>
    <w:rsid w:val="006F5097"/>
    <w:rsid w:val="006F5A36"/>
    <w:rsid w:val="006F60BC"/>
    <w:rsid w:val="006F688A"/>
    <w:rsid w:val="007011BD"/>
    <w:rsid w:val="00701F08"/>
    <w:rsid w:val="007022AF"/>
    <w:rsid w:val="00703770"/>
    <w:rsid w:val="00704E69"/>
    <w:rsid w:val="0070607F"/>
    <w:rsid w:val="00711DFC"/>
    <w:rsid w:val="00711EAB"/>
    <w:rsid w:val="00714BC6"/>
    <w:rsid w:val="007164A9"/>
    <w:rsid w:val="00722A1F"/>
    <w:rsid w:val="00722BC1"/>
    <w:rsid w:val="00724755"/>
    <w:rsid w:val="00726D62"/>
    <w:rsid w:val="0072736C"/>
    <w:rsid w:val="007303B9"/>
    <w:rsid w:val="00730FE8"/>
    <w:rsid w:val="00732953"/>
    <w:rsid w:val="00734034"/>
    <w:rsid w:val="00734D56"/>
    <w:rsid w:val="00735DF5"/>
    <w:rsid w:val="007368A9"/>
    <w:rsid w:val="00736A24"/>
    <w:rsid w:val="00737E44"/>
    <w:rsid w:val="007410CA"/>
    <w:rsid w:val="0074486B"/>
    <w:rsid w:val="00744ED0"/>
    <w:rsid w:val="00745559"/>
    <w:rsid w:val="00746219"/>
    <w:rsid w:val="00747D55"/>
    <w:rsid w:val="00747EF2"/>
    <w:rsid w:val="0075116C"/>
    <w:rsid w:val="0075267D"/>
    <w:rsid w:val="0075319C"/>
    <w:rsid w:val="0075528B"/>
    <w:rsid w:val="0075677F"/>
    <w:rsid w:val="00756D72"/>
    <w:rsid w:val="00760421"/>
    <w:rsid w:val="007606F3"/>
    <w:rsid w:val="00762982"/>
    <w:rsid w:val="00762B69"/>
    <w:rsid w:val="00763338"/>
    <w:rsid w:val="0076458C"/>
    <w:rsid w:val="00764854"/>
    <w:rsid w:val="00766D7C"/>
    <w:rsid w:val="0076780E"/>
    <w:rsid w:val="007679B9"/>
    <w:rsid w:val="00767E51"/>
    <w:rsid w:val="007703E6"/>
    <w:rsid w:val="00770930"/>
    <w:rsid w:val="00771750"/>
    <w:rsid w:val="00772649"/>
    <w:rsid w:val="00773687"/>
    <w:rsid w:val="00773858"/>
    <w:rsid w:val="00774056"/>
    <w:rsid w:val="00776CE8"/>
    <w:rsid w:val="00777455"/>
    <w:rsid w:val="007779D5"/>
    <w:rsid w:val="007810B2"/>
    <w:rsid w:val="0078259F"/>
    <w:rsid w:val="007828E4"/>
    <w:rsid w:val="00783294"/>
    <w:rsid w:val="007846A8"/>
    <w:rsid w:val="007862BD"/>
    <w:rsid w:val="00786B2D"/>
    <w:rsid w:val="00790264"/>
    <w:rsid w:val="0079124C"/>
    <w:rsid w:val="00791506"/>
    <w:rsid w:val="00792520"/>
    <w:rsid w:val="0079271E"/>
    <w:rsid w:val="0079310B"/>
    <w:rsid w:val="0079434E"/>
    <w:rsid w:val="00796D00"/>
    <w:rsid w:val="007977CF"/>
    <w:rsid w:val="007A6E77"/>
    <w:rsid w:val="007A7437"/>
    <w:rsid w:val="007A7A98"/>
    <w:rsid w:val="007B25A6"/>
    <w:rsid w:val="007B4A48"/>
    <w:rsid w:val="007B5C10"/>
    <w:rsid w:val="007B6EAF"/>
    <w:rsid w:val="007B71FD"/>
    <w:rsid w:val="007C0083"/>
    <w:rsid w:val="007C0F2A"/>
    <w:rsid w:val="007C1898"/>
    <w:rsid w:val="007C286E"/>
    <w:rsid w:val="007C2D5F"/>
    <w:rsid w:val="007C3061"/>
    <w:rsid w:val="007C3136"/>
    <w:rsid w:val="007C38DE"/>
    <w:rsid w:val="007C3D05"/>
    <w:rsid w:val="007C3D69"/>
    <w:rsid w:val="007C471D"/>
    <w:rsid w:val="007C5A74"/>
    <w:rsid w:val="007C6A77"/>
    <w:rsid w:val="007C7CBA"/>
    <w:rsid w:val="007D128F"/>
    <w:rsid w:val="007D1320"/>
    <w:rsid w:val="007D23A1"/>
    <w:rsid w:val="007D4509"/>
    <w:rsid w:val="007D4EF8"/>
    <w:rsid w:val="007D6B1B"/>
    <w:rsid w:val="007D7403"/>
    <w:rsid w:val="007E05D7"/>
    <w:rsid w:val="007E0B77"/>
    <w:rsid w:val="007E2876"/>
    <w:rsid w:val="007E28D1"/>
    <w:rsid w:val="007E7688"/>
    <w:rsid w:val="007F1A0F"/>
    <w:rsid w:val="007F28A7"/>
    <w:rsid w:val="007F63E6"/>
    <w:rsid w:val="007F75E6"/>
    <w:rsid w:val="00800B31"/>
    <w:rsid w:val="00801F47"/>
    <w:rsid w:val="008021D1"/>
    <w:rsid w:val="00806348"/>
    <w:rsid w:val="00807444"/>
    <w:rsid w:val="0080754B"/>
    <w:rsid w:val="00812FA6"/>
    <w:rsid w:val="008138CD"/>
    <w:rsid w:val="00814F1C"/>
    <w:rsid w:val="008150C8"/>
    <w:rsid w:val="00816937"/>
    <w:rsid w:val="00816F9A"/>
    <w:rsid w:val="0081774F"/>
    <w:rsid w:val="00817C85"/>
    <w:rsid w:val="0082049E"/>
    <w:rsid w:val="0082093F"/>
    <w:rsid w:val="00820EC1"/>
    <w:rsid w:val="008214FA"/>
    <w:rsid w:val="00823051"/>
    <w:rsid w:val="0082371A"/>
    <w:rsid w:val="008267B8"/>
    <w:rsid w:val="00830504"/>
    <w:rsid w:val="008312C3"/>
    <w:rsid w:val="0083152E"/>
    <w:rsid w:val="008332A7"/>
    <w:rsid w:val="00834025"/>
    <w:rsid w:val="0083537E"/>
    <w:rsid w:val="00835454"/>
    <w:rsid w:val="00835A29"/>
    <w:rsid w:val="00836E2E"/>
    <w:rsid w:val="008376A6"/>
    <w:rsid w:val="00837E2C"/>
    <w:rsid w:val="008418A7"/>
    <w:rsid w:val="0084426E"/>
    <w:rsid w:val="0084470E"/>
    <w:rsid w:val="00845265"/>
    <w:rsid w:val="00845C1F"/>
    <w:rsid w:val="008472E4"/>
    <w:rsid w:val="00847C12"/>
    <w:rsid w:val="00850E20"/>
    <w:rsid w:val="0085162F"/>
    <w:rsid w:val="00851860"/>
    <w:rsid w:val="00851E02"/>
    <w:rsid w:val="00853E92"/>
    <w:rsid w:val="0085608F"/>
    <w:rsid w:val="008566AC"/>
    <w:rsid w:val="0085781D"/>
    <w:rsid w:val="00863190"/>
    <w:rsid w:val="00863496"/>
    <w:rsid w:val="0086542B"/>
    <w:rsid w:val="00865CA5"/>
    <w:rsid w:val="0086622F"/>
    <w:rsid w:val="00866958"/>
    <w:rsid w:val="00866D96"/>
    <w:rsid w:val="00867243"/>
    <w:rsid w:val="00867312"/>
    <w:rsid w:val="0086747A"/>
    <w:rsid w:val="0087024C"/>
    <w:rsid w:val="00870B41"/>
    <w:rsid w:val="008719FA"/>
    <w:rsid w:val="00871B16"/>
    <w:rsid w:val="008749F8"/>
    <w:rsid w:val="008814A9"/>
    <w:rsid w:val="008838B0"/>
    <w:rsid w:val="00883D99"/>
    <w:rsid w:val="008845C4"/>
    <w:rsid w:val="00884CBA"/>
    <w:rsid w:val="008850F0"/>
    <w:rsid w:val="0088592B"/>
    <w:rsid w:val="00886221"/>
    <w:rsid w:val="0088628B"/>
    <w:rsid w:val="0088685F"/>
    <w:rsid w:val="00886FCE"/>
    <w:rsid w:val="00887E24"/>
    <w:rsid w:val="00892ADF"/>
    <w:rsid w:val="00893623"/>
    <w:rsid w:val="008939C9"/>
    <w:rsid w:val="00894648"/>
    <w:rsid w:val="008953F5"/>
    <w:rsid w:val="00895503"/>
    <w:rsid w:val="00895769"/>
    <w:rsid w:val="00895DF8"/>
    <w:rsid w:val="00897BDD"/>
    <w:rsid w:val="008A1733"/>
    <w:rsid w:val="008A1BC7"/>
    <w:rsid w:val="008A1F9B"/>
    <w:rsid w:val="008A4998"/>
    <w:rsid w:val="008A620A"/>
    <w:rsid w:val="008A7094"/>
    <w:rsid w:val="008B1964"/>
    <w:rsid w:val="008B1A90"/>
    <w:rsid w:val="008B238D"/>
    <w:rsid w:val="008B3899"/>
    <w:rsid w:val="008B51C5"/>
    <w:rsid w:val="008B7418"/>
    <w:rsid w:val="008B795A"/>
    <w:rsid w:val="008C0D3F"/>
    <w:rsid w:val="008C1B24"/>
    <w:rsid w:val="008C27D7"/>
    <w:rsid w:val="008C4F14"/>
    <w:rsid w:val="008C4F74"/>
    <w:rsid w:val="008C7CCE"/>
    <w:rsid w:val="008D0087"/>
    <w:rsid w:val="008D5B1D"/>
    <w:rsid w:val="008D71BA"/>
    <w:rsid w:val="008D7A37"/>
    <w:rsid w:val="008E27E5"/>
    <w:rsid w:val="008E2B1A"/>
    <w:rsid w:val="008E5B97"/>
    <w:rsid w:val="008E6693"/>
    <w:rsid w:val="008E6BDB"/>
    <w:rsid w:val="008E7C8B"/>
    <w:rsid w:val="008F1083"/>
    <w:rsid w:val="008F2570"/>
    <w:rsid w:val="008F398B"/>
    <w:rsid w:val="008F51E4"/>
    <w:rsid w:val="008F7900"/>
    <w:rsid w:val="008F7E1C"/>
    <w:rsid w:val="0090220A"/>
    <w:rsid w:val="00904558"/>
    <w:rsid w:val="0090468D"/>
    <w:rsid w:val="00906A98"/>
    <w:rsid w:val="00906DE2"/>
    <w:rsid w:val="009077A1"/>
    <w:rsid w:val="00907FA9"/>
    <w:rsid w:val="009117F4"/>
    <w:rsid w:val="00911EFC"/>
    <w:rsid w:val="00912775"/>
    <w:rsid w:val="009132D8"/>
    <w:rsid w:val="00913F7D"/>
    <w:rsid w:val="00914C27"/>
    <w:rsid w:val="00915BBC"/>
    <w:rsid w:val="00917126"/>
    <w:rsid w:val="00920309"/>
    <w:rsid w:val="00920393"/>
    <w:rsid w:val="00920459"/>
    <w:rsid w:val="00921263"/>
    <w:rsid w:val="009217DB"/>
    <w:rsid w:val="00921B78"/>
    <w:rsid w:val="00922DDC"/>
    <w:rsid w:val="00923DC6"/>
    <w:rsid w:val="0092495E"/>
    <w:rsid w:val="009260C3"/>
    <w:rsid w:val="009264F0"/>
    <w:rsid w:val="009304AB"/>
    <w:rsid w:val="00930CB9"/>
    <w:rsid w:val="009316B4"/>
    <w:rsid w:val="009319D6"/>
    <w:rsid w:val="00932269"/>
    <w:rsid w:val="0093254A"/>
    <w:rsid w:val="00932F14"/>
    <w:rsid w:val="00934B82"/>
    <w:rsid w:val="009358B1"/>
    <w:rsid w:val="00935938"/>
    <w:rsid w:val="00936F2D"/>
    <w:rsid w:val="00937104"/>
    <w:rsid w:val="0093715C"/>
    <w:rsid w:val="0094039E"/>
    <w:rsid w:val="009408E6"/>
    <w:rsid w:val="00941627"/>
    <w:rsid w:val="00941AE4"/>
    <w:rsid w:val="00941D64"/>
    <w:rsid w:val="009440DB"/>
    <w:rsid w:val="0094410F"/>
    <w:rsid w:val="009444B5"/>
    <w:rsid w:val="00945C45"/>
    <w:rsid w:val="00950405"/>
    <w:rsid w:val="00952783"/>
    <w:rsid w:val="00956A8F"/>
    <w:rsid w:val="00956B16"/>
    <w:rsid w:val="0095785E"/>
    <w:rsid w:val="009611A6"/>
    <w:rsid w:val="0096324C"/>
    <w:rsid w:val="00965ADE"/>
    <w:rsid w:val="00965F03"/>
    <w:rsid w:val="00967A38"/>
    <w:rsid w:val="009706AA"/>
    <w:rsid w:val="009722B3"/>
    <w:rsid w:val="00972A60"/>
    <w:rsid w:val="00973571"/>
    <w:rsid w:val="00974AB6"/>
    <w:rsid w:val="0097659D"/>
    <w:rsid w:val="00976FAC"/>
    <w:rsid w:val="009778D4"/>
    <w:rsid w:val="00980E6F"/>
    <w:rsid w:val="00983032"/>
    <w:rsid w:val="009842EF"/>
    <w:rsid w:val="0098644E"/>
    <w:rsid w:val="00987655"/>
    <w:rsid w:val="009907E1"/>
    <w:rsid w:val="009914EC"/>
    <w:rsid w:val="009917B1"/>
    <w:rsid w:val="00992875"/>
    <w:rsid w:val="00993A86"/>
    <w:rsid w:val="009940DB"/>
    <w:rsid w:val="00994247"/>
    <w:rsid w:val="009954D4"/>
    <w:rsid w:val="009A1C8E"/>
    <w:rsid w:val="009A1F5D"/>
    <w:rsid w:val="009A25A4"/>
    <w:rsid w:val="009A2C6A"/>
    <w:rsid w:val="009A2DCF"/>
    <w:rsid w:val="009A3D4D"/>
    <w:rsid w:val="009A541A"/>
    <w:rsid w:val="009A56FD"/>
    <w:rsid w:val="009A695C"/>
    <w:rsid w:val="009B121D"/>
    <w:rsid w:val="009B249C"/>
    <w:rsid w:val="009B2658"/>
    <w:rsid w:val="009B2E5F"/>
    <w:rsid w:val="009B34BE"/>
    <w:rsid w:val="009B38CE"/>
    <w:rsid w:val="009B6124"/>
    <w:rsid w:val="009B7901"/>
    <w:rsid w:val="009C1B26"/>
    <w:rsid w:val="009C7BF7"/>
    <w:rsid w:val="009D12F5"/>
    <w:rsid w:val="009D3B74"/>
    <w:rsid w:val="009D73D7"/>
    <w:rsid w:val="009D76D2"/>
    <w:rsid w:val="009D76E8"/>
    <w:rsid w:val="009E086D"/>
    <w:rsid w:val="009E1819"/>
    <w:rsid w:val="009E203D"/>
    <w:rsid w:val="009E20AB"/>
    <w:rsid w:val="009E3150"/>
    <w:rsid w:val="009E3D55"/>
    <w:rsid w:val="009F14EB"/>
    <w:rsid w:val="009F2038"/>
    <w:rsid w:val="009F2B44"/>
    <w:rsid w:val="009F4CFB"/>
    <w:rsid w:val="009F4E78"/>
    <w:rsid w:val="009F55AF"/>
    <w:rsid w:val="00A02A92"/>
    <w:rsid w:val="00A032FB"/>
    <w:rsid w:val="00A12161"/>
    <w:rsid w:val="00A14B71"/>
    <w:rsid w:val="00A17511"/>
    <w:rsid w:val="00A20A69"/>
    <w:rsid w:val="00A21050"/>
    <w:rsid w:val="00A21691"/>
    <w:rsid w:val="00A227D2"/>
    <w:rsid w:val="00A230A4"/>
    <w:rsid w:val="00A25362"/>
    <w:rsid w:val="00A256A3"/>
    <w:rsid w:val="00A27064"/>
    <w:rsid w:val="00A278CB"/>
    <w:rsid w:val="00A27D31"/>
    <w:rsid w:val="00A30047"/>
    <w:rsid w:val="00A30D0F"/>
    <w:rsid w:val="00A313FB"/>
    <w:rsid w:val="00A316E1"/>
    <w:rsid w:val="00A33AFF"/>
    <w:rsid w:val="00A34B5A"/>
    <w:rsid w:val="00A35131"/>
    <w:rsid w:val="00A35794"/>
    <w:rsid w:val="00A36991"/>
    <w:rsid w:val="00A36D32"/>
    <w:rsid w:val="00A37BFC"/>
    <w:rsid w:val="00A40683"/>
    <w:rsid w:val="00A40F3D"/>
    <w:rsid w:val="00A41967"/>
    <w:rsid w:val="00A41DC6"/>
    <w:rsid w:val="00A43475"/>
    <w:rsid w:val="00A45994"/>
    <w:rsid w:val="00A47C93"/>
    <w:rsid w:val="00A5010D"/>
    <w:rsid w:val="00A532BB"/>
    <w:rsid w:val="00A55CC2"/>
    <w:rsid w:val="00A57D26"/>
    <w:rsid w:val="00A6004A"/>
    <w:rsid w:val="00A60AA2"/>
    <w:rsid w:val="00A60D8A"/>
    <w:rsid w:val="00A62306"/>
    <w:rsid w:val="00A62A58"/>
    <w:rsid w:val="00A62C28"/>
    <w:rsid w:val="00A62ECD"/>
    <w:rsid w:val="00A6366B"/>
    <w:rsid w:val="00A64375"/>
    <w:rsid w:val="00A6516D"/>
    <w:rsid w:val="00A656A9"/>
    <w:rsid w:val="00A6588A"/>
    <w:rsid w:val="00A65BB5"/>
    <w:rsid w:val="00A65F71"/>
    <w:rsid w:val="00A66C33"/>
    <w:rsid w:val="00A67B21"/>
    <w:rsid w:val="00A706B5"/>
    <w:rsid w:val="00A7083E"/>
    <w:rsid w:val="00A72E98"/>
    <w:rsid w:val="00A74097"/>
    <w:rsid w:val="00A754BD"/>
    <w:rsid w:val="00A77BAF"/>
    <w:rsid w:val="00A807BA"/>
    <w:rsid w:val="00A80BD4"/>
    <w:rsid w:val="00A83CF1"/>
    <w:rsid w:val="00A84107"/>
    <w:rsid w:val="00A85B89"/>
    <w:rsid w:val="00A91935"/>
    <w:rsid w:val="00A9204A"/>
    <w:rsid w:val="00A921AB"/>
    <w:rsid w:val="00A9266E"/>
    <w:rsid w:val="00A92AA0"/>
    <w:rsid w:val="00A92C36"/>
    <w:rsid w:val="00A95C55"/>
    <w:rsid w:val="00A95E33"/>
    <w:rsid w:val="00AA03A8"/>
    <w:rsid w:val="00AA0F07"/>
    <w:rsid w:val="00AA28D8"/>
    <w:rsid w:val="00AA6AC3"/>
    <w:rsid w:val="00AA732B"/>
    <w:rsid w:val="00AB0AE6"/>
    <w:rsid w:val="00AB1992"/>
    <w:rsid w:val="00AB1BB5"/>
    <w:rsid w:val="00AB1C36"/>
    <w:rsid w:val="00AB23D1"/>
    <w:rsid w:val="00AB2691"/>
    <w:rsid w:val="00AB33EE"/>
    <w:rsid w:val="00AB3729"/>
    <w:rsid w:val="00AB401B"/>
    <w:rsid w:val="00AB40C4"/>
    <w:rsid w:val="00AB6DCF"/>
    <w:rsid w:val="00AC120C"/>
    <w:rsid w:val="00AC1B0C"/>
    <w:rsid w:val="00AC21CE"/>
    <w:rsid w:val="00AC2DE6"/>
    <w:rsid w:val="00AC3F41"/>
    <w:rsid w:val="00AC56B9"/>
    <w:rsid w:val="00AC77D3"/>
    <w:rsid w:val="00AD05EC"/>
    <w:rsid w:val="00AD0619"/>
    <w:rsid w:val="00AD085F"/>
    <w:rsid w:val="00AD153A"/>
    <w:rsid w:val="00AD1C68"/>
    <w:rsid w:val="00AD2792"/>
    <w:rsid w:val="00AD39A6"/>
    <w:rsid w:val="00AD41C9"/>
    <w:rsid w:val="00AD6141"/>
    <w:rsid w:val="00AD7BDB"/>
    <w:rsid w:val="00AE0B7C"/>
    <w:rsid w:val="00AE244C"/>
    <w:rsid w:val="00AE4065"/>
    <w:rsid w:val="00AE6BEB"/>
    <w:rsid w:val="00AE733A"/>
    <w:rsid w:val="00AF1825"/>
    <w:rsid w:val="00AF1843"/>
    <w:rsid w:val="00AF3628"/>
    <w:rsid w:val="00AF4B70"/>
    <w:rsid w:val="00AF4F26"/>
    <w:rsid w:val="00AF5656"/>
    <w:rsid w:val="00B016ED"/>
    <w:rsid w:val="00B03036"/>
    <w:rsid w:val="00B04F5C"/>
    <w:rsid w:val="00B050E7"/>
    <w:rsid w:val="00B0667D"/>
    <w:rsid w:val="00B067AB"/>
    <w:rsid w:val="00B114AB"/>
    <w:rsid w:val="00B11770"/>
    <w:rsid w:val="00B13929"/>
    <w:rsid w:val="00B13FA2"/>
    <w:rsid w:val="00B15301"/>
    <w:rsid w:val="00B1643E"/>
    <w:rsid w:val="00B17080"/>
    <w:rsid w:val="00B23D22"/>
    <w:rsid w:val="00B26CF5"/>
    <w:rsid w:val="00B30F7B"/>
    <w:rsid w:val="00B3189B"/>
    <w:rsid w:val="00B32FA9"/>
    <w:rsid w:val="00B34999"/>
    <w:rsid w:val="00B354E2"/>
    <w:rsid w:val="00B35D2F"/>
    <w:rsid w:val="00B35DCA"/>
    <w:rsid w:val="00B36A49"/>
    <w:rsid w:val="00B36BDB"/>
    <w:rsid w:val="00B402FA"/>
    <w:rsid w:val="00B409E7"/>
    <w:rsid w:val="00B40BD6"/>
    <w:rsid w:val="00B421EA"/>
    <w:rsid w:val="00B42BB8"/>
    <w:rsid w:val="00B42ED7"/>
    <w:rsid w:val="00B44DF5"/>
    <w:rsid w:val="00B46397"/>
    <w:rsid w:val="00B50808"/>
    <w:rsid w:val="00B508FC"/>
    <w:rsid w:val="00B5179F"/>
    <w:rsid w:val="00B52244"/>
    <w:rsid w:val="00B5236D"/>
    <w:rsid w:val="00B5256A"/>
    <w:rsid w:val="00B5256F"/>
    <w:rsid w:val="00B551B6"/>
    <w:rsid w:val="00B556CE"/>
    <w:rsid w:val="00B57191"/>
    <w:rsid w:val="00B57792"/>
    <w:rsid w:val="00B6183A"/>
    <w:rsid w:val="00B6352A"/>
    <w:rsid w:val="00B6497B"/>
    <w:rsid w:val="00B64D8F"/>
    <w:rsid w:val="00B65149"/>
    <w:rsid w:val="00B66C40"/>
    <w:rsid w:val="00B74ACA"/>
    <w:rsid w:val="00B74BB9"/>
    <w:rsid w:val="00B7668E"/>
    <w:rsid w:val="00B76996"/>
    <w:rsid w:val="00B76A83"/>
    <w:rsid w:val="00B776E5"/>
    <w:rsid w:val="00B802E1"/>
    <w:rsid w:val="00B810A3"/>
    <w:rsid w:val="00B8317D"/>
    <w:rsid w:val="00B839AA"/>
    <w:rsid w:val="00B83C67"/>
    <w:rsid w:val="00B851F2"/>
    <w:rsid w:val="00B85821"/>
    <w:rsid w:val="00B85A9E"/>
    <w:rsid w:val="00B906BB"/>
    <w:rsid w:val="00B92D33"/>
    <w:rsid w:val="00B93153"/>
    <w:rsid w:val="00B974A1"/>
    <w:rsid w:val="00B9776C"/>
    <w:rsid w:val="00B97D17"/>
    <w:rsid w:val="00BA0F4D"/>
    <w:rsid w:val="00BA503B"/>
    <w:rsid w:val="00BA78F7"/>
    <w:rsid w:val="00BB0523"/>
    <w:rsid w:val="00BB0A0A"/>
    <w:rsid w:val="00BB298A"/>
    <w:rsid w:val="00BB4F2E"/>
    <w:rsid w:val="00BB5DDE"/>
    <w:rsid w:val="00BC048A"/>
    <w:rsid w:val="00BC2205"/>
    <w:rsid w:val="00BC253F"/>
    <w:rsid w:val="00BC365A"/>
    <w:rsid w:val="00BC3A79"/>
    <w:rsid w:val="00BD151B"/>
    <w:rsid w:val="00BD29E3"/>
    <w:rsid w:val="00BD38BA"/>
    <w:rsid w:val="00BD49C6"/>
    <w:rsid w:val="00BD6EEC"/>
    <w:rsid w:val="00BD783F"/>
    <w:rsid w:val="00BD7911"/>
    <w:rsid w:val="00BE0E2F"/>
    <w:rsid w:val="00BE11EA"/>
    <w:rsid w:val="00BE1C9A"/>
    <w:rsid w:val="00BE43C0"/>
    <w:rsid w:val="00BE4775"/>
    <w:rsid w:val="00BE4966"/>
    <w:rsid w:val="00BE4B17"/>
    <w:rsid w:val="00BE726E"/>
    <w:rsid w:val="00BE79F6"/>
    <w:rsid w:val="00BF66DE"/>
    <w:rsid w:val="00BF700D"/>
    <w:rsid w:val="00BF72AC"/>
    <w:rsid w:val="00BF74F1"/>
    <w:rsid w:val="00BF7DC3"/>
    <w:rsid w:val="00C008B3"/>
    <w:rsid w:val="00C00BD7"/>
    <w:rsid w:val="00C01923"/>
    <w:rsid w:val="00C024C4"/>
    <w:rsid w:val="00C03E94"/>
    <w:rsid w:val="00C04643"/>
    <w:rsid w:val="00C0488E"/>
    <w:rsid w:val="00C05A7D"/>
    <w:rsid w:val="00C06436"/>
    <w:rsid w:val="00C0647A"/>
    <w:rsid w:val="00C064DF"/>
    <w:rsid w:val="00C135D4"/>
    <w:rsid w:val="00C13E7D"/>
    <w:rsid w:val="00C144B9"/>
    <w:rsid w:val="00C14AB7"/>
    <w:rsid w:val="00C177C3"/>
    <w:rsid w:val="00C2176F"/>
    <w:rsid w:val="00C221C9"/>
    <w:rsid w:val="00C24C71"/>
    <w:rsid w:val="00C251F7"/>
    <w:rsid w:val="00C276B0"/>
    <w:rsid w:val="00C277E8"/>
    <w:rsid w:val="00C279AC"/>
    <w:rsid w:val="00C27EC8"/>
    <w:rsid w:val="00C3088B"/>
    <w:rsid w:val="00C30BF3"/>
    <w:rsid w:val="00C31FD6"/>
    <w:rsid w:val="00C32261"/>
    <w:rsid w:val="00C32C0B"/>
    <w:rsid w:val="00C32EEB"/>
    <w:rsid w:val="00C35E7F"/>
    <w:rsid w:val="00C365C4"/>
    <w:rsid w:val="00C37422"/>
    <w:rsid w:val="00C3793A"/>
    <w:rsid w:val="00C401D8"/>
    <w:rsid w:val="00C40797"/>
    <w:rsid w:val="00C43938"/>
    <w:rsid w:val="00C43B0C"/>
    <w:rsid w:val="00C43B37"/>
    <w:rsid w:val="00C4514F"/>
    <w:rsid w:val="00C46632"/>
    <w:rsid w:val="00C46A96"/>
    <w:rsid w:val="00C4767C"/>
    <w:rsid w:val="00C51DDF"/>
    <w:rsid w:val="00C52081"/>
    <w:rsid w:val="00C529F7"/>
    <w:rsid w:val="00C53201"/>
    <w:rsid w:val="00C543D4"/>
    <w:rsid w:val="00C56594"/>
    <w:rsid w:val="00C57168"/>
    <w:rsid w:val="00C60926"/>
    <w:rsid w:val="00C60EE9"/>
    <w:rsid w:val="00C61B92"/>
    <w:rsid w:val="00C62006"/>
    <w:rsid w:val="00C63893"/>
    <w:rsid w:val="00C64E6A"/>
    <w:rsid w:val="00C661D1"/>
    <w:rsid w:val="00C67F44"/>
    <w:rsid w:val="00C70339"/>
    <w:rsid w:val="00C70842"/>
    <w:rsid w:val="00C70902"/>
    <w:rsid w:val="00C737C6"/>
    <w:rsid w:val="00C73F8E"/>
    <w:rsid w:val="00C74FF6"/>
    <w:rsid w:val="00C758ED"/>
    <w:rsid w:val="00C777AC"/>
    <w:rsid w:val="00C8021D"/>
    <w:rsid w:val="00C80B3E"/>
    <w:rsid w:val="00C81671"/>
    <w:rsid w:val="00C81961"/>
    <w:rsid w:val="00C819FE"/>
    <w:rsid w:val="00C81D39"/>
    <w:rsid w:val="00C86935"/>
    <w:rsid w:val="00C91BDA"/>
    <w:rsid w:val="00C94CD6"/>
    <w:rsid w:val="00C97B1B"/>
    <w:rsid w:val="00CA369C"/>
    <w:rsid w:val="00CB05F9"/>
    <w:rsid w:val="00CB1383"/>
    <w:rsid w:val="00CB3C9D"/>
    <w:rsid w:val="00CC008E"/>
    <w:rsid w:val="00CC1297"/>
    <w:rsid w:val="00CC5907"/>
    <w:rsid w:val="00CC6D98"/>
    <w:rsid w:val="00CD1543"/>
    <w:rsid w:val="00CD4E25"/>
    <w:rsid w:val="00CD6A6E"/>
    <w:rsid w:val="00CD6BA8"/>
    <w:rsid w:val="00CD7315"/>
    <w:rsid w:val="00CE12FC"/>
    <w:rsid w:val="00CE18AA"/>
    <w:rsid w:val="00CE1DF5"/>
    <w:rsid w:val="00CE1F88"/>
    <w:rsid w:val="00CE30CE"/>
    <w:rsid w:val="00CE603E"/>
    <w:rsid w:val="00CE6AA5"/>
    <w:rsid w:val="00CE6FF3"/>
    <w:rsid w:val="00CF2B61"/>
    <w:rsid w:val="00CF3B5F"/>
    <w:rsid w:val="00CF445C"/>
    <w:rsid w:val="00CF5317"/>
    <w:rsid w:val="00CF5531"/>
    <w:rsid w:val="00CF6053"/>
    <w:rsid w:val="00D01013"/>
    <w:rsid w:val="00D04B3D"/>
    <w:rsid w:val="00D05C95"/>
    <w:rsid w:val="00D05ECC"/>
    <w:rsid w:val="00D131A2"/>
    <w:rsid w:val="00D132F3"/>
    <w:rsid w:val="00D1339A"/>
    <w:rsid w:val="00D1577D"/>
    <w:rsid w:val="00D1645E"/>
    <w:rsid w:val="00D20112"/>
    <w:rsid w:val="00D23828"/>
    <w:rsid w:val="00D23B73"/>
    <w:rsid w:val="00D26D9F"/>
    <w:rsid w:val="00D26FB9"/>
    <w:rsid w:val="00D301D3"/>
    <w:rsid w:val="00D3106A"/>
    <w:rsid w:val="00D31C8C"/>
    <w:rsid w:val="00D353BA"/>
    <w:rsid w:val="00D35580"/>
    <w:rsid w:val="00D36520"/>
    <w:rsid w:val="00D3667E"/>
    <w:rsid w:val="00D36B1E"/>
    <w:rsid w:val="00D37AE8"/>
    <w:rsid w:val="00D37D78"/>
    <w:rsid w:val="00D37FD5"/>
    <w:rsid w:val="00D41243"/>
    <w:rsid w:val="00D41A8A"/>
    <w:rsid w:val="00D4220B"/>
    <w:rsid w:val="00D42810"/>
    <w:rsid w:val="00D43602"/>
    <w:rsid w:val="00D44563"/>
    <w:rsid w:val="00D45118"/>
    <w:rsid w:val="00D45119"/>
    <w:rsid w:val="00D479F9"/>
    <w:rsid w:val="00D50E66"/>
    <w:rsid w:val="00D50ECA"/>
    <w:rsid w:val="00D51E4B"/>
    <w:rsid w:val="00D523AD"/>
    <w:rsid w:val="00D525F7"/>
    <w:rsid w:val="00D52FE3"/>
    <w:rsid w:val="00D533FA"/>
    <w:rsid w:val="00D53E22"/>
    <w:rsid w:val="00D55D85"/>
    <w:rsid w:val="00D56F85"/>
    <w:rsid w:val="00D60922"/>
    <w:rsid w:val="00D61813"/>
    <w:rsid w:val="00D6244C"/>
    <w:rsid w:val="00D62DB2"/>
    <w:rsid w:val="00D63F55"/>
    <w:rsid w:val="00D649FC"/>
    <w:rsid w:val="00D6676D"/>
    <w:rsid w:val="00D667F8"/>
    <w:rsid w:val="00D67FAA"/>
    <w:rsid w:val="00D738B7"/>
    <w:rsid w:val="00D73E66"/>
    <w:rsid w:val="00D7582E"/>
    <w:rsid w:val="00D75F57"/>
    <w:rsid w:val="00D80FF2"/>
    <w:rsid w:val="00D810C6"/>
    <w:rsid w:val="00D82E61"/>
    <w:rsid w:val="00D830F5"/>
    <w:rsid w:val="00D856B8"/>
    <w:rsid w:val="00D876C9"/>
    <w:rsid w:val="00D90392"/>
    <w:rsid w:val="00D92851"/>
    <w:rsid w:val="00D9487C"/>
    <w:rsid w:val="00D95176"/>
    <w:rsid w:val="00D96834"/>
    <w:rsid w:val="00D96B71"/>
    <w:rsid w:val="00D97E57"/>
    <w:rsid w:val="00DA17AF"/>
    <w:rsid w:val="00DA1B42"/>
    <w:rsid w:val="00DA2060"/>
    <w:rsid w:val="00DA2403"/>
    <w:rsid w:val="00DA616C"/>
    <w:rsid w:val="00DA659F"/>
    <w:rsid w:val="00DA686A"/>
    <w:rsid w:val="00DA71B5"/>
    <w:rsid w:val="00DA7228"/>
    <w:rsid w:val="00DB1264"/>
    <w:rsid w:val="00DB24EC"/>
    <w:rsid w:val="00DB365B"/>
    <w:rsid w:val="00DB4627"/>
    <w:rsid w:val="00DB4DE9"/>
    <w:rsid w:val="00DB5315"/>
    <w:rsid w:val="00DC0D45"/>
    <w:rsid w:val="00DC26F4"/>
    <w:rsid w:val="00DC4523"/>
    <w:rsid w:val="00DC6151"/>
    <w:rsid w:val="00DC6C7E"/>
    <w:rsid w:val="00DC7312"/>
    <w:rsid w:val="00DC7959"/>
    <w:rsid w:val="00DC7A95"/>
    <w:rsid w:val="00DD0B0B"/>
    <w:rsid w:val="00DD0DCA"/>
    <w:rsid w:val="00DD2F71"/>
    <w:rsid w:val="00DD33FD"/>
    <w:rsid w:val="00DD4623"/>
    <w:rsid w:val="00DD5583"/>
    <w:rsid w:val="00DD6107"/>
    <w:rsid w:val="00DD639E"/>
    <w:rsid w:val="00DD7274"/>
    <w:rsid w:val="00DE160E"/>
    <w:rsid w:val="00DE3072"/>
    <w:rsid w:val="00DE6E17"/>
    <w:rsid w:val="00DF1899"/>
    <w:rsid w:val="00DF3712"/>
    <w:rsid w:val="00DF4D88"/>
    <w:rsid w:val="00DF5595"/>
    <w:rsid w:val="00DF5A0C"/>
    <w:rsid w:val="00DF7827"/>
    <w:rsid w:val="00E01226"/>
    <w:rsid w:val="00E0519E"/>
    <w:rsid w:val="00E05B1A"/>
    <w:rsid w:val="00E0753A"/>
    <w:rsid w:val="00E10058"/>
    <w:rsid w:val="00E11FDD"/>
    <w:rsid w:val="00E12865"/>
    <w:rsid w:val="00E1303D"/>
    <w:rsid w:val="00E1326B"/>
    <w:rsid w:val="00E14855"/>
    <w:rsid w:val="00E14ED8"/>
    <w:rsid w:val="00E1768C"/>
    <w:rsid w:val="00E22AE8"/>
    <w:rsid w:val="00E23931"/>
    <w:rsid w:val="00E25423"/>
    <w:rsid w:val="00E26A4C"/>
    <w:rsid w:val="00E278E9"/>
    <w:rsid w:val="00E30364"/>
    <w:rsid w:val="00E30E00"/>
    <w:rsid w:val="00E31491"/>
    <w:rsid w:val="00E31905"/>
    <w:rsid w:val="00E31DDE"/>
    <w:rsid w:val="00E322A1"/>
    <w:rsid w:val="00E33369"/>
    <w:rsid w:val="00E336D5"/>
    <w:rsid w:val="00E3430A"/>
    <w:rsid w:val="00E34B1D"/>
    <w:rsid w:val="00E364DF"/>
    <w:rsid w:val="00E41309"/>
    <w:rsid w:val="00E42322"/>
    <w:rsid w:val="00E42AD3"/>
    <w:rsid w:val="00E4463F"/>
    <w:rsid w:val="00E466E0"/>
    <w:rsid w:val="00E4697A"/>
    <w:rsid w:val="00E502A6"/>
    <w:rsid w:val="00E52050"/>
    <w:rsid w:val="00E545D6"/>
    <w:rsid w:val="00E54626"/>
    <w:rsid w:val="00E546D3"/>
    <w:rsid w:val="00E54AA4"/>
    <w:rsid w:val="00E56B7B"/>
    <w:rsid w:val="00E6061E"/>
    <w:rsid w:val="00E73F1A"/>
    <w:rsid w:val="00E757D2"/>
    <w:rsid w:val="00E777B4"/>
    <w:rsid w:val="00E77E89"/>
    <w:rsid w:val="00E801F3"/>
    <w:rsid w:val="00E80337"/>
    <w:rsid w:val="00E80C1C"/>
    <w:rsid w:val="00E81754"/>
    <w:rsid w:val="00E81BA8"/>
    <w:rsid w:val="00E8269D"/>
    <w:rsid w:val="00E83E82"/>
    <w:rsid w:val="00E84B92"/>
    <w:rsid w:val="00E85FB8"/>
    <w:rsid w:val="00E86157"/>
    <w:rsid w:val="00E87501"/>
    <w:rsid w:val="00E90C95"/>
    <w:rsid w:val="00E90DF2"/>
    <w:rsid w:val="00E93301"/>
    <w:rsid w:val="00E9448F"/>
    <w:rsid w:val="00E955C1"/>
    <w:rsid w:val="00E96BFC"/>
    <w:rsid w:val="00EA26EC"/>
    <w:rsid w:val="00EA388E"/>
    <w:rsid w:val="00EA3FC5"/>
    <w:rsid w:val="00EA6007"/>
    <w:rsid w:val="00EB0C51"/>
    <w:rsid w:val="00EB1CB3"/>
    <w:rsid w:val="00EB2053"/>
    <w:rsid w:val="00EB20D3"/>
    <w:rsid w:val="00EB38DC"/>
    <w:rsid w:val="00EB6FF2"/>
    <w:rsid w:val="00EC09A8"/>
    <w:rsid w:val="00EC34D8"/>
    <w:rsid w:val="00EC47C9"/>
    <w:rsid w:val="00EC6B56"/>
    <w:rsid w:val="00EC7EEF"/>
    <w:rsid w:val="00EC7FC4"/>
    <w:rsid w:val="00ED136C"/>
    <w:rsid w:val="00ED167F"/>
    <w:rsid w:val="00ED1BA8"/>
    <w:rsid w:val="00ED2A3C"/>
    <w:rsid w:val="00ED311A"/>
    <w:rsid w:val="00ED39EF"/>
    <w:rsid w:val="00ED3C9F"/>
    <w:rsid w:val="00ED6FA1"/>
    <w:rsid w:val="00EE01A1"/>
    <w:rsid w:val="00EE151E"/>
    <w:rsid w:val="00EE38CD"/>
    <w:rsid w:val="00EE5A72"/>
    <w:rsid w:val="00EE6C2A"/>
    <w:rsid w:val="00EE6DD0"/>
    <w:rsid w:val="00EE7A7B"/>
    <w:rsid w:val="00EF0729"/>
    <w:rsid w:val="00EF0DD3"/>
    <w:rsid w:val="00EF0E89"/>
    <w:rsid w:val="00EF1197"/>
    <w:rsid w:val="00EF1A8A"/>
    <w:rsid w:val="00EF2084"/>
    <w:rsid w:val="00EF20D1"/>
    <w:rsid w:val="00EF425F"/>
    <w:rsid w:val="00EF6400"/>
    <w:rsid w:val="00EF7950"/>
    <w:rsid w:val="00F0180F"/>
    <w:rsid w:val="00F02F42"/>
    <w:rsid w:val="00F045A2"/>
    <w:rsid w:val="00F04DA4"/>
    <w:rsid w:val="00F05547"/>
    <w:rsid w:val="00F059D4"/>
    <w:rsid w:val="00F069D0"/>
    <w:rsid w:val="00F07CDB"/>
    <w:rsid w:val="00F12330"/>
    <w:rsid w:val="00F126D8"/>
    <w:rsid w:val="00F13101"/>
    <w:rsid w:val="00F15893"/>
    <w:rsid w:val="00F15FC9"/>
    <w:rsid w:val="00F171F8"/>
    <w:rsid w:val="00F17FB9"/>
    <w:rsid w:val="00F223A3"/>
    <w:rsid w:val="00F225B0"/>
    <w:rsid w:val="00F22F56"/>
    <w:rsid w:val="00F24080"/>
    <w:rsid w:val="00F24C31"/>
    <w:rsid w:val="00F25E02"/>
    <w:rsid w:val="00F277D3"/>
    <w:rsid w:val="00F3252A"/>
    <w:rsid w:val="00F3508D"/>
    <w:rsid w:val="00F35B49"/>
    <w:rsid w:val="00F36F31"/>
    <w:rsid w:val="00F422D0"/>
    <w:rsid w:val="00F42A14"/>
    <w:rsid w:val="00F42BC5"/>
    <w:rsid w:val="00F42D8F"/>
    <w:rsid w:val="00F4301D"/>
    <w:rsid w:val="00F43BF6"/>
    <w:rsid w:val="00F43E0D"/>
    <w:rsid w:val="00F44588"/>
    <w:rsid w:val="00F50688"/>
    <w:rsid w:val="00F50B3A"/>
    <w:rsid w:val="00F527A4"/>
    <w:rsid w:val="00F53D07"/>
    <w:rsid w:val="00F560C9"/>
    <w:rsid w:val="00F562C5"/>
    <w:rsid w:val="00F6021A"/>
    <w:rsid w:val="00F6145E"/>
    <w:rsid w:val="00F62C58"/>
    <w:rsid w:val="00F62D44"/>
    <w:rsid w:val="00F66507"/>
    <w:rsid w:val="00F66896"/>
    <w:rsid w:val="00F670EA"/>
    <w:rsid w:val="00F67C0E"/>
    <w:rsid w:val="00F7009B"/>
    <w:rsid w:val="00F7063B"/>
    <w:rsid w:val="00F71647"/>
    <w:rsid w:val="00F73036"/>
    <w:rsid w:val="00F7385F"/>
    <w:rsid w:val="00F74246"/>
    <w:rsid w:val="00F74E33"/>
    <w:rsid w:val="00F74E72"/>
    <w:rsid w:val="00F80F2B"/>
    <w:rsid w:val="00F81EFD"/>
    <w:rsid w:val="00F82F07"/>
    <w:rsid w:val="00F82F30"/>
    <w:rsid w:val="00F84607"/>
    <w:rsid w:val="00F8466E"/>
    <w:rsid w:val="00F846F2"/>
    <w:rsid w:val="00F853C9"/>
    <w:rsid w:val="00F87B08"/>
    <w:rsid w:val="00F90A06"/>
    <w:rsid w:val="00F90C61"/>
    <w:rsid w:val="00F913C6"/>
    <w:rsid w:val="00F9287A"/>
    <w:rsid w:val="00F92BF9"/>
    <w:rsid w:val="00F93C1D"/>
    <w:rsid w:val="00F9554D"/>
    <w:rsid w:val="00F9566D"/>
    <w:rsid w:val="00F9584A"/>
    <w:rsid w:val="00F959AA"/>
    <w:rsid w:val="00F959B1"/>
    <w:rsid w:val="00F96C87"/>
    <w:rsid w:val="00F96E14"/>
    <w:rsid w:val="00FA04B0"/>
    <w:rsid w:val="00FA3309"/>
    <w:rsid w:val="00FA3875"/>
    <w:rsid w:val="00FA3EB6"/>
    <w:rsid w:val="00FA5261"/>
    <w:rsid w:val="00FA5BF6"/>
    <w:rsid w:val="00FA6453"/>
    <w:rsid w:val="00FA6F74"/>
    <w:rsid w:val="00FA74DB"/>
    <w:rsid w:val="00FA78F6"/>
    <w:rsid w:val="00FB26C7"/>
    <w:rsid w:val="00FB4116"/>
    <w:rsid w:val="00FB4389"/>
    <w:rsid w:val="00FB4665"/>
    <w:rsid w:val="00FB4D3D"/>
    <w:rsid w:val="00FB5EC5"/>
    <w:rsid w:val="00FB6188"/>
    <w:rsid w:val="00FB67D3"/>
    <w:rsid w:val="00FC0410"/>
    <w:rsid w:val="00FC0703"/>
    <w:rsid w:val="00FC08A0"/>
    <w:rsid w:val="00FC2CB8"/>
    <w:rsid w:val="00FC3B7B"/>
    <w:rsid w:val="00FC3DCF"/>
    <w:rsid w:val="00FC3F95"/>
    <w:rsid w:val="00FC4A4D"/>
    <w:rsid w:val="00FC6E68"/>
    <w:rsid w:val="00FD01D0"/>
    <w:rsid w:val="00FD0922"/>
    <w:rsid w:val="00FD153F"/>
    <w:rsid w:val="00FD2AAD"/>
    <w:rsid w:val="00FD4137"/>
    <w:rsid w:val="00FD7DC1"/>
    <w:rsid w:val="00FE0433"/>
    <w:rsid w:val="00FE1580"/>
    <w:rsid w:val="00FE19E8"/>
    <w:rsid w:val="00FE1DCB"/>
    <w:rsid w:val="00FE2C03"/>
    <w:rsid w:val="00FE351B"/>
    <w:rsid w:val="00FE442F"/>
    <w:rsid w:val="00FE5CCB"/>
    <w:rsid w:val="00FF5128"/>
    <w:rsid w:val="010D5FC6"/>
    <w:rsid w:val="016C0FA1"/>
    <w:rsid w:val="01964C25"/>
    <w:rsid w:val="019A10AD"/>
    <w:rsid w:val="01B554DA"/>
    <w:rsid w:val="01CA216C"/>
    <w:rsid w:val="01DE7DDA"/>
    <w:rsid w:val="01ED7A5D"/>
    <w:rsid w:val="0204742C"/>
    <w:rsid w:val="02111B48"/>
    <w:rsid w:val="02132F88"/>
    <w:rsid w:val="02160F0D"/>
    <w:rsid w:val="02253C68"/>
    <w:rsid w:val="022E2534"/>
    <w:rsid w:val="023D1C67"/>
    <w:rsid w:val="023E7862"/>
    <w:rsid w:val="027E2E67"/>
    <w:rsid w:val="028711AE"/>
    <w:rsid w:val="02B7449E"/>
    <w:rsid w:val="02DF1744"/>
    <w:rsid w:val="02FA25DD"/>
    <w:rsid w:val="03050966"/>
    <w:rsid w:val="0332621A"/>
    <w:rsid w:val="03483348"/>
    <w:rsid w:val="034F1CBC"/>
    <w:rsid w:val="039931C3"/>
    <w:rsid w:val="03993BA4"/>
    <w:rsid w:val="03D13E6C"/>
    <w:rsid w:val="03F4527E"/>
    <w:rsid w:val="04581CB1"/>
    <w:rsid w:val="046E2796"/>
    <w:rsid w:val="046E6DDE"/>
    <w:rsid w:val="047E46E1"/>
    <w:rsid w:val="04B52C5F"/>
    <w:rsid w:val="04D255BF"/>
    <w:rsid w:val="04DA26C6"/>
    <w:rsid w:val="04E00720"/>
    <w:rsid w:val="04EB5887"/>
    <w:rsid w:val="05152D31"/>
    <w:rsid w:val="05804160"/>
    <w:rsid w:val="059E738C"/>
    <w:rsid w:val="05B31BD4"/>
    <w:rsid w:val="05C173E2"/>
    <w:rsid w:val="05D47115"/>
    <w:rsid w:val="06222576"/>
    <w:rsid w:val="06505A75"/>
    <w:rsid w:val="067231FC"/>
    <w:rsid w:val="06B75F8B"/>
    <w:rsid w:val="06C13B3D"/>
    <w:rsid w:val="06D53013"/>
    <w:rsid w:val="06D66EBD"/>
    <w:rsid w:val="06DA468F"/>
    <w:rsid w:val="074E2EF7"/>
    <w:rsid w:val="07837045"/>
    <w:rsid w:val="07841360"/>
    <w:rsid w:val="07916A2C"/>
    <w:rsid w:val="07945C38"/>
    <w:rsid w:val="07974FDA"/>
    <w:rsid w:val="07DC2DF1"/>
    <w:rsid w:val="07E65CA7"/>
    <w:rsid w:val="07F06217"/>
    <w:rsid w:val="080C528C"/>
    <w:rsid w:val="08206F8D"/>
    <w:rsid w:val="08280AFE"/>
    <w:rsid w:val="08687028"/>
    <w:rsid w:val="08A66183"/>
    <w:rsid w:val="08B40982"/>
    <w:rsid w:val="090E27CB"/>
    <w:rsid w:val="09676307"/>
    <w:rsid w:val="097906FF"/>
    <w:rsid w:val="09885CB5"/>
    <w:rsid w:val="0A1E3055"/>
    <w:rsid w:val="0A2B5B3D"/>
    <w:rsid w:val="0A4A2D81"/>
    <w:rsid w:val="0A4A60BD"/>
    <w:rsid w:val="0A7964DD"/>
    <w:rsid w:val="0AA572D2"/>
    <w:rsid w:val="0AA945EE"/>
    <w:rsid w:val="0AB66DAC"/>
    <w:rsid w:val="0AB9737B"/>
    <w:rsid w:val="0ACA0AE6"/>
    <w:rsid w:val="0AD41965"/>
    <w:rsid w:val="0B1E4F61"/>
    <w:rsid w:val="0B2B63A3"/>
    <w:rsid w:val="0B4362D7"/>
    <w:rsid w:val="0B7849E6"/>
    <w:rsid w:val="0BAD4AF0"/>
    <w:rsid w:val="0BDB744F"/>
    <w:rsid w:val="0BEC6DEA"/>
    <w:rsid w:val="0C1D3BBA"/>
    <w:rsid w:val="0C36713E"/>
    <w:rsid w:val="0C434FF4"/>
    <w:rsid w:val="0C4E2B00"/>
    <w:rsid w:val="0C74292B"/>
    <w:rsid w:val="0CB5410E"/>
    <w:rsid w:val="0CE9794A"/>
    <w:rsid w:val="0CF72B0B"/>
    <w:rsid w:val="0D11075B"/>
    <w:rsid w:val="0D2A5A9B"/>
    <w:rsid w:val="0D5560E2"/>
    <w:rsid w:val="0D9F74A7"/>
    <w:rsid w:val="0DA27AF9"/>
    <w:rsid w:val="0DD27F39"/>
    <w:rsid w:val="0DD34156"/>
    <w:rsid w:val="0DD405FA"/>
    <w:rsid w:val="0DD7320F"/>
    <w:rsid w:val="0DDC291F"/>
    <w:rsid w:val="0DF01FC9"/>
    <w:rsid w:val="0E067705"/>
    <w:rsid w:val="0E083E00"/>
    <w:rsid w:val="0E0D22D8"/>
    <w:rsid w:val="0E2F3E7E"/>
    <w:rsid w:val="0E3971B2"/>
    <w:rsid w:val="0E417312"/>
    <w:rsid w:val="0E4B1F3E"/>
    <w:rsid w:val="0E52436A"/>
    <w:rsid w:val="0E667919"/>
    <w:rsid w:val="0E861DFE"/>
    <w:rsid w:val="0E87741A"/>
    <w:rsid w:val="0E8A4D0F"/>
    <w:rsid w:val="0E8F4521"/>
    <w:rsid w:val="0EAB2129"/>
    <w:rsid w:val="0EF05DCE"/>
    <w:rsid w:val="0F3F28EB"/>
    <w:rsid w:val="0F3F5FF6"/>
    <w:rsid w:val="0F44530B"/>
    <w:rsid w:val="0F64150A"/>
    <w:rsid w:val="0F825E34"/>
    <w:rsid w:val="0F8A3F04"/>
    <w:rsid w:val="0F9242C9"/>
    <w:rsid w:val="0F987405"/>
    <w:rsid w:val="0FCE4BFF"/>
    <w:rsid w:val="0FE53E96"/>
    <w:rsid w:val="1017405E"/>
    <w:rsid w:val="104061A3"/>
    <w:rsid w:val="10671F91"/>
    <w:rsid w:val="109F4215"/>
    <w:rsid w:val="10FA15BC"/>
    <w:rsid w:val="10FB6C66"/>
    <w:rsid w:val="111863E2"/>
    <w:rsid w:val="111927C8"/>
    <w:rsid w:val="114C66F9"/>
    <w:rsid w:val="11591684"/>
    <w:rsid w:val="117A5014"/>
    <w:rsid w:val="11994833"/>
    <w:rsid w:val="119D6F55"/>
    <w:rsid w:val="11D16BFE"/>
    <w:rsid w:val="11FA43A7"/>
    <w:rsid w:val="12152F8F"/>
    <w:rsid w:val="12932DE5"/>
    <w:rsid w:val="129474B9"/>
    <w:rsid w:val="129A5F81"/>
    <w:rsid w:val="12AF0734"/>
    <w:rsid w:val="12BC165D"/>
    <w:rsid w:val="12D02F9E"/>
    <w:rsid w:val="12D82E39"/>
    <w:rsid w:val="12E34E3B"/>
    <w:rsid w:val="13091D9A"/>
    <w:rsid w:val="138E4DA7"/>
    <w:rsid w:val="139E4D19"/>
    <w:rsid w:val="13A7745A"/>
    <w:rsid w:val="13BC4AF1"/>
    <w:rsid w:val="13D7091F"/>
    <w:rsid w:val="143F1847"/>
    <w:rsid w:val="14467430"/>
    <w:rsid w:val="147B3ED4"/>
    <w:rsid w:val="1481490C"/>
    <w:rsid w:val="14CD7B51"/>
    <w:rsid w:val="14DB717C"/>
    <w:rsid w:val="15050A5C"/>
    <w:rsid w:val="150E5B3A"/>
    <w:rsid w:val="15115C90"/>
    <w:rsid w:val="154871D8"/>
    <w:rsid w:val="157C5293"/>
    <w:rsid w:val="15A46B04"/>
    <w:rsid w:val="15EA028F"/>
    <w:rsid w:val="15F958D1"/>
    <w:rsid w:val="15FD0F06"/>
    <w:rsid w:val="162437A1"/>
    <w:rsid w:val="16461969"/>
    <w:rsid w:val="16592E41"/>
    <w:rsid w:val="167A1613"/>
    <w:rsid w:val="16A677CD"/>
    <w:rsid w:val="16BC2FBC"/>
    <w:rsid w:val="16C73E99"/>
    <w:rsid w:val="17127A9D"/>
    <w:rsid w:val="17163A31"/>
    <w:rsid w:val="171952CF"/>
    <w:rsid w:val="17287901"/>
    <w:rsid w:val="17982698"/>
    <w:rsid w:val="17AB1930"/>
    <w:rsid w:val="17CC40F0"/>
    <w:rsid w:val="17CD08C3"/>
    <w:rsid w:val="181B5077"/>
    <w:rsid w:val="1858256E"/>
    <w:rsid w:val="186333C7"/>
    <w:rsid w:val="1881137E"/>
    <w:rsid w:val="1887214B"/>
    <w:rsid w:val="188D1AD1"/>
    <w:rsid w:val="18910E95"/>
    <w:rsid w:val="18BA1CF1"/>
    <w:rsid w:val="18DA599B"/>
    <w:rsid w:val="18DF7E53"/>
    <w:rsid w:val="191C5321"/>
    <w:rsid w:val="19264571"/>
    <w:rsid w:val="19636CD6"/>
    <w:rsid w:val="197113F3"/>
    <w:rsid w:val="19923117"/>
    <w:rsid w:val="19A44550"/>
    <w:rsid w:val="1A083462"/>
    <w:rsid w:val="1A085187"/>
    <w:rsid w:val="1A0E024B"/>
    <w:rsid w:val="1A122805"/>
    <w:rsid w:val="1A34706A"/>
    <w:rsid w:val="1A427AAC"/>
    <w:rsid w:val="1A734CF7"/>
    <w:rsid w:val="1A935399"/>
    <w:rsid w:val="1ABA0CDD"/>
    <w:rsid w:val="1AC612CA"/>
    <w:rsid w:val="1AC63078"/>
    <w:rsid w:val="1AD82DAC"/>
    <w:rsid w:val="1B171CF7"/>
    <w:rsid w:val="1B4B5C73"/>
    <w:rsid w:val="1B684130"/>
    <w:rsid w:val="1B8151F1"/>
    <w:rsid w:val="1B9D1D93"/>
    <w:rsid w:val="1BA7660C"/>
    <w:rsid w:val="1BD17F27"/>
    <w:rsid w:val="1BEE3761"/>
    <w:rsid w:val="1C006DEE"/>
    <w:rsid w:val="1C177904"/>
    <w:rsid w:val="1C2153BB"/>
    <w:rsid w:val="1C387FA6"/>
    <w:rsid w:val="1C864BDA"/>
    <w:rsid w:val="1C916599"/>
    <w:rsid w:val="1C9B22E3"/>
    <w:rsid w:val="1CA53A5C"/>
    <w:rsid w:val="1CA6079E"/>
    <w:rsid w:val="1D1D46D4"/>
    <w:rsid w:val="1D445B0D"/>
    <w:rsid w:val="1D5E437F"/>
    <w:rsid w:val="1D9E02DC"/>
    <w:rsid w:val="1DAA7194"/>
    <w:rsid w:val="1DD957B9"/>
    <w:rsid w:val="1DE877AA"/>
    <w:rsid w:val="1DFF70DE"/>
    <w:rsid w:val="1E48483A"/>
    <w:rsid w:val="1E7519B9"/>
    <w:rsid w:val="1EA64B7E"/>
    <w:rsid w:val="1EB152C6"/>
    <w:rsid w:val="1EBC5B2C"/>
    <w:rsid w:val="1EBF4F16"/>
    <w:rsid w:val="1F0B6FE8"/>
    <w:rsid w:val="1F19307A"/>
    <w:rsid w:val="1F201BC5"/>
    <w:rsid w:val="1F3D05B2"/>
    <w:rsid w:val="1F494278"/>
    <w:rsid w:val="1F5275D0"/>
    <w:rsid w:val="1F5341F9"/>
    <w:rsid w:val="1F5350F7"/>
    <w:rsid w:val="1FA40A33"/>
    <w:rsid w:val="1FBE0CF7"/>
    <w:rsid w:val="1FFC578E"/>
    <w:rsid w:val="1FFD298C"/>
    <w:rsid w:val="200307FA"/>
    <w:rsid w:val="20196CC9"/>
    <w:rsid w:val="202B6C96"/>
    <w:rsid w:val="205A7FA1"/>
    <w:rsid w:val="2068201F"/>
    <w:rsid w:val="20713A86"/>
    <w:rsid w:val="20757813"/>
    <w:rsid w:val="209C482E"/>
    <w:rsid w:val="20B56069"/>
    <w:rsid w:val="210F3D49"/>
    <w:rsid w:val="21157E5B"/>
    <w:rsid w:val="212163FE"/>
    <w:rsid w:val="213435FE"/>
    <w:rsid w:val="2145138A"/>
    <w:rsid w:val="214F57D5"/>
    <w:rsid w:val="215C24EF"/>
    <w:rsid w:val="21787EF5"/>
    <w:rsid w:val="21791A0A"/>
    <w:rsid w:val="2183438C"/>
    <w:rsid w:val="218363EB"/>
    <w:rsid w:val="2198199D"/>
    <w:rsid w:val="21B06830"/>
    <w:rsid w:val="21BE732C"/>
    <w:rsid w:val="21D26BCF"/>
    <w:rsid w:val="21D342CD"/>
    <w:rsid w:val="21D97B35"/>
    <w:rsid w:val="21F438F5"/>
    <w:rsid w:val="22010E3A"/>
    <w:rsid w:val="222A0391"/>
    <w:rsid w:val="22394A78"/>
    <w:rsid w:val="22513B6F"/>
    <w:rsid w:val="229944D5"/>
    <w:rsid w:val="229E2DD8"/>
    <w:rsid w:val="22BF139E"/>
    <w:rsid w:val="22F4274D"/>
    <w:rsid w:val="22F900FB"/>
    <w:rsid w:val="22FA06F9"/>
    <w:rsid w:val="232149CB"/>
    <w:rsid w:val="23286A39"/>
    <w:rsid w:val="232C662D"/>
    <w:rsid w:val="235F0836"/>
    <w:rsid w:val="237B4D9A"/>
    <w:rsid w:val="2383568E"/>
    <w:rsid w:val="238C0BD7"/>
    <w:rsid w:val="23B26890"/>
    <w:rsid w:val="23BFE574"/>
    <w:rsid w:val="23D20CE0"/>
    <w:rsid w:val="23D655ED"/>
    <w:rsid w:val="23DF101A"/>
    <w:rsid w:val="243472A5"/>
    <w:rsid w:val="244D65B8"/>
    <w:rsid w:val="24AB32DF"/>
    <w:rsid w:val="24CD718A"/>
    <w:rsid w:val="24E7713A"/>
    <w:rsid w:val="24EB5E30"/>
    <w:rsid w:val="24FF33F3"/>
    <w:rsid w:val="251D3EF0"/>
    <w:rsid w:val="252F1794"/>
    <w:rsid w:val="253B43D6"/>
    <w:rsid w:val="254479BB"/>
    <w:rsid w:val="255319AC"/>
    <w:rsid w:val="257C53A7"/>
    <w:rsid w:val="25B52D61"/>
    <w:rsid w:val="25B6156F"/>
    <w:rsid w:val="25EB0AB4"/>
    <w:rsid w:val="25FC002C"/>
    <w:rsid w:val="260234C2"/>
    <w:rsid w:val="26123616"/>
    <w:rsid w:val="26263692"/>
    <w:rsid w:val="264C5EC6"/>
    <w:rsid w:val="26741DCB"/>
    <w:rsid w:val="268169ED"/>
    <w:rsid w:val="268B161A"/>
    <w:rsid w:val="268E4E7C"/>
    <w:rsid w:val="269009DE"/>
    <w:rsid w:val="26976211"/>
    <w:rsid w:val="26B7240F"/>
    <w:rsid w:val="26E054C2"/>
    <w:rsid w:val="27364CF9"/>
    <w:rsid w:val="27411C43"/>
    <w:rsid w:val="2753057F"/>
    <w:rsid w:val="2758054F"/>
    <w:rsid w:val="27856069"/>
    <w:rsid w:val="27A04C51"/>
    <w:rsid w:val="27A06811"/>
    <w:rsid w:val="27D53B09"/>
    <w:rsid w:val="27E40FE2"/>
    <w:rsid w:val="28046703"/>
    <w:rsid w:val="280653FC"/>
    <w:rsid w:val="280671AA"/>
    <w:rsid w:val="2816750C"/>
    <w:rsid w:val="2839084C"/>
    <w:rsid w:val="284D4DD9"/>
    <w:rsid w:val="28546167"/>
    <w:rsid w:val="28754330"/>
    <w:rsid w:val="288B2282"/>
    <w:rsid w:val="28A54C15"/>
    <w:rsid w:val="28B05A8E"/>
    <w:rsid w:val="28C52BC1"/>
    <w:rsid w:val="28CA467C"/>
    <w:rsid w:val="28F14B84"/>
    <w:rsid w:val="29034BC7"/>
    <w:rsid w:val="291C5607"/>
    <w:rsid w:val="29414BF6"/>
    <w:rsid w:val="294352FF"/>
    <w:rsid w:val="29465E8F"/>
    <w:rsid w:val="295A1BE7"/>
    <w:rsid w:val="299946CD"/>
    <w:rsid w:val="29BB3FC4"/>
    <w:rsid w:val="29CC53AF"/>
    <w:rsid w:val="29F23E8A"/>
    <w:rsid w:val="29FD2800"/>
    <w:rsid w:val="2A272726"/>
    <w:rsid w:val="2A6C506A"/>
    <w:rsid w:val="2AB347FA"/>
    <w:rsid w:val="2ABC1581"/>
    <w:rsid w:val="2AC03708"/>
    <w:rsid w:val="2ACF5F79"/>
    <w:rsid w:val="2AD43590"/>
    <w:rsid w:val="2AE5754B"/>
    <w:rsid w:val="2B1E0CAF"/>
    <w:rsid w:val="2B367DA6"/>
    <w:rsid w:val="2B386388"/>
    <w:rsid w:val="2B45448D"/>
    <w:rsid w:val="2B634913"/>
    <w:rsid w:val="2B783856"/>
    <w:rsid w:val="2B911481"/>
    <w:rsid w:val="2BD4136D"/>
    <w:rsid w:val="2BE05F64"/>
    <w:rsid w:val="2BE315B0"/>
    <w:rsid w:val="2BF10AA1"/>
    <w:rsid w:val="2C2C2F57"/>
    <w:rsid w:val="2C324995"/>
    <w:rsid w:val="2C387B4E"/>
    <w:rsid w:val="2C3E44B0"/>
    <w:rsid w:val="2C464019"/>
    <w:rsid w:val="2C4B7881"/>
    <w:rsid w:val="2C7D1A05"/>
    <w:rsid w:val="2C9321BB"/>
    <w:rsid w:val="2CB05DE2"/>
    <w:rsid w:val="2CB06557"/>
    <w:rsid w:val="2CC009D4"/>
    <w:rsid w:val="2CCA7EF0"/>
    <w:rsid w:val="2D0D2D89"/>
    <w:rsid w:val="2D0F4C79"/>
    <w:rsid w:val="2D283F2E"/>
    <w:rsid w:val="2D5E25E3"/>
    <w:rsid w:val="2D72014A"/>
    <w:rsid w:val="2D931E0B"/>
    <w:rsid w:val="2DA60AE7"/>
    <w:rsid w:val="2DCD0BCB"/>
    <w:rsid w:val="2DCE2518"/>
    <w:rsid w:val="2DFA4D8F"/>
    <w:rsid w:val="2E086516"/>
    <w:rsid w:val="2E205C89"/>
    <w:rsid w:val="2E8F6D9B"/>
    <w:rsid w:val="2E960CCC"/>
    <w:rsid w:val="2E9D1EEA"/>
    <w:rsid w:val="2E9F64AA"/>
    <w:rsid w:val="2EA414CB"/>
    <w:rsid w:val="2EBD651B"/>
    <w:rsid w:val="2EE62E8A"/>
    <w:rsid w:val="2EF266DA"/>
    <w:rsid w:val="2EFE507F"/>
    <w:rsid w:val="2F154177"/>
    <w:rsid w:val="2F273B2A"/>
    <w:rsid w:val="2F3F6A3F"/>
    <w:rsid w:val="2F9C09E7"/>
    <w:rsid w:val="2FC279D2"/>
    <w:rsid w:val="2FEA73B1"/>
    <w:rsid w:val="30180C08"/>
    <w:rsid w:val="30351FA2"/>
    <w:rsid w:val="303B7C0D"/>
    <w:rsid w:val="305F1EED"/>
    <w:rsid w:val="30B17ECF"/>
    <w:rsid w:val="30D82826"/>
    <w:rsid w:val="31456248"/>
    <w:rsid w:val="315B44F4"/>
    <w:rsid w:val="315D3C7A"/>
    <w:rsid w:val="316425BA"/>
    <w:rsid w:val="31775ACA"/>
    <w:rsid w:val="31801BC4"/>
    <w:rsid w:val="3183125C"/>
    <w:rsid w:val="31945827"/>
    <w:rsid w:val="31BE162D"/>
    <w:rsid w:val="32014D5A"/>
    <w:rsid w:val="320D5AD1"/>
    <w:rsid w:val="32261EDD"/>
    <w:rsid w:val="327A1C3B"/>
    <w:rsid w:val="32AA4CB4"/>
    <w:rsid w:val="32D97B55"/>
    <w:rsid w:val="32F978FC"/>
    <w:rsid w:val="32FD564D"/>
    <w:rsid w:val="33146D08"/>
    <w:rsid w:val="331F7372"/>
    <w:rsid w:val="332A091D"/>
    <w:rsid w:val="332B11DF"/>
    <w:rsid w:val="33477044"/>
    <w:rsid w:val="33893D77"/>
    <w:rsid w:val="33B856FA"/>
    <w:rsid w:val="33D068BE"/>
    <w:rsid w:val="33D96E0F"/>
    <w:rsid w:val="33DF5484"/>
    <w:rsid w:val="340B3438"/>
    <w:rsid w:val="340F73E6"/>
    <w:rsid w:val="34142C4F"/>
    <w:rsid w:val="34237336"/>
    <w:rsid w:val="342B67D5"/>
    <w:rsid w:val="34E42963"/>
    <w:rsid w:val="35011425"/>
    <w:rsid w:val="35366BDD"/>
    <w:rsid w:val="357A4D33"/>
    <w:rsid w:val="35867B7C"/>
    <w:rsid w:val="358D4A67"/>
    <w:rsid w:val="3598340C"/>
    <w:rsid w:val="35A20415"/>
    <w:rsid w:val="35D1164F"/>
    <w:rsid w:val="3629758B"/>
    <w:rsid w:val="367E2138"/>
    <w:rsid w:val="369D0549"/>
    <w:rsid w:val="36B204FD"/>
    <w:rsid w:val="36BD1FA0"/>
    <w:rsid w:val="36CA3213"/>
    <w:rsid w:val="36E52680"/>
    <w:rsid w:val="374428DD"/>
    <w:rsid w:val="374F1A9A"/>
    <w:rsid w:val="379C36CD"/>
    <w:rsid w:val="37B95FE7"/>
    <w:rsid w:val="38084878"/>
    <w:rsid w:val="38163439"/>
    <w:rsid w:val="38222DB8"/>
    <w:rsid w:val="383A26CD"/>
    <w:rsid w:val="38680744"/>
    <w:rsid w:val="38824658"/>
    <w:rsid w:val="38955FFB"/>
    <w:rsid w:val="38D02376"/>
    <w:rsid w:val="38D04FBC"/>
    <w:rsid w:val="38F35529"/>
    <w:rsid w:val="39177161"/>
    <w:rsid w:val="391D5F56"/>
    <w:rsid w:val="393D0552"/>
    <w:rsid w:val="395D3275"/>
    <w:rsid w:val="395D33E0"/>
    <w:rsid w:val="395E16D8"/>
    <w:rsid w:val="397E202C"/>
    <w:rsid w:val="39C742BF"/>
    <w:rsid w:val="39EF72AE"/>
    <w:rsid w:val="3A233BEC"/>
    <w:rsid w:val="3A2B2E7D"/>
    <w:rsid w:val="3A351C05"/>
    <w:rsid w:val="3A9956AF"/>
    <w:rsid w:val="3AA634C8"/>
    <w:rsid w:val="3ADE5D64"/>
    <w:rsid w:val="3AEB5815"/>
    <w:rsid w:val="3B1E4B89"/>
    <w:rsid w:val="3B227EA4"/>
    <w:rsid w:val="3B976570"/>
    <w:rsid w:val="3B976916"/>
    <w:rsid w:val="3BCA3F69"/>
    <w:rsid w:val="3BDA6C70"/>
    <w:rsid w:val="3BE706E7"/>
    <w:rsid w:val="3C1E0B0E"/>
    <w:rsid w:val="3C1E680E"/>
    <w:rsid w:val="3C2B4FD9"/>
    <w:rsid w:val="3C30439E"/>
    <w:rsid w:val="3C577B7C"/>
    <w:rsid w:val="3C620C1F"/>
    <w:rsid w:val="3C667DC0"/>
    <w:rsid w:val="3C687118"/>
    <w:rsid w:val="3C6B13ED"/>
    <w:rsid w:val="3C7D1A3B"/>
    <w:rsid w:val="3CE3313A"/>
    <w:rsid w:val="3CEB6C51"/>
    <w:rsid w:val="3D0A66DE"/>
    <w:rsid w:val="3D242123"/>
    <w:rsid w:val="3D2739F3"/>
    <w:rsid w:val="3DB343BF"/>
    <w:rsid w:val="3DBA0FF5"/>
    <w:rsid w:val="3DC0651D"/>
    <w:rsid w:val="3DC15BF5"/>
    <w:rsid w:val="3DF558E8"/>
    <w:rsid w:val="3E0F0CDE"/>
    <w:rsid w:val="3E1E0CD5"/>
    <w:rsid w:val="3E29379B"/>
    <w:rsid w:val="3E5D0E9D"/>
    <w:rsid w:val="3E6A003B"/>
    <w:rsid w:val="3E6D3687"/>
    <w:rsid w:val="3E8D5AD7"/>
    <w:rsid w:val="3E9E7CE5"/>
    <w:rsid w:val="3EAF07F3"/>
    <w:rsid w:val="3ECF094D"/>
    <w:rsid w:val="3ED41958"/>
    <w:rsid w:val="3EF67D2C"/>
    <w:rsid w:val="3F163D1F"/>
    <w:rsid w:val="3F2A77CA"/>
    <w:rsid w:val="3F2C29E1"/>
    <w:rsid w:val="3F43088C"/>
    <w:rsid w:val="3F475C76"/>
    <w:rsid w:val="3F51746D"/>
    <w:rsid w:val="3F734995"/>
    <w:rsid w:val="3F79605C"/>
    <w:rsid w:val="3FAA090B"/>
    <w:rsid w:val="4002329B"/>
    <w:rsid w:val="40046FD9"/>
    <w:rsid w:val="400B64BC"/>
    <w:rsid w:val="401069C0"/>
    <w:rsid w:val="402044D3"/>
    <w:rsid w:val="40454BDA"/>
    <w:rsid w:val="40494E8C"/>
    <w:rsid w:val="4090365D"/>
    <w:rsid w:val="40A1394B"/>
    <w:rsid w:val="40A13ABC"/>
    <w:rsid w:val="40A34989"/>
    <w:rsid w:val="40AE4353"/>
    <w:rsid w:val="410A1661"/>
    <w:rsid w:val="41412BA9"/>
    <w:rsid w:val="415E7208"/>
    <w:rsid w:val="41B318B2"/>
    <w:rsid w:val="41BB6E63"/>
    <w:rsid w:val="42030C49"/>
    <w:rsid w:val="42185761"/>
    <w:rsid w:val="42213106"/>
    <w:rsid w:val="4231133D"/>
    <w:rsid w:val="4246491B"/>
    <w:rsid w:val="4267663F"/>
    <w:rsid w:val="426B6885"/>
    <w:rsid w:val="426E3E72"/>
    <w:rsid w:val="42770F78"/>
    <w:rsid w:val="428B4190"/>
    <w:rsid w:val="42B336F9"/>
    <w:rsid w:val="42E20F30"/>
    <w:rsid w:val="42F02AD9"/>
    <w:rsid w:val="42F04887"/>
    <w:rsid w:val="43160791"/>
    <w:rsid w:val="43401EA0"/>
    <w:rsid w:val="436241DA"/>
    <w:rsid w:val="43692E1D"/>
    <w:rsid w:val="43747266"/>
    <w:rsid w:val="4385092D"/>
    <w:rsid w:val="439C41C9"/>
    <w:rsid w:val="43A510E9"/>
    <w:rsid w:val="43A851DC"/>
    <w:rsid w:val="43AD4109"/>
    <w:rsid w:val="43BD0E45"/>
    <w:rsid w:val="43C57AC2"/>
    <w:rsid w:val="43D8485D"/>
    <w:rsid w:val="43EA577A"/>
    <w:rsid w:val="43EC25C1"/>
    <w:rsid w:val="44240418"/>
    <w:rsid w:val="442E1B0B"/>
    <w:rsid w:val="447E58C3"/>
    <w:rsid w:val="44891637"/>
    <w:rsid w:val="44B948C8"/>
    <w:rsid w:val="44C164DB"/>
    <w:rsid w:val="44C71617"/>
    <w:rsid w:val="44CA3993"/>
    <w:rsid w:val="44D31ED2"/>
    <w:rsid w:val="45062140"/>
    <w:rsid w:val="4508410A"/>
    <w:rsid w:val="4517434D"/>
    <w:rsid w:val="45667C6E"/>
    <w:rsid w:val="4575101A"/>
    <w:rsid w:val="45967968"/>
    <w:rsid w:val="45B8657D"/>
    <w:rsid w:val="45D60E05"/>
    <w:rsid w:val="45EF5E53"/>
    <w:rsid w:val="45F12DF0"/>
    <w:rsid w:val="4613530C"/>
    <w:rsid w:val="46202C43"/>
    <w:rsid w:val="46340F2E"/>
    <w:rsid w:val="463B406B"/>
    <w:rsid w:val="465869CB"/>
    <w:rsid w:val="471D091C"/>
    <w:rsid w:val="47423355"/>
    <w:rsid w:val="47543636"/>
    <w:rsid w:val="475E6263"/>
    <w:rsid w:val="47A52002"/>
    <w:rsid w:val="47CC58C3"/>
    <w:rsid w:val="47EA5D49"/>
    <w:rsid w:val="48156F65"/>
    <w:rsid w:val="4816734E"/>
    <w:rsid w:val="482B01E3"/>
    <w:rsid w:val="48442155"/>
    <w:rsid w:val="48570EA9"/>
    <w:rsid w:val="48743864"/>
    <w:rsid w:val="48A91760"/>
    <w:rsid w:val="48AC1FAB"/>
    <w:rsid w:val="48CC1C5B"/>
    <w:rsid w:val="48D80297"/>
    <w:rsid w:val="48FD385A"/>
    <w:rsid w:val="492A37F6"/>
    <w:rsid w:val="49383786"/>
    <w:rsid w:val="494A6B9D"/>
    <w:rsid w:val="494E2307"/>
    <w:rsid w:val="495A1A11"/>
    <w:rsid w:val="49690EEF"/>
    <w:rsid w:val="49845565"/>
    <w:rsid w:val="49BD6AFB"/>
    <w:rsid w:val="49D071C0"/>
    <w:rsid w:val="49D46CB0"/>
    <w:rsid w:val="49D97E23"/>
    <w:rsid w:val="49DE7B2F"/>
    <w:rsid w:val="49E63634"/>
    <w:rsid w:val="49E8254F"/>
    <w:rsid w:val="4A174DEF"/>
    <w:rsid w:val="4A1C2405"/>
    <w:rsid w:val="4A424B4F"/>
    <w:rsid w:val="4A4A4B72"/>
    <w:rsid w:val="4AD305E3"/>
    <w:rsid w:val="4AFB2ED8"/>
    <w:rsid w:val="4B413ED2"/>
    <w:rsid w:val="4B7D4085"/>
    <w:rsid w:val="4B804C64"/>
    <w:rsid w:val="4B9A7A86"/>
    <w:rsid w:val="4BA90C7D"/>
    <w:rsid w:val="4BC81760"/>
    <w:rsid w:val="4BE27F8A"/>
    <w:rsid w:val="4BED22AB"/>
    <w:rsid w:val="4BFC24EE"/>
    <w:rsid w:val="4C147660"/>
    <w:rsid w:val="4C15710C"/>
    <w:rsid w:val="4C3D7337"/>
    <w:rsid w:val="4C8D1398"/>
    <w:rsid w:val="4C9B49CA"/>
    <w:rsid w:val="4CC0351C"/>
    <w:rsid w:val="4CD40D75"/>
    <w:rsid w:val="4CD446F7"/>
    <w:rsid w:val="4CE216BB"/>
    <w:rsid w:val="4CF431C6"/>
    <w:rsid w:val="4D0B0C3B"/>
    <w:rsid w:val="4D5C3245"/>
    <w:rsid w:val="4D633BE6"/>
    <w:rsid w:val="4D6C356A"/>
    <w:rsid w:val="4D8819D9"/>
    <w:rsid w:val="4DB17975"/>
    <w:rsid w:val="4DB31C21"/>
    <w:rsid w:val="4E1601C6"/>
    <w:rsid w:val="4E3D7149"/>
    <w:rsid w:val="4E5F151E"/>
    <w:rsid w:val="4E956C13"/>
    <w:rsid w:val="4EA53D98"/>
    <w:rsid w:val="4EC51BF8"/>
    <w:rsid w:val="4ED96FA8"/>
    <w:rsid w:val="4EFB3105"/>
    <w:rsid w:val="4EFB6EBD"/>
    <w:rsid w:val="4F400944"/>
    <w:rsid w:val="4F434DE9"/>
    <w:rsid w:val="4F7A613C"/>
    <w:rsid w:val="4F8D61C2"/>
    <w:rsid w:val="4FA577CF"/>
    <w:rsid w:val="4FA79881"/>
    <w:rsid w:val="4FB235F0"/>
    <w:rsid w:val="4FCA2CC5"/>
    <w:rsid w:val="4FFB3841"/>
    <w:rsid w:val="501A1195"/>
    <w:rsid w:val="50226DEB"/>
    <w:rsid w:val="50487AB0"/>
    <w:rsid w:val="5060769D"/>
    <w:rsid w:val="508C1FFF"/>
    <w:rsid w:val="5097371F"/>
    <w:rsid w:val="50A0169A"/>
    <w:rsid w:val="50AE2257"/>
    <w:rsid w:val="50CA3E1C"/>
    <w:rsid w:val="50CF273B"/>
    <w:rsid w:val="50DD762C"/>
    <w:rsid w:val="51096E67"/>
    <w:rsid w:val="51257DF2"/>
    <w:rsid w:val="513F1B59"/>
    <w:rsid w:val="514B3CFC"/>
    <w:rsid w:val="516E79EA"/>
    <w:rsid w:val="519443A3"/>
    <w:rsid w:val="519D207E"/>
    <w:rsid w:val="51A81EAB"/>
    <w:rsid w:val="51AD1B3B"/>
    <w:rsid w:val="51C52BB4"/>
    <w:rsid w:val="51D830B6"/>
    <w:rsid w:val="51F31C9E"/>
    <w:rsid w:val="521340EE"/>
    <w:rsid w:val="5219141D"/>
    <w:rsid w:val="521A722A"/>
    <w:rsid w:val="5221162F"/>
    <w:rsid w:val="5237266C"/>
    <w:rsid w:val="52417554"/>
    <w:rsid w:val="52834FEF"/>
    <w:rsid w:val="52B458D1"/>
    <w:rsid w:val="52D600A0"/>
    <w:rsid w:val="52EF0F55"/>
    <w:rsid w:val="5334256E"/>
    <w:rsid w:val="5334431C"/>
    <w:rsid w:val="537E1A3B"/>
    <w:rsid w:val="53993C92"/>
    <w:rsid w:val="53BD6A07"/>
    <w:rsid w:val="53C47BBE"/>
    <w:rsid w:val="53DA0CAB"/>
    <w:rsid w:val="53DC67A4"/>
    <w:rsid w:val="542C0975"/>
    <w:rsid w:val="54776BB6"/>
    <w:rsid w:val="547B54E4"/>
    <w:rsid w:val="547F1F7A"/>
    <w:rsid w:val="549A5776"/>
    <w:rsid w:val="54CD2C7A"/>
    <w:rsid w:val="54D95D36"/>
    <w:rsid w:val="54F975CB"/>
    <w:rsid w:val="55013B8C"/>
    <w:rsid w:val="55986DE4"/>
    <w:rsid w:val="560C1580"/>
    <w:rsid w:val="56306E29"/>
    <w:rsid w:val="5631294D"/>
    <w:rsid w:val="567A298E"/>
    <w:rsid w:val="56981066"/>
    <w:rsid w:val="56BD287A"/>
    <w:rsid w:val="56D419D8"/>
    <w:rsid w:val="56D54068"/>
    <w:rsid w:val="56FC0396"/>
    <w:rsid w:val="57430FD1"/>
    <w:rsid w:val="574F603B"/>
    <w:rsid w:val="576A0C54"/>
    <w:rsid w:val="577C4928"/>
    <w:rsid w:val="57947A7F"/>
    <w:rsid w:val="579E63A0"/>
    <w:rsid w:val="57B06764"/>
    <w:rsid w:val="57B343A9"/>
    <w:rsid w:val="57F10A2D"/>
    <w:rsid w:val="57FC0C53"/>
    <w:rsid w:val="581A66EC"/>
    <w:rsid w:val="582E3A30"/>
    <w:rsid w:val="587830F6"/>
    <w:rsid w:val="58956408"/>
    <w:rsid w:val="58C6010C"/>
    <w:rsid w:val="58D75E75"/>
    <w:rsid w:val="58D816D8"/>
    <w:rsid w:val="58DC348C"/>
    <w:rsid w:val="58E8242A"/>
    <w:rsid w:val="58FE52C1"/>
    <w:rsid w:val="591E5852"/>
    <w:rsid w:val="59287642"/>
    <w:rsid w:val="592F7A5F"/>
    <w:rsid w:val="59575208"/>
    <w:rsid w:val="59682A12"/>
    <w:rsid w:val="597F3501"/>
    <w:rsid w:val="5992478B"/>
    <w:rsid w:val="59972C8B"/>
    <w:rsid w:val="5999312B"/>
    <w:rsid w:val="59A14C5F"/>
    <w:rsid w:val="59B60E0D"/>
    <w:rsid w:val="59BF6AD5"/>
    <w:rsid w:val="59C81C62"/>
    <w:rsid w:val="59C83A3D"/>
    <w:rsid w:val="5A1C77F0"/>
    <w:rsid w:val="5A233ECA"/>
    <w:rsid w:val="5A3B798D"/>
    <w:rsid w:val="5A6C083F"/>
    <w:rsid w:val="5B361C21"/>
    <w:rsid w:val="5B6B1CD9"/>
    <w:rsid w:val="5BAE20C1"/>
    <w:rsid w:val="5BCA5ABD"/>
    <w:rsid w:val="5C0D7FF6"/>
    <w:rsid w:val="5C1F2007"/>
    <w:rsid w:val="5C25514A"/>
    <w:rsid w:val="5C49314D"/>
    <w:rsid w:val="5C553C81"/>
    <w:rsid w:val="5C593045"/>
    <w:rsid w:val="5C69772C"/>
    <w:rsid w:val="5C8A3A2B"/>
    <w:rsid w:val="5C907ACF"/>
    <w:rsid w:val="5CB326D5"/>
    <w:rsid w:val="5CD6237B"/>
    <w:rsid w:val="5D395350"/>
    <w:rsid w:val="5D3F223B"/>
    <w:rsid w:val="5D56392A"/>
    <w:rsid w:val="5D5F6439"/>
    <w:rsid w:val="5D6D4FFA"/>
    <w:rsid w:val="5D804D2D"/>
    <w:rsid w:val="5D9D79BB"/>
    <w:rsid w:val="5DC1452A"/>
    <w:rsid w:val="5DD8682B"/>
    <w:rsid w:val="5DE81E9A"/>
    <w:rsid w:val="5DF9063C"/>
    <w:rsid w:val="5E703E05"/>
    <w:rsid w:val="5E7E0D08"/>
    <w:rsid w:val="5EE9340E"/>
    <w:rsid w:val="5F0454EA"/>
    <w:rsid w:val="5F087497"/>
    <w:rsid w:val="5F2470DC"/>
    <w:rsid w:val="5F27742B"/>
    <w:rsid w:val="5F593A88"/>
    <w:rsid w:val="5F6A38C5"/>
    <w:rsid w:val="5F81590D"/>
    <w:rsid w:val="5F845EAF"/>
    <w:rsid w:val="5F8D1984"/>
    <w:rsid w:val="5F912AD7"/>
    <w:rsid w:val="5F9F5213"/>
    <w:rsid w:val="5FE3718E"/>
    <w:rsid w:val="5FE532A2"/>
    <w:rsid w:val="5FF53085"/>
    <w:rsid w:val="60011A2A"/>
    <w:rsid w:val="6046099D"/>
    <w:rsid w:val="604F0945"/>
    <w:rsid w:val="606C1599"/>
    <w:rsid w:val="60866B71"/>
    <w:rsid w:val="616131D1"/>
    <w:rsid w:val="61785D1C"/>
    <w:rsid w:val="61C96228"/>
    <w:rsid w:val="61D1021F"/>
    <w:rsid w:val="61D70C94"/>
    <w:rsid w:val="61E33ADD"/>
    <w:rsid w:val="61F2668C"/>
    <w:rsid w:val="62013342"/>
    <w:rsid w:val="620B6AB5"/>
    <w:rsid w:val="621471FE"/>
    <w:rsid w:val="621A0B29"/>
    <w:rsid w:val="623054B0"/>
    <w:rsid w:val="62377B3C"/>
    <w:rsid w:val="625422E5"/>
    <w:rsid w:val="625642AF"/>
    <w:rsid w:val="625B6C39"/>
    <w:rsid w:val="62784973"/>
    <w:rsid w:val="62CA5620"/>
    <w:rsid w:val="62D11B87"/>
    <w:rsid w:val="62EB24E4"/>
    <w:rsid w:val="6311467A"/>
    <w:rsid w:val="63116428"/>
    <w:rsid w:val="631A1780"/>
    <w:rsid w:val="63DD0793"/>
    <w:rsid w:val="63FD659C"/>
    <w:rsid w:val="641B57B0"/>
    <w:rsid w:val="64414AEB"/>
    <w:rsid w:val="64601415"/>
    <w:rsid w:val="64A07A63"/>
    <w:rsid w:val="64AD3F2E"/>
    <w:rsid w:val="64E74F7B"/>
    <w:rsid w:val="65160407"/>
    <w:rsid w:val="653719B4"/>
    <w:rsid w:val="653D1756"/>
    <w:rsid w:val="65626790"/>
    <w:rsid w:val="65654809"/>
    <w:rsid w:val="65867EED"/>
    <w:rsid w:val="65C6799D"/>
    <w:rsid w:val="65D8147F"/>
    <w:rsid w:val="65DB653B"/>
    <w:rsid w:val="65DC7418"/>
    <w:rsid w:val="65FA13F5"/>
    <w:rsid w:val="661B005C"/>
    <w:rsid w:val="66245C85"/>
    <w:rsid w:val="662F6008"/>
    <w:rsid w:val="668A329E"/>
    <w:rsid w:val="6692787F"/>
    <w:rsid w:val="66AD0F21"/>
    <w:rsid w:val="66E5649A"/>
    <w:rsid w:val="66EA1469"/>
    <w:rsid w:val="6724547F"/>
    <w:rsid w:val="673152EA"/>
    <w:rsid w:val="67446DCC"/>
    <w:rsid w:val="67651293"/>
    <w:rsid w:val="67880C7D"/>
    <w:rsid w:val="679717C5"/>
    <w:rsid w:val="67A27113"/>
    <w:rsid w:val="67A94E81"/>
    <w:rsid w:val="67CE387D"/>
    <w:rsid w:val="67D935EE"/>
    <w:rsid w:val="67DD1876"/>
    <w:rsid w:val="67E667BC"/>
    <w:rsid w:val="67EF020A"/>
    <w:rsid w:val="6801171E"/>
    <w:rsid w:val="680839D1"/>
    <w:rsid w:val="6818218E"/>
    <w:rsid w:val="682F7FFB"/>
    <w:rsid w:val="683850C7"/>
    <w:rsid w:val="68591700"/>
    <w:rsid w:val="687B77F4"/>
    <w:rsid w:val="68914293"/>
    <w:rsid w:val="68995944"/>
    <w:rsid w:val="689C2817"/>
    <w:rsid w:val="68A00813"/>
    <w:rsid w:val="68EA39A3"/>
    <w:rsid w:val="68F25ADB"/>
    <w:rsid w:val="68FE11FC"/>
    <w:rsid w:val="6917406C"/>
    <w:rsid w:val="69233924"/>
    <w:rsid w:val="693469CC"/>
    <w:rsid w:val="69351AA8"/>
    <w:rsid w:val="69CA4361"/>
    <w:rsid w:val="69E421A0"/>
    <w:rsid w:val="69FE624D"/>
    <w:rsid w:val="6A024D1C"/>
    <w:rsid w:val="6A1707C7"/>
    <w:rsid w:val="6A4716A7"/>
    <w:rsid w:val="6A4B3FF0"/>
    <w:rsid w:val="6A7433BD"/>
    <w:rsid w:val="6A755292"/>
    <w:rsid w:val="6A7A48B2"/>
    <w:rsid w:val="6ABC72AD"/>
    <w:rsid w:val="6AC01CFC"/>
    <w:rsid w:val="6AC8443C"/>
    <w:rsid w:val="6ACD3489"/>
    <w:rsid w:val="6AD46DF5"/>
    <w:rsid w:val="6AE273F8"/>
    <w:rsid w:val="6B30787C"/>
    <w:rsid w:val="6B3E64A3"/>
    <w:rsid w:val="6B680BAF"/>
    <w:rsid w:val="6BDB3A77"/>
    <w:rsid w:val="6C413AE5"/>
    <w:rsid w:val="6C42222B"/>
    <w:rsid w:val="6C6D154A"/>
    <w:rsid w:val="6C6D7E09"/>
    <w:rsid w:val="6C703C63"/>
    <w:rsid w:val="6C89702F"/>
    <w:rsid w:val="6CAB4545"/>
    <w:rsid w:val="6CAB51F7"/>
    <w:rsid w:val="6CE33E08"/>
    <w:rsid w:val="6CE36F28"/>
    <w:rsid w:val="6D06067F"/>
    <w:rsid w:val="6D1C0FD5"/>
    <w:rsid w:val="6D295E5F"/>
    <w:rsid w:val="6D2D4DDF"/>
    <w:rsid w:val="6D4917E1"/>
    <w:rsid w:val="6D5060F5"/>
    <w:rsid w:val="6D6D6950"/>
    <w:rsid w:val="6D82079D"/>
    <w:rsid w:val="6D836174"/>
    <w:rsid w:val="6D9A5E83"/>
    <w:rsid w:val="6DC42A14"/>
    <w:rsid w:val="6DD33204"/>
    <w:rsid w:val="6DD662A4"/>
    <w:rsid w:val="6DE27C96"/>
    <w:rsid w:val="6DE309C1"/>
    <w:rsid w:val="6DEA1D4F"/>
    <w:rsid w:val="6E07016B"/>
    <w:rsid w:val="6E5124EB"/>
    <w:rsid w:val="6E5B66A4"/>
    <w:rsid w:val="6E6637DE"/>
    <w:rsid w:val="6E7D2BC3"/>
    <w:rsid w:val="6EE42C42"/>
    <w:rsid w:val="6F01196A"/>
    <w:rsid w:val="6F0845A8"/>
    <w:rsid w:val="6F0F06CF"/>
    <w:rsid w:val="6F285225"/>
    <w:rsid w:val="6F416A7B"/>
    <w:rsid w:val="6F6A7231"/>
    <w:rsid w:val="6F83245B"/>
    <w:rsid w:val="6FA53CD0"/>
    <w:rsid w:val="6FB46AB9"/>
    <w:rsid w:val="6FC211D5"/>
    <w:rsid w:val="6FC24912"/>
    <w:rsid w:val="6FCE3184"/>
    <w:rsid w:val="6FD92432"/>
    <w:rsid w:val="6FE0340A"/>
    <w:rsid w:val="6FE949B4"/>
    <w:rsid w:val="6FF43359"/>
    <w:rsid w:val="70581A5F"/>
    <w:rsid w:val="70801449"/>
    <w:rsid w:val="70A03843"/>
    <w:rsid w:val="70DD413F"/>
    <w:rsid w:val="711D41EA"/>
    <w:rsid w:val="71243105"/>
    <w:rsid w:val="7141437C"/>
    <w:rsid w:val="716254FF"/>
    <w:rsid w:val="71C64881"/>
    <w:rsid w:val="71DA19A5"/>
    <w:rsid w:val="71DF0857"/>
    <w:rsid w:val="72277779"/>
    <w:rsid w:val="724E66E8"/>
    <w:rsid w:val="725D7774"/>
    <w:rsid w:val="72695938"/>
    <w:rsid w:val="7280199C"/>
    <w:rsid w:val="72EB2756"/>
    <w:rsid w:val="731C47FF"/>
    <w:rsid w:val="73591E51"/>
    <w:rsid w:val="73740A39"/>
    <w:rsid w:val="73816CB2"/>
    <w:rsid w:val="738D5656"/>
    <w:rsid w:val="73BB6CF1"/>
    <w:rsid w:val="73E45068"/>
    <w:rsid w:val="73E9356D"/>
    <w:rsid w:val="73EF6D67"/>
    <w:rsid w:val="741B0EB4"/>
    <w:rsid w:val="74213FF1"/>
    <w:rsid w:val="74237697"/>
    <w:rsid w:val="743C2881"/>
    <w:rsid w:val="744E1D52"/>
    <w:rsid w:val="745D14CD"/>
    <w:rsid w:val="747A400A"/>
    <w:rsid w:val="7480340D"/>
    <w:rsid w:val="748702F8"/>
    <w:rsid w:val="74A25132"/>
    <w:rsid w:val="74B31134"/>
    <w:rsid w:val="74B96C79"/>
    <w:rsid w:val="74BC7CCF"/>
    <w:rsid w:val="74CE4179"/>
    <w:rsid w:val="74D53759"/>
    <w:rsid w:val="74DD038A"/>
    <w:rsid w:val="74E614E9"/>
    <w:rsid w:val="74F93906"/>
    <w:rsid w:val="74FC6853"/>
    <w:rsid w:val="750D5B85"/>
    <w:rsid w:val="75475012"/>
    <w:rsid w:val="75B8729C"/>
    <w:rsid w:val="75F80517"/>
    <w:rsid w:val="75FD756C"/>
    <w:rsid w:val="76616B00"/>
    <w:rsid w:val="769413F2"/>
    <w:rsid w:val="76E23F0B"/>
    <w:rsid w:val="76EA2DC0"/>
    <w:rsid w:val="77040325"/>
    <w:rsid w:val="770E7668"/>
    <w:rsid w:val="77161E07"/>
    <w:rsid w:val="772419C9"/>
    <w:rsid w:val="775F37A4"/>
    <w:rsid w:val="778E36F2"/>
    <w:rsid w:val="77901BB9"/>
    <w:rsid w:val="77955421"/>
    <w:rsid w:val="77C2468B"/>
    <w:rsid w:val="77DA1086"/>
    <w:rsid w:val="77DA2487"/>
    <w:rsid w:val="77F008AA"/>
    <w:rsid w:val="780B1240"/>
    <w:rsid w:val="781D2821"/>
    <w:rsid w:val="782D17E6"/>
    <w:rsid w:val="783764D9"/>
    <w:rsid w:val="784C23B7"/>
    <w:rsid w:val="786A4B63"/>
    <w:rsid w:val="78700C89"/>
    <w:rsid w:val="788D5058"/>
    <w:rsid w:val="78A24821"/>
    <w:rsid w:val="78DE6954"/>
    <w:rsid w:val="78F92189"/>
    <w:rsid w:val="78F9378E"/>
    <w:rsid w:val="792E3438"/>
    <w:rsid w:val="79386064"/>
    <w:rsid w:val="79452058"/>
    <w:rsid w:val="794543C1"/>
    <w:rsid w:val="795859B3"/>
    <w:rsid w:val="79A16618"/>
    <w:rsid w:val="79C21DD2"/>
    <w:rsid w:val="79C94F5E"/>
    <w:rsid w:val="79D4304F"/>
    <w:rsid w:val="79EB30D7"/>
    <w:rsid w:val="7A132357"/>
    <w:rsid w:val="7A1355F8"/>
    <w:rsid w:val="7A2A2C99"/>
    <w:rsid w:val="7A3C1B84"/>
    <w:rsid w:val="7A4A65D1"/>
    <w:rsid w:val="7A547432"/>
    <w:rsid w:val="7A7632E8"/>
    <w:rsid w:val="7A85352B"/>
    <w:rsid w:val="7AD4000F"/>
    <w:rsid w:val="7AD87AFF"/>
    <w:rsid w:val="7ADE2C3C"/>
    <w:rsid w:val="7AE127DC"/>
    <w:rsid w:val="7B0205C1"/>
    <w:rsid w:val="7B063D79"/>
    <w:rsid w:val="7B882437"/>
    <w:rsid w:val="7B937ECA"/>
    <w:rsid w:val="7BBF2A6D"/>
    <w:rsid w:val="7BD05883"/>
    <w:rsid w:val="7C256D6E"/>
    <w:rsid w:val="7C2B3C5E"/>
    <w:rsid w:val="7C2E5F61"/>
    <w:rsid w:val="7C374CF9"/>
    <w:rsid w:val="7C4A4D85"/>
    <w:rsid w:val="7C653614"/>
    <w:rsid w:val="7C7460BD"/>
    <w:rsid w:val="7C903ADF"/>
    <w:rsid w:val="7CC678C0"/>
    <w:rsid w:val="7CD1298F"/>
    <w:rsid w:val="7CD40D8A"/>
    <w:rsid w:val="7D117314"/>
    <w:rsid w:val="7D353B60"/>
    <w:rsid w:val="7D494CE4"/>
    <w:rsid w:val="7D567401"/>
    <w:rsid w:val="7D9817C8"/>
    <w:rsid w:val="7DE06CCB"/>
    <w:rsid w:val="7DE70059"/>
    <w:rsid w:val="7DF6029C"/>
    <w:rsid w:val="7E154BC6"/>
    <w:rsid w:val="7E173229"/>
    <w:rsid w:val="7E1F6B85"/>
    <w:rsid w:val="7E9C0E44"/>
    <w:rsid w:val="7EA816A6"/>
    <w:rsid w:val="7EB9041C"/>
    <w:rsid w:val="7F417E45"/>
    <w:rsid w:val="7F45772D"/>
    <w:rsid w:val="7FA06711"/>
    <w:rsid w:val="7FCF3D88"/>
    <w:rsid w:val="7FD7343C"/>
    <w:rsid w:val="7FEFE6A4"/>
    <w:rsid w:val="7FF32CE5"/>
    <w:rsid w:val="BFFBFCE7"/>
    <w:rsid w:val="FD4F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120" w:line="360" w:lineRule="auto"/>
      <w:outlineLvl w:val="0"/>
    </w:pPr>
    <w:rPr>
      <w:rFonts w:ascii="黑体" w:hAnsi="黑体" w:eastAsia="仿宋"/>
      <w:b/>
      <w:bCs/>
      <w:kern w:val="44"/>
      <w:sz w:val="32"/>
      <w:szCs w:val="32"/>
    </w:rPr>
  </w:style>
  <w:style w:type="paragraph" w:styleId="3">
    <w:name w:val="heading 2"/>
    <w:basedOn w:val="1"/>
    <w:next w:val="1"/>
    <w:link w:val="44"/>
    <w:qFormat/>
    <w:uiPriority w:val="0"/>
    <w:pPr>
      <w:keepNext/>
      <w:keepLines/>
      <w:widowControl w:val="0"/>
      <w:numPr>
        <w:ilvl w:val="1"/>
        <w:numId w:val="1"/>
      </w:numPr>
      <w:tabs>
        <w:tab w:val="left" w:pos="709"/>
        <w:tab w:val="left" w:pos="850"/>
      </w:tabs>
      <w:spacing w:line="360" w:lineRule="auto"/>
      <w:outlineLvl w:val="1"/>
    </w:pPr>
    <w:rPr>
      <w:rFonts w:ascii="宋体" w:hAnsi="宋体"/>
      <w:b/>
      <w:bCs/>
      <w:sz w:val="28"/>
      <w:szCs w:val="28"/>
    </w:rPr>
  </w:style>
  <w:style w:type="paragraph" w:styleId="4">
    <w:name w:val="heading 3"/>
    <w:basedOn w:val="1"/>
    <w:next w:val="1"/>
    <w:link w:val="45"/>
    <w:qFormat/>
    <w:uiPriority w:val="0"/>
    <w:pPr>
      <w:keepNext/>
      <w:widowControl w:val="0"/>
      <w:numPr>
        <w:ilvl w:val="2"/>
        <w:numId w:val="1"/>
      </w:numPr>
      <w:tabs>
        <w:tab w:val="left" w:pos="0"/>
      </w:tabs>
      <w:spacing w:line="360" w:lineRule="auto"/>
      <w:ind w:left="1134" w:hanging="1134"/>
      <w:outlineLvl w:val="2"/>
    </w:pPr>
    <w:rPr>
      <w:rFonts w:ascii="宋体" w:hAnsi="宋体" w:eastAsia="仿宋"/>
      <w:bCs/>
      <w:sz w:val="28"/>
      <w:szCs w:val="28"/>
    </w:rPr>
  </w:style>
  <w:style w:type="paragraph" w:styleId="5">
    <w:name w:val="heading 4"/>
    <w:basedOn w:val="1"/>
    <w:next w:val="1"/>
    <w:link w:val="46"/>
    <w:qFormat/>
    <w:uiPriority w:val="0"/>
    <w:pPr>
      <w:keepNext/>
      <w:keepLines/>
      <w:numPr>
        <w:ilvl w:val="3"/>
        <w:numId w:val="2"/>
      </w:numPr>
      <w:tabs>
        <w:tab w:val="left" w:pos="0"/>
      </w:tabs>
      <w:spacing w:before="100" w:beforeAutospacing="1" w:after="100" w:afterAutospacing="1" w:line="360" w:lineRule="auto"/>
      <w:outlineLvl w:val="3"/>
    </w:pPr>
    <w:rPr>
      <w:rFonts w:ascii="宋体" w:hAnsi="宋体"/>
      <w:b/>
      <w:bCs/>
      <w:sz w:val="32"/>
      <w:szCs w:val="32"/>
    </w:rPr>
  </w:style>
  <w:style w:type="paragraph" w:styleId="6">
    <w:name w:val="heading 5"/>
    <w:basedOn w:val="1"/>
    <w:next w:val="1"/>
    <w:link w:val="43"/>
    <w:unhideWhenUsed/>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49"/>
    <w:unhideWhenUsed/>
    <w:qFormat/>
    <w:uiPriority w:val="0"/>
    <w:pPr>
      <w:keepNext/>
      <w:keepLines/>
      <w:numPr>
        <w:ilvl w:val="5"/>
        <w:numId w:val="2"/>
      </w:numPr>
      <w:spacing w:before="240" w:after="64" w:line="320" w:lineRule="auto"/>
      <w:outlineLvl w:val="5"/>
    </w:pPr>
    <w:rPr>
      <w:rFonts w:ascii="Cambria" w:hAnsi="Cambria"/>
      <w:b/>
      <w:bCs/>
      <w:sz w:val="24"/>
    </w:rPr>
  </w:style>
  <w:style w:type="paragraph" w:styleId="8">
    <w:name w:val="heading 7"/>
    <w:basedOn w:val="1"/>
    <w:next w:val="1"/>
    <w:link w:val="50"/>
    <w:unhideWhenUsed/>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51"/>
    <w:unhideWhenUsed/>
    <w:qFormat/>
    <w:uiPriority w:val="0"/>
    <w:pPr>
      <w:keepNext/>
      <w:keepLines/>
      <w:numPr>
        <w:ilvl w:val="7"/>
        <w:numId w:val="2"/>
      </w:numPr>
      <w:spacing w:before="240" w:after="64" w:line="320" w:lineRule="auto"/>
      <w:outlineLvl w:val="7"/>
    </w:pPr>
    <w:rPr>
      <w:rFonts w:ascii="Cambria" w:hAnsi="Cambria"/>
      <w:sz w:val="24"/>
    </w:rPr>
  </w:style>
  <w:style w:type="paragraph" w:styleId="10">
    <w:name w:val="heading 9"/>
    <w:basedOn w:val="1"/>
    <w:next w:val="1"/>
    <w:link w:val="52"/>
    <w:unhideWhenUsed/>
    <w:qFormat/>
    <w:uiPriority w:val="0"/>
    <w:pPr>
      <w:keepNext/>
      <w:keepLines/>
      <w:numPr>
        <w:ilvl w:val="8"/>
        <w:numId w:val="2"/>
      </w:numPr>
      <w:spacing w:before="240" w:after="64" w:line="320"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szCs w:val="22"/>
    </w:rPr>
  </w:style>
  <w:style w:type="paragraph" w:styleId="12">
    <w:name w:val="Normal Indent"/>
    <w:basedOn w:val="1"/>
    <w:link w:val="56"/>
    <w:qFormat/>
    <w:uiPriority w:val="0"/>
    <w:pPr>
      <w:spacing w:beforeLines="60" w:afterLines="60"/>
      <w:ind w:firstLine="256" w:firstLineChars="256"/>
    </w:pPr>
    <w:rPr>
      <w:rFonts w:ascii="宋体"/>
      <w:snapToGrid w:val="0"/>
      <w:kern w:val="0"/>
      <w:szCs w:val="20"/>
    </w:rPr>
  </w:style>
  <w:style w:type="paragraph" w:styleId="13">
    <w:name w:val="caption"/>
    <w:basedOn w:val="1"/>
    <w:next w:val="1"/>
    <w:unhideWhenUsed/>
    <w:qFormat/>
    <w:uiPriority w:val="0"/>
    <w:rPr>
      <w:rFonts w:ascii="Cambria" w:hAnsi="Cambria" w:eastAsia="黑体"/>
      <w:sz w:val="20"/>
      <w:szCs w:val="20"/>
    </w:rPr>
  </w:style>
  <w:style w:type="paragraph" w:styleId="14">
    <w:name w:val="Document Map"/>
    <w:basedOn w:val="1"/>
    <w:link w:val="55"/>
    <w:semiHidden/>
    <w:qFormat/>
    <w:uiPriority w:val="99"/>
    <w:pPr>
      <w:shd w:val="clear" w:color="auto" w:fill="000080"/>
    </w:pPr>
  </w:style>
  <w:style w:type="paragraph" w:styleId="15">
    <w:name w:val="annotation text"/>
    <w:basedOn w:val="1"/>
    <w:link w:val="47"/>
    <w:qFormat/>
    <w:uiPriority w:val="0"/>
  </w:style>
  <w:style w:type="paragraph" w:styleId="16">
    <w:name w:val="Body Text"/>
    <w:basedOn w:val="1"/>
    <w:link w:val="65"/>
    <w:qFormat/>
    <w:uiPriority w:val="0"/>
    <w:pPr>
      <w:ind w:firstLine="420" w:firstLineChars="200"/>
    </w:pPr>
    <w:rPr>
      <w:rFonts w:eastAsia="仿宋"/>
      <w:sz w:val="28"/>
    </w:rPr>
  </w:style>
  <w:style w:type="paragraph" w:styleId="17">
    <w:name w:val="Body Text Indent"/>
    <w:basedOn w:val="1"/>
    <w:next w:val="1"/>
    <w:link w:val="58"/>
    <w:qFormat/>
    <w:uiPriority w:val="0"/>
    <w:pPr>
      <w:spacing w:before="200" w:after="120" w:line="0" w:lineRule="atLeast"/>
      <w:ind w:left="420" w:leftChars="200"/>
    </w:pPr>
    <w:rPr>
      <w:b/>
      <w:spacing w:val="10"/>
      <w:sz w:val="28"/>
      <w:szCs w:val="20"/>
    </w:rPr>
  </w:style>
  <w:style w:type="paragraph" w:styleId="18">
    <w:name w:val="toc 5"/>
    <w:basedOn w:val="1"/>
    <w:next w:val="1"/>
    <w:unhideWhenUsed/>
    <w:qFormat/>
    <w:uiPriority w:val="39"/>
    <w:pPr>
      <w:widowControl w:val="0"/>
      <w:ind w:left="1680" w:leftChars="800"/>
      <w:jc w:val="both"/>
    </w:pPr>
    <w:rPr>
      <w:rFonts w:asciiTheme="minorHAnsi" w:hAnsiTheme="minorHAnsi" w:eastAsiaTheme="minorEastAsia" w:cstheme="minorBidi"/>
      <w:szCs w:val="22"/>
    </w:rPr>
  </w:style>
  <w:style w:type="paragraph" w:styleId="19">
    <w:name w:val="toc 3"/>
    <w:basedOn w:val="1"/>
    <w:next w:val="1"/>
    <w:qFormat/>
    <w:uiPriority w:val="39"/>
    <w:pPr>
      <w:spacing w:line="240" w:lineRule="atLeast"/>
      <w:ind w:left="400"/>
    </w:pPr>
    <w:rPr>
      <w:rFonts w:eastAsia="仿宋"/>
      <w:iCs/>
      <w:snapToGrid w:val="0"/>
      <w:kern w:val="0"/>
    </w:rPr>
  </w:style>
  <w:style w:type="paragraph" w:styleId="20">
    <w:name w:val="Plain Text"/>
    <w:basedOn w:val="1"/>
    <w:link w:val="75"/>
    <w:qFormat/>
    <w:uiPriority w:val="0"/>
    <w:pPr>
      <w:widowControl w:val="0"/>
      <w:jc w:val="both"/>
    </w:pPr>
    <w:rPr>
      <w:rFonts w:ascii="宋体" w:hAnsi="Courier New"/>
      <w:szCs w:val="20"/>
    </w:rPr>
  </w:style>
  <w:style w:type="paragraph" w:styleId="21">
    <w:name w:val="toc 8"/>
    <w:basedOn w:val="1"/>
    <w:next w:val="1"/>
    <w:unhideWhenUsed/>
    <w:qFormat/>
    <w:uiPriority w:val="39"/>
    <w:pPr>
      <w:widowControl w:val="0"/>
      <w:ind w:left="2940" w:leftChars="1400"/>
      <w:jc w:val="both"/>
    </w:pPr>
    <w:rPr>
      <w:rFonts w:asciiTheme="minorHAnsi" w:hAnsiTheme="minorHAnsi" w:eastAsiaTheme="minorEastAsia" w:cstheme="minorBidi"/>
      <w:szCs w:val="22"/>
    </w:rPr>
  </w:style>
  <w:style w:type="paragraph" w:styleId="22">
    <w:name w:val="Body Text Indent 2"/>
    <w:basedOn w:val="1"/>
    <w:link w:val="72"/>
    <w:qFormat/>
    <w:uiPriority w:val="0"/>
    <w:pPr>
      <w:spacing w:after="120" w:line="480" w:lineRule="auto"/>
      <w:ind w:left="420" w:leftChars="200"/>
    </w:pPr>
  </w:style>
  <w:style w:type="paragraph" w:styleId="23">
    <w:name w:val="Balloon Text"/>
    <w:basedOn w:val="1"/>
    <w:link w:val="63"/>
    <w:qFormat/>
    <w:uiPriority w:val="0"/>
    <w:rPr>
      <w:sz w:val="18"/>
      <w:szCs w:val="18"/>
    </w:rPr>
  </w:style>
  <w:style w:type="paragraph" w:styleId="24">
    <w:name w:val="footer"/>
    <w:basedOn w:val="1"/>
    <w:link w:val="54"/>
    <w:qFormat/>
    <w:uiPriority w:val="0"/>
    <w:pPr>
      <w:tabs>
        <w:tab w:val="center" w:pos="4153"/>
        <w:tab w:val="right" w:pos="8306"/>
      </w:tabs>
      <w:snapToGrid w:val="0"/>
    </w:pPr>
    <w:rPr>
      <w:sz w:val="18"/>
      <w:szCs w:val="18"/>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line="240" w:lineRule="atLeast"/>
    </w:pPr>
    <w:rPr>
      <w:rFonts w:eastAsia="仿宋"/>
      <w:b/>
      <w:bCs/>
      <w:caps/>
      <w:snapToGrid w:val="0"/>
      <w:kern w:val="0"/>
    </w:rPr>
  </w:style>
  <w:style w:type="paragraph" w:styleId="27">
    <w:name w:val="toc 4"/>
    <w:basedOn w:val="1"/>
    <w:next w:val="1"/>
    <w:qFormat/>
    <w:uiPriority w:val="39"/>
    <w:pPr>
      <w:ind w:left="1260" w:leftChars="600"/>
    </w:pPr>
  </w:style>
  <w:style w:type="paragraph" w:styleId="28">
    <w:name w:val="toc 6"/>
    <w:basedOn w:val="1"/>
    <w:next w:val="1"/>
    <w:unhideWhenUsed/>
    <w:qFormat/>
    <w:uiPriority w:val="39"/>
    <w:pPr>
      <w:widowControl w:val="0"/>
      <w:ind w:left="2100" w:leftChars="1000"/>
      <w:jc w:val="both"/>
    </w:pPr>
    <w:rPr>
      <w:rFonts w:asciiTheme="minorHAnsi" w:hAnsiTheme="minorHAnsi" w:eastAsiaTheme="minorEastAsia" w:cstheme="minorBidi"/>
      <w:szCs w:val="22"/>
    </w:rPr>
  </w:style>
  <w:style w:type="paragraph" w:styleId="29">
    <w:name w:val="toc 2"/>
    <w:basedOn w:val="1"/>
    <w:next w:val="1"/>
    <w:qFormat/>
    <w:uiPriority w:val="39"/>
    <w:pPr>
      <w:spacing w:line="240" w:lineRule="atLeast"/>
      <w:ind w:left="200"/>
    </w:pPr>
    <w:rPr>
      <w:smallCaps/>
      <w:snapToGrid w:val="0"/>
      <w:kern w:val="0"/>
    </w:rPr>
  </w:style>
  <w:style w:type="paragraph" w:styleId="30">
    <w:name w:val="toc 9"/>
    <w:basedOn w:val="1"/>
    <w:next w:val="1"/>
    <w:unhideWhenUsed/>
    <w:qFormat/>
    <w:uiPriority w:val="39"/>
    <w:pPr>
      <w:widowControl w:val="0"/>
      <w:ind w:left="3360" w:leftChars="1600"/>
      <w:jc w:val="both"/>
    </w:pPr>
    <w:rPr>
      <w:rFonts w:asciiTheme="minorHAnsi" w:hAnsiTheme="minorHAnsi" w:eastAsiaTheme="minorEastAsia" w:cstheme="minorBidi"/>
      <w:szCs w:val="22"/>
    </w:rPr>
  </w:style>
  <w:style w:type="paragraph" w:styleId="31">
    <w:name w:val="Normal (Web)"/>
    <w:basedOn w:val="1"/>
    <w:unhideWhenUsed/>
    <w:qFormat/>
    <w:uiPriority w:val="99"/>
    <w:pPr>
      <w:spacing w:before="100" w:beforeAutospacing="1" w:after="100" w:afterAutospacing="1"/>
    </w:pPr>
    <w:rPr>
      <w:rFonts w:ascii="宋体" w:hAnsi="宋体" w:cs="宋体"/>
      <w:kern w:val="0"/>
      <w:sz w:val="24"/>
    </w:rPr>
  </w:style>
  <w:style w:type="paragraph" w:styleId="32">
    <w:name w:val="index 1"/>
    <w:basedOn w:val="33"/>
    <w:next w:val="14"/>
    <w:semiHidden/>
    <w:qFormat/>
    <w:uiPriority w:val="0"/>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5"/>
    <w:next w:val="15"/>
    <w:link w:val="62"/>
    <w:qFormat/>
    <w:uiPriority w:val="0"/>
    <w:rPr>
      <w:b/>
      <w:bCs/>
    </w:rPr>
  </w:style>
  <w:style w:type="paragraph" w:styleId="35">
    <w:name w:val="Body Text First Indent"/>
    <w:basedOn w:val="16"/>
    <w:link w:val="66"/>
    <w:qFormat/>
    <w:uiPriority w:val="0"/>
    <w:pPr>
      <w:ind w:firstLineChars="100"/>
    </w:pPr>
  </w:style>
  <w:style w:type="paragraph" w:styleId="36">
    <w:name w:val="Body Text First Indent 2"/>
    <w:basedOn w:val="17"/>
    <w:link w:val="69"/>
    <w:qFormat/>
    <w:uiPriority w:val="0"/>
    <w:pPr>
      <w:spacing w:before="0" w:line="240" w:lineRule="auto"/>
      <w:ind w:firstLine="420" w:firstLineChars="200"/>
      <w:jc w:val="both"/>
    </w:pPr>
    <w:rPr>
      <w:b w:val="0"/>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标题 5 字符"/>
    <w:link w:val="6"/>
    <w:qFormat/>
    <w:uiPriority w:val="0"/>
    <w:rPr>
      <w:b/>
      <w:bCs/>
      <w:kern w:val="2"/>
      <w:sz w:val="28"/>
      <w:szCs w:val="28"/>
    </w:rPr>
  </w:style>
  <w:style w:type="character" w:customStyle="1" w:styleId="44">
    <w:name w:val="标题 2 字符"/>
    <w:link w:val="3"/>
    <w:qFormat/>
    <w:uiPriority w:val="0"/>
    <w:rPr>
      <w:rFonts w:ascii="宋体" w:hAnsi="宋体" w:eastAsia="宋体"/>
      <w:b/>
      <w:bCs/>
      <w:kern w:val="2"/>
      <w:sz w:val="28"/>
      <w:szCs w:val="28"/>
    </w:rPr>
  </w:style>
  <w:style w:type="character" w:customStyle="1" w:styleId="45">
    <w:name w:val="标题 3 字符"/>
    <w:link w:val="4"/>
    <w:qFormat/>
    <w:uiPriority w:val="0"/>
    <w:rPr>
      <w:rFonts w:ascii="宋体" w:hAnsi="宋体" w:eastAsia="仿宋"/>
      <w:bCs/>
      <w:kern w:val="2"/>
      <w:sz w:val="28"/>
      <w:szCs w:val="28"/>
    </w:rPr>
  </w:style>
  <w:style w:type="character" w:customStyle="1" w:styleId="46">
    <w:name w:val="标题 4 字符"/>
    <w:link w:val="5"/>
    <w:qFormat/>
    <w:uiPriority w:val="0"/>
    <w:rPr>
      <w:rFonts w:ascii="宋体" w:hAnsi="宋体"/>
      <w:b/>
      <w:bCs/>
      <w:kern w:val="2"/>
      <w:sz w:val="32"/>
      <w:szCs w:val="32"/>
    </w:rPr>
  </w:style>
  <w:style w:type="character" w:customStyle="1" w:styleId="47">
    <w:name w:val="批注文字 字符"/>
    <w:link w:val="15"/>
    <w:qFormat/>
    <w:uiPriority w:val="0"/>
    <w:rPr>
      <w:kern w:val="2"/>
      <w:sz w:val="21"/>
      <w:szCs w:val="24"/>
    </w:rPr>
  </w:style>
  <w:style w:type="paragraph" w:customStyle="1" w:styleId="48">
    <w:name w:val="正文首行缩进 21"/>
    <w:basedOn w:val="17"/>
    <w:next w:val="1"/>
    <w:qFormat/>
    <w:uiPriority w:val="99"/>
    <w:pPr>
      <w:spacing w:line="240" w:lineRule="auto"/>
      <w:ind w:firstLine="420" w:firstLineChars="200"/>
    </w:pPr>
  </w:style>
  <w:style w:type="character" w:customStyle="1" w:styleId="49">
    <w:name w:val="标题 6 字符"/>
    <w:link w:val="7"/>
    <w:qFormat/>
    <w:uiPriority w:val="0"/>
    <w:rPr>
      <w:rFonts w:ascii="Cambria" w:hAnsi="Cambria"/>
      <w:b/>
      <w:bCs/>
      <w:kern w:val="2"/>
      <w:sz w:val="24"/>
      <w:szCs w:val="24"/>
    </w:rPr>
  </w:style>
  <w:style w:type="character" w:customStyle="1" w:styleId="50">
    <w:name w:val="标题 7 字符"/>
    <w:link w:val="8"/>
    <w:qFormat/>
    <w:uiPriority w:val="0"/>
    <w:rPr>
      <w:b/>
      <w:bCs/>
      <w:kern w:val="2"/>
      <w:sz w:val="24"/>
      <w:szCs w:val="24"/>
    </w:rPr>
  </w:style>
  <w:style w:type="character" w:customStyle="1" w:styleId="51">
    <w:name w:val="标题 8 字符"/>
    <w:link w:val="9"/>
    <w:qFormat/>
    <w:uiPriority w:val="0"/>
    <w:rPr>
      <w:rFonts w:ascii="Cambria" w:hAnsi="Cambria"/>
      <w:kern w:val="2"/>
      <w:sz w:val="24"/>
      <w:szCs w:val="24"/>
    </w:rPr>
  </w:style>
  <w:style w:type="character" w:customStyle="1" w:styleId="52">
    <w:name w:val="标题 9 字符"/>
    <w:link w:val="10"/>
    <w:qFormat/>
    <w:uiPriority w:val="0"/>
    <w:rPr>
      <w:rFonts w:ascii="Cambria" w:hAnsi="Cambria"/>
      <w:kern w:val="2"/>
      <w:sz w:val="21"/>
      <w:szCs w:val="21"/>
    </w:rPr>
  </w:style>
  <w:style w:type="character" w:customStyle="1" w:styleId="53">
    <w:name w:val="页眉 字符"/>
    <w:link w:val="25"/>
    <w:qFormat/>
    <w:uiPriority w:val="0"/>
    <w:rPr>
      <w:kern w:val="2"/>
      <w:sz w:val="18"/>
      <w:szCs w:val="18"/>
    </w:rPr>
  </w:style>
  <w:style w:type="character" w:customStyle="1" w:styleId="54">
    <w:name w:val="页脚 字符"/>
    <w:link w:val="24"/>
    <w:qFormat/>
    <w:uiPriority w:val="0"/>
    <w:rPr>
      <w:kern w:val="2"/>
      <w:sz w:val="18"/>
      <w:szCs w:val="18"/>
    </w:rPr>
  </w:style>
  <w:style w:type="character" w:customStyle="1" w:styleId="55">
    <w:name w:val="文档结构图 字符"/>
    <w:link w:val="14"/>
    <w:semiHidden/>
    <w:qFormat/>
    <w:uiPriority w:val="99"/>
    <w:rPr>
      <w:kern w:val="2"/>
      <w:sz w:val="21"/>
      <w:szCs w:val="24"/>
      <w:shd w:val="clear" w:color="auto" w:fill="000080"/>
    </w:rPr>
  </w:style>
  <w:style w:type="character" w:customStyle="1" w:styleId="56">
    <w:name w:val="正文缩进 字符"/>
    <w:link w:val="12"/>
    <w:qFormat/>
    <w:uiPriority w:val="0"/>
    <w:rPr>
      <w:rFonts w:ascii="宋体"/>
      <w:snapToGrid/>
      <w:sz w:val="21"/>
    </w:rPr>
  </w:style>
  <w:style w:type="paragraph" w:customStyle="1" w:styleId="57">
    <w:name w:val="默认段落字体 Para Char Char Char Char Char Char Char"/>
    <w:basedOn w:val="1"/>
    <w:qFormat/>
    <w:uiPriority w:val="0"/>
  </w:style>
  <w:style w:type="character" w:customStyle="1" w:styleId="58">
    <w:name w:val="正文文本缩进 字符"/>
    <w:link w:val="17"/>
    <w:qFormat/>
    <w:uiPriority w:val="0"/>
    <w:rPr>
      <w:b/>
      <w:spacing w:val="10"/>
      <w:kern w:val="2"/>
      <w:sz w:val="28"/>
    </w:rPr>
  </w:style>
  <w:style w:type="paragraph" w:styleId="59">
    <w:name w:val="List Paragraph"/>
    <w:basedOn w:val="1"/>
    <w:link w:val="60"/>
    <w:qFormat/>
    <w:uiPriority w:val="34"/>
    <w:pPr>
      <w:ind w:firstLine="420" w:firstLineChars="200"/>
    </w:pPr>
    <w:rPr>
      <w:rFonts w:ascii="Calibri" w:hAnsi="Calibri"/>
      <w:szCs w:val="22"/>
    </w:rPr>
  </w:style>
  <w:style w:type="character" w:customStyle="1" w:styleId="60">
    <w:name w:val="列表段落 字符1"/>
    <w:basedOn w:val="39"/>
    <w:link w:val="59"/>
    <w:qFormat/>
    <w:uiPriority w:val="34"/>
    <w:rPr>
      <w:rFonts w:ascii="Calibri" w:hAnsi="Calibri"/>
      <w:kern w:val="2"/>
      <w:sz w:val="21"/>
      <w:szCs w:val="22"/>
    </w:rPr>
  </w:style>
  <w:style w:type="paragraph" w:customStyle="1" w:styleId="61">
    <w:name w:val="Char"/>
    <w:basedOn w:val="1"/>
    <w:qFormat/>
    <w:uiPriority w:val="0"/>
    <w:pPr>
      <w:adjustRightInd w:val="0"/>
      <w:spacing w:line="360" w:lineRule="auto"/>
    </w:pPr>
    <w:rPr>
      <w:kern w:val="0"/>
      <w:sz w:val="24"/>
      <w:szCs w:val="20"/>
    </w:rPr>
  </w:style>
  <w:style w:type="character" w:customStyle="1" w:styleId="62">
    <w:name w:val="批注主题 字符"/>
    <w:link w:val="34"/>
    <w:qFormat/>
    <w:uiPriority w:val="0"/>
    <w:rPr>
      <w:b/>
      <w:bCs/>
      <w:kern w:val="2"/>
      <w:sz w:val="21"/>
      <w:szCs w:val="24"/>
    </w:rPr>
  </w:style>
  <w:style w:type="character" w:customStyle="1" w:styleId="63">
    <w:name w:val="批注框文本 字符"/>
    <w:link w:val="23"/>
    <w:qFormat/>
    <w:uiPriority w:val="0"/>
    <w:rPr>
      <w:kern w:val="2"/>
      <w:sz w:val="18"/>
      <w:szCs w:val="18"/>
    </w:rPr>
  </w:style>
  <w:style w:type="paragraph" w:customStyle="1" w:styleId="64">
    <w:name w:val="_Style 14"/>
    <w:basedOn w:val="1"/>
    <w:qFormat/>
    <w:uiPriority w:val="0"/>
  </w:style>
  <w:style w:type="character" w:customStyle="1" w:styleId="65">
    <w:name w:val="正文文本 字符"/>
    <w:link w:val="16"/>
    <w:qFormat/>
    <w:uiPriority w:val="0"/>
    <w:rPr>
      <w:rFonts w:ascii="Times New Roman" w:hAnsi="Times New Roman" w:eastAsia="仿宋"/>
      <w:kern w:val="2"/>
      <w:sz w:val="28"/>
      <w:szCs w:val="24"/>
    </w:rPr>
  </w:style>
  <w:style w:type="character" w:customStyle="1" w:styleId="66">
    <w:name w:val="正文文本首行缩进 字符"/>
    <w:basedOn w:val="65"/>
    <w:link w:val="35"/>
    <w:qFormat/>
    <w:uiPriority w:val="0"/>
    <w:rPr>
      <w:rFonts w:ascii="Times New Roman" w:hAnsi="Times New Roman" w:eastAsia="仿宋"/>
      <w:kern w:val="2"/>
      <w:sz w:val="21"/>
      <w:szCs w:val="24"/>
    </w:rPr>
  </w:style>
  <w:style w:type="paragraph" w:customStyle="1" w:styleId="67">
    <w:name w:val="表内容"/>
    <w:qFormat/>
    <w:uiPriority w:val="0"/>
    <w:rPr>
      <w:rFonts w:ascii="宋体" w:hAnsi="Times New Roman" w:eastAsia="宋体" w:cs="Times New Roman"/>
      <w:kern w:val="21"/>
      <w:sz w:val="24"/>
      <w:szCs w:val="24"/>
      <w:lang w:val="en-US" w:eastAsia="zh-CN" w:bidi="ar-SA"/>
    </w:rPr>
  </w:style>
  <w:style w:type="paragraph" w:customStyle="1" w:styleId="68">
    <w:name w:val="列表数字1）"/>
    <w:next w:val="35"/>
    <w:qFormat/>
    <w:uiPriority w:val="0"/>
    <w:pPr>
      <w:numPr>
        <w:ilvl w:val="0"/>
        <w:numId w:val="3"/>
      </w:numPr>
      <w:tabs>
        <w:tab w:val="left" w:pos="814"/>
        <w:tab w:val="left" w:pos="900"/>
      </w:tabs>
      <w:spacing w:line="360" w:lineRule="auto"/>
    </w:pPr>
    <w:rPr>
      <w:rFonts w:ascii="Times New Roman" w:hAnsi="Times New Roman" w:eastAsia="宋体" w:cs="Times New Roman"/>
      <w:sz w:val="24"/>
      <w:lang w:val="en-US" w:eastAsia="zh-CN" w:bidi="ar-SA"/>
    </w:rPr>
  </w:style>
  <w:style w:type="character" w:customStyle="1" w:styleId="69">
    <w:name w:val="正文文本首行缩进 2 字符"/>
    <w:link w:val="36"/>
    <w:qFormat/>
    <w:uiPriority w:val="0"/>
    <w:rPr>
      <w:spacing w:val="10"/>
      <w:kern w:val="2"/>
      <w:sz w:val="21"/>
      <w:szCs w:val="24"/>
    </w:rPr>
  </w:style>
  <w:style w:type="paragraph" w:customStyle="1" w:styleId="70">
    <w:name w:val="列表数字1"/>
    <w:next w:val="35"/>
    <w:qFormat/>
    <w:uiPriority w:val="0"/>
    <w:pPr>
      <w:numPr>
        <w:ilvl w:val="0"/>
        <w:numId w:val="4"/>
      </w:numPr>
      <w:tabs>
        <w:tab w:val="left" w:pos="900"/>
        <w:tab w:val="left" w:pos="1145"/>
      </w:tabs>
      <w:spacing w:before="120" w:line="360" w:lineRule="auto"/>
    </w:pPr>
    <w:rPr>
      <w:rFonts w:ascii="Times New Roman" w:hAnsi="Times New Roman" w:eastAsia="宋体" w:cs="Times New Roman"/>
      <w:sz w:val="24"/>
      <w:lang w:val="en-US" w:eastAsia="zh-CN" w:bidi="ar-SA"/>
    </w:rPr>
  </w:style>
  <w:style w:type="paragraph" w:customStyle="1" w:styleId="71">
    <w:name w:val="Out Box 1"/>
    <w:basedOn w:val="1"/>
    <w:qFormat/>
    <w:uiPriority w:val="0"/>
    <w:pPr>
      <w:overflowPunct w:val="0"/>
      <w:autoSpaceDE w:val="0"/>
      <w:autoSpaceDN w:val="0"/>
      <w:adjustRightInd w:val="0"/>
      <w:spacing w:before="120"/>
      <w:ind w:left="1170" w:right="86" w:hanging="450"/>
      <w:textAlignment w:val="baseline"/>
    </w:pPr>
    <w:rPr>
      <w:rFonts w:ascii="Times" w:hAnsi="Times"/>
      <w:color w:val="000000"/>
      <w:kern w:val="0"/>
      <w:sz w:val="20"/>
      <w:szCs w:val="20"/>
    </w:rPr>
  </w:style>
  <w:style w:type="character" w:customStyle="1" w:styleId="72">
    <w:name w:val="正文文本缩进 2 字符"/>
    <w:link w:val="22"/>
    <w:qFormat/>
    <w:uiPriority w:val="0"/>
    <w:rPr>
      <w:kern w:val="2"/>
      <w:sz w:val="21"/>
      <w:szCs w:val="24"/>
    </w:rPr>
  </w:style>
  <w:style w:type="paragraph" w:customStyle="1" w:styleId="73">
    <w:name w:val="HP_Table_Title"/>
    <w:basedOn w:val="1"/>
    <w:next w:val="1"/>
    <w:qFormat/>
    <w:uiPriority w:val="0"/>
    <w:pPr>
      <w:keepNext/>
      <w:keepLines/>
      <w:spacing w:before="240" w:after="60"/>
    </w:pPr>
    <w:rPr>
      <w:rFonts w:ascii="Futura Bk" w:hAnsi="Futura Bk"/>
      <w:b/>
      <w:bCs/>
      <w:kern w:val="0"/>
      <w:sz w:val="18"/>
      <w:szCs w:val="18"/>
      <w:lang w:val="en-GB" w:eastAsia="en-US"/>
    </w:rPr>
  </w:style>
  <w:style w:type="paragraph" w:customStyle="1" w:styleId="74">
    <w:name w:val="Table_Sm_Heading"/>
    <w:basedOn w:val="1"/>
    <w:qFormat/>
    <w:uiPriority w:val="0"/>
    <w:pPr>
      <w:keepNext/>
      <w:keepLines/>
      <w:spacing w:before="60" w:after="40"/>
    </w:pPr>
    <w:rPr>
      <w:rFonts w:ascii="Futura Bk" w:hAnsi="Futura Bk"/>
      <w:b/>
      <w:bCs/>
      <w:kern w:val="0"/>
      <w:sz w:val="16"/>
      <w:szCs w:val="16"/>
      <w:lang w:val="en-GB" w:eastAsia="en-US"/>
    </w:rPr>
  </w:style>
  <w:style w:type="character" w:customStyle="1" w:styleId="75">
    <w:name w:val="纯文本 字符"/>
    <w:link w:val="20"/>
    <w:qFormat/>
    <w:uiPriority w:val="0"/>
    <w:rPr>
      <w:rFonts w:ascii="宋体" w:hAnsi="Courier New"/>
      <w:kern w:val="2"/>
      <w:sz w:val="21"/>
    </w:rPr>
  </w:style>
  <w:style w:type="paragraph" w:customStyle="1" w:styleId="76">
    <w:name w:val="样式3"/>
    <w:basedOn w:val="12"/>
    <w:link w:val="77"/>
    <w:qFormat/>
    <w:uiPriority w:val="0"/>
    <w:pPr>
      <w:widowControl w:val="0"/>
      <w:spacing w:beforeLines="0" w:afterLines="0" w:line="360" w:lineRule="auto"/>
      <w:ind w:firstLine="480" w:firstLineChars="200"/>
    </w:pPr>
    <w:rPr>
      <w:rFonts w:ascii="楷体_GB2312" w:eastAsia="楷体_GB2312"/>
      <w:i/>
      <w:snapToGrid/>
      <w:color w:val="3366FF"/>
      <w:kern w:val="2"/>
      <w:sz w:val="24"/>
      <w:szCs w:val="24"/>
    </w:rPr>
  </w:style>
  <w:style w:type="character" w:customStyle="1" w:styleId="77">
    <w:name w:val="样式3 Char"/>
    <w:link w:val="76"/>
    <w:qFormat/>
    <w:uiPriority w:val="0"/>
    <w:rPr>
      <w:rFonts w:ascii="楷体_GB2312" w:eastAsia="楷体_GB2312"/>
      <w:i/>
      <w:snapToGrid w:val="0"/>
      <w:color w:val="3366FF"/>
      <w:kern w:val="2"/>
      <w:sz w:val="24"/>
      <w:szCs w:val="24"/>
    </w:rPr>
  </w:style>
  <w:style w:type="character" w:customStyle="1" w:styleId="78">
    <w:name w:val="未处理的提及1"/>
    <w:basedOn w:val="39"/>
    <w:semiHidden/>
    <w:unhideWhenUsed/>
    <w:qFormat/>
    <w:uiPriority w:val="99"/>
    <w:rPr>
      <w:color w:val="605E5C"/>
      <w:shd w:val="clear" w:color="auto" w:fill="E1DFDD"/>
    </w:rPr>
  </w:style>
  <w:style w:type="paragraph" w:customStyle="1" w:styleId="79">
    <w:name w:val="Sub Bullet 2"/>
    <w:basedOn w:val="1"/>
    <w:qFormat/>
    <w:uiPriority w:val="0"/>
    <w:pPr>
      <w:numPr>
        <w:ilvl w:val="0"/>
        <w:numId w:val="5"/>
      </w:numPr>
      <w:tabs>
        <w:tab w:val="clear" w:pos="480"/>
      </w:tabs>
      <w:spacing w:line="300" w:lineRule="exact"/>
      <w:ind w:left="993" w:hanging="302"/>
    </w:pPr>
    <w:rPr>
      <w:rFonts w:ascii="Arial" w:hAnsi="Arial" w:eastAsia="Arial" w:cs="Arial"/>
      <w:b/>
      <w:i/>
      <w:snapToGrid w:val="0"/>
      <w:kern w:val="0"/>
      <w:szCs w:val="21"/>
      <w:lang w:eastAsia="en-US"/>
    </w:rPr>
  </w:style>
  <w:style w:type="character" w:customStyle="1" w:styleId="80">
    <w:name w:val="未处理的提及11"/>
    <w:basedOn w:val="39"/>
    <w:semiHidden/>
    <w:unhideWhenUsed/>
    <w:qFormat/>
    <w:uiPriority w:val="99"/>
    <w:rPr>
      <w:color w:val="605E5C"/>
      <w:shd w:val="clear" w:color="auto" w:fill="E1DFDD"/>
    </w:rPr>
  </w:style>
  <w:style w:type="paragraph" w:customStyle="1" w:styleId="81">
    <w:name w:val="列表段落1"/>
    <w:basedOn w:val="1"/>
    <w:qFormat/>
    <w:uiPriority w:val="34"/>
    <w:pPr>
      <w:widowControl w:val="0"/>
      <w:spacing w:after="160" w:line="360" w:lineRule="auto"/>
      <w:ind w:firstLine="420" w:firstLineChars="200"/>
      <w:jc w:val="both"/>
    </w:pPr>
    <w:rPr>
      <w:rFonts w:ascii="Calibri" w:hAnsi="Calibri"/>
      <w:szCs w:val="22"/>
    </w:rPr>
  </w:style>
  <w:style w:type="paragraph" w:customStyle="1" w:styleId="82">
    <w:name w:val="Table Text"/>
    <w:basedOn w:val="1"/>
    <w:qFormat/>
    <w:uiPriority w:val="0"/>
    <w:pPr>
      <w:widowControl w:val="0"/>
      <w:topLinePunct/>
      <w:adjustRightInd w:val="0"/>
      <w:snapToGrid w:val="0"/>
      <w:spacing w:before="80" w:after="80" w:line="240" w:lineRule="atLeast"/>
      <w:jc w:val="both"/>
    </w:pPr>
    <w:rPr>
      <w:rFonts w:cs="Arial"/>
      <w:snapToGrid w:val="0"/>
      <w:szCs w:val="21"/>
    </w:rPr>
  </w:style>
  <w:style w:type="paragraph" w:customStyle="1" w:styleId="83">
    <w:name w:val="规范正文"/>
    <w:basedOn w:val="1"/>
    <w:qFormat/>
    <w:uiPriority w:val="0"/>
    <w:pPr>
      <w:widowControl w:val="0"/>
      <w:spacing w:after="160" w:line="360" w:lineRule="auto"/>
      <w:ind w:firstLine="200" w:firstLineChars="200"/>
      <w:jc w:val="both"/>
    </w:pPr>
    <w:rPr>
      <w:rFonts w:ascii="宋体" w:hAnsi="宋体" w:cs="宋体"/>
      <w:szCs w:val="20"/>
    </w:rPr>
  </w:style>
  <w:style w:type="paragraph" w:customStyle="1" w:styleId="84">
    <w:name w:val="标题3"/>
    <w:basedOn w:val="4"/>
    <w:link w:val="85"/>
    <w:qFormat/>
    <w:uiPriority w:val="0"/>
    <w:pPr>
      <w:numPr>
        <w:ilvl w:val="0"/>
        <w:numId w:val="6"/>
      </w:numPr>
    </w:pPr>
    <w:rPr>
      <w:rFonts w:ascii="Calibri" w:hAnsi="Calibri"/>
      <w:b/>
      <w:szCs w:val="24"/>
    </w:rPr>
  </w:style>
  <w:style w:type="character" w:customStyle="1" w:styleId="85">
    <w:name w:val="标题3 字符"/>
    <w:link w:val="84"/>
    <w:qFormat/>
    <w:uiPriority w:val="0"/>
    <w:rPr>
      <w:rFonts w:ascii="Calibri" w:hAnsi="Calibri" w:eastAsia="仿宋"/>
      <w:b/>
      <w:bCs/>
      <w:kern w:val="2"/>
      <w:sz w:val="28"/>
      <w:szCs w:val="24"/>
    </w:rPr>
  </w:style>
  <w:style w:type="paragraph" w:customStyle="1" w:styleId="8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7">
    <w:name w:val="Char Char Char Char1 Char Char Char Char Char Char"/>
    <w:basedOn w:val="1"/>
    <w:qFormat/>
    <w:uiPriority w:val="99"/>
    <w:pPr>
      <w:widowControl w:val="0"/>
      <w:jc w:val="both"/>
    </w:pPr>
    <w:rPr>
      <w:rFonts w:ascii="Tahoma" w:hAnsi="Tahoma"/>
      <w:sz w:val="24"/>
      <w:szCs w:val="20"/>
    </w:rPr>
  </w:style>
  <w:style w:type="paragraph" w:customStyle="1" w:styleId="88">
    <w:name w:val="QB表内文字"/>
    <w:basedOn w:val="1"/>
    <w:qFormat/>
    <w:uiPriority w:val="99"/>
    <w:pPr>
      <w:widowControl w:val="0"/>
      <w:autoSpaceDE w:val="0"/>
      <w:autoSpaceDN w:val="0"/>
      <w:jc w:val="both"/>
    </w:pPr>
    <w:rPr>
      <w:rFonts w:ascii="宋体"/>
      <w:kern w:val="0"/>
      <w:szCs w:val="20"/>
    </w:rPr>
  </w:style>
  <w:style w:type="paragraph" w:customStyle="1" w:styleId="89">
    <w:name w:val="列出段落2"/>
    <w:basedOn w:val="1"/>
    <w:link w:val="90"/>
    <w:qFormat/>
    <w:uiPriority w:val="34"/>
    <w:pPr>
      <w:widowControl w:val="0"/>
      <w:ind w:firstLine="420" w:firstLineChars="200"/>
      <w:jc w:val="both"/>
    </w:pPr>
  </w:style>
  <w:style w:type="character" w:customStyle="1" w:styleId="90">
    <w:name w:val="列表段落 字符"/>
    <w:link w:val="89"/>
    <w:qFormat/>
    <w:uiPriority w:val="34"/>
    <w:rPr>
      <w:kern w:val="2"/>
      <w:sz w:val="21"/>
      <w:szCs w:val="24"/>
    </w:rPr>
  </w:style>
  <w:style w:type="paragraph" w:customStyle="1" w:styleId="91">
    <w:name w:val="标题 3（绿盟科技）"/>
    <w:basedOn w:val="4"/>
    <w:next w:val="1"/>
    <w:qFormat/>
    <w:uiPriority w:val="0"/>
    <w:pPr>
      <w:numPr>
        <w:numId w:val="7"/>
      </w:numPr>
      <w:tabs>
        <w:tab w:val="left" w:pos="960"/>
      </w:tabs>
    </w:pPr>
    <w:rPr>
      <w:rFonts w:ascii="Arial" w:hAnsi="Arial"/>
      <w:bCs w:val="0"/>
      <w:kern w:val="0"/>
      <w:sz w:val="30"/>
      <w:szCs w:val="30"/>
    </w:rPr>
  </w:style>
  <w:style w:type="paragraph" w:customStyle="1" w:styleId="92">
    <w:name w:val="标题 1（绿盟科技）"/>
    <w:basedOn w:val="2"/>
    <w:next w:val="1"/>
    <w:qFormat/>
    <w:uiPriority w:val="0"/>
    <w:pPr>
      <w:numPr>
        <w:ilvl w:val="0"/>
        <w:numId w:val="7"/>
      </w:numPr>
      <w:pBdr>
        <w:top w:val="none" w:color="auto" w:sz="0" w:space="1"/>
        <w:left w:val="none" w:color="auto" w:sz="0" w:space="4"/>
        <w:bottom w:val="single" w:color="auto" w:sz="48" w:space="1"/>
        <w:right w:val="none" w:color="auto" w:sz="0" w:space="4"/>
      </w:pBdr>
      <w:spacing w:before="200" w:after="330" w:line="576" w:lineRule="auto"/>
    </w:pPr>
    <w:rPr>
      <w:rFonts w:ascii="Arial" w:hAnsi="Arial"/>
      <w:sz w:val="44"/>
      <w:szCs w:val="44"/>
    </w:rPr>
  </w:style>
  <w:style w:type="character" w:customStyle="1" w:styleId="93">
    <w:name w:val="正文（首行缩进两字） Char1"/>
    <w:qFormat/>
    <w:uiPriority w:val="0"/>
    <w:rPr>
      <w:kern w:val="2"/>
      <w:sz w:val="24"/>
      <w:szCs w:val="24"/>
    </w:rPr>
  </w:style>
  <w:style w:type="paragraph" w:customStyle="1" w:styleId="94">
    <w:name w:val="Normal_6"/>
    <w:qFormat/>
    <w:uiPriority w:val="0"/>
    <w:pPr>
      <w:widowControl w:val="0"/>
      <w:jc w:val="both"/>
    </w:pPr>
    <w:rPr>
      <w:rFonts w:ascii="宋体" w:hAnsi="宋体" w:eastAsia="宋体" w:cs="宋体"/>
      <w:lang w:val="en-US" w:eastAsia="zh-CN" w:bidi="ar-SA"/>
    </w:rPr>
  </w:style>
  <w:style w:type="paragraph" w:customStyle="1" w:styleId="95">
    <w:name w:val="AX-正文"/>
    <w:basedOn w:val="94"/>
    <w:qFormat/>
    <w:uiPriority w:val="0"/>
    <w:pPr>
      <w:spacing w:line="480" w:lineRule="exact"/>
      <w:ind w:firstLine="200" w:firstLineChars="200"/>
    </w:pPr>
    <w:rPr>
      <w:rFonts w:ascii="Times New Roman" w:hAnsi="Times New Roman" w:eastAsia="仿宋_GB2312" w:cs="Times New Roman"/>
      <w:sz w:val="24"/>
      <w:szCs w:val="24"/>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正文样式"/>
    <w:basedOn w:val="1"/>
    <w:qFormat/>
    <w:uiPriority w:val="7"/>
    <w:pPr>
      <w:spacing w:line="360" w:lineRule="auto"/>
      <w:ind w:firstLine="420" w:firstLineChars="200"/>
    </w:pPr>
    <w:rPr>
      <w:rFonts w:ascii="华文楷体" w:hAnsi="华文楷体" w:eastAsia="Songti SC"/>
    </w:rPr>
  </w:style>
  <w:style w:type="paragraph" w:customStyle="1" w:styleId="98">
    <w:name w:val="正文内容"/>
    <w:basedOn w:val="1"/>
    <w:qFormat/>
    <w:uiPriority w:val="0"/>
    <w:pPr>
      <w:ind w:firstLine="560" w:firstLineChars="200"/>
    </w:pPr>
    <w:rPr>
      <w:rFonts w:hint="eastAsia" w:ascii="仿宋" w:hAnsi="仿宋" w:eastAsia="仿宋" w:cs="仿宋"/>
      <w:sz w:val="28"/>
      <w:szCs w:val="28"/>
    </w:rPr>
  </w:style>
  <w:style w:type="paragraph" w:customStyle="1" w:styleId="9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16</Pages>
  <Words>7587</Words>
  <Characters>7856</Characters>
  <Lines>61</Lines>
  <Paragraphs>17</Paragraphs>
  <TotalTime>6</TotalTime>
  <ScaleCrop>false</ScaleCrop>
  <LinksUpToDate>false</LinksUpToDate>
  <CharactersWithSpaces>8061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2025-03-19T00:56:00Z</dcterms:created>
  <dc:creator>meimei</dc:creator>
  <cp:lastModifiedBy>cmq</cp:lastModifiedBy>
  <cp:lastPrinted>2013-08-26T22:41:00Z</cp:lastPrinted>
  <dcterms:modified xsi:type="dcterms:W3CDTF">2025-08-14T07:39:04Z</dcterms:modified>
  <dc:title>文档基本信息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4BACBC4E35334814869761F07DA9240C_13</vt:lpwstr>
  </property>
  <property fmtid="{D5CDD505-2E9C-101B-9397-08002B2CF9AE}" pid="4" name="KSOTemplateDocerSaveRecord">
    <vt:lpwstr>eyJoZGlkIjoiNjg3NTRkODE4OWI5MzNmZjI4ZTA1NGIyN2QzNjI2NWMiLCJ1c2VySWQiOiIxMTM1NDA4OTI5In0=</vt:lpwstr>
  </property>
</Properties>
</file>