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 </w:t>
      </w:r>
    </w:p>
    <w:p/>
    <w:p/>
    <w:p/>
    <w:p/>
    <w:p/>
    <w:p/>
    <w:p/>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杭银理财幸福99添益</w:t>
      </w:r>
      <w:r>
        <w:rPr>
          <w:rFonts w:hint="eastAsia" w:ascii="宋体" w:hAnsi="宋体" w:cs="宋体"/>
          <w:b/>
          <w:bCs/>
          <w:sz w:val="44"/>
          <w:szCs w:val="44"/>
          <w:highlight w:val="none"/>
          <w:lang w:eastAsia="zh-CN"/>
        </w:rPr>
        <w:t>（安享优选）</w:t>
      </w:r>
      <w:r>
        <w:rPr>
          <w:rFonts w:hint="eastAsia" w:ascii="宋体" w:hAnsi="宋体" w:cs="宋体"/>
          <w:b/>
          <w:bCs/>
          <w:sz w:val="44"/>
          <w:szCs w:val="44"/>
          <w:highlight w:val="none"/>
          <w:lang w:val="en-US" w:eastAsia="zh-CN"/>
        </w:rPr>
        <w:t>7</w:t>
      </w:r>
      <w:r>
        <w:rPr>
          <w:rFonts w:hint="eastAsia" w:ascii="宋体" w:hAnsi="宋体" w:cs="宋体"/>
          <w:b/>
          <w:bCs/>
          <w:sz w:val="44"/>
          <w:szCs w:val="44"/>
          <w:highlight w:val="none"/>
          <w:lang w:eastAsia="zh-CN"/>
        </w:rPr>
        <w:t>天</w:t>
      </w:r>
      <w:r>
        <w:rPr>
          <w:rFonts w:hint="eastAsia" w:ascii="宋体" w:hAnsi="宋体" w:eastAsia="宋体" w:cs="宋体"/>
          <w:b/>
          <w:bCs/>
          <w:sz w:val="44"/>
          <w:szCs w:val="44"/>
          <w:highlight w:val="none"/>
        </w:rPr>
        <w:t>持有期理财合同</w:t>
      </w:r>
    </w:p>
    <w:p>
      <w:pPr>
        <w:jc w:val="center"/>
        <w:rPr>
          <w:rFonts w:ascii="宋体" w:hAnsi="宋体" w:cs="宋体"/>
          <w:sz w:val="44"/>
          <w:szCs w:val="44"/>
          <w:highlight w:val="none"/>
        </w:rPr>
      </w:pPr>
    </w:p>
    <w:p>
      <w:pPr>
        <w:jc w:val="center"/>
        <w:rPr>
          <w:rFonts w:ascii="宋体" w:hAnsi="宋体" w:cs="宋体"/>
          <w:sz w:val="44"/>
          <w:szCs w:val="44"/>
          <w:highlight w:val="none"/>
        </w:rPr>
      </w:pPr>
    </w:p>
    <w:p>
      <w:pPr>
        <w:jc w:val="center"/>
        <w:rPr>
          <w:rFonts w:ascii="宋体" w:hAnsi="宋体" w:cs="宋体"/>
          <w:sz w:val="44"/>
          <w:szCs w:val="44"/>
          <w:highlight w:val="none"/>
        </w:rPr>
      </w:pPr>
    </w:p>
    <w:p>
      <w:pPr>
        <w:jc w:val="center"/>
        <w:rPr>
          <w:rFonts w:ascii="宋体" w:hAnsi="宋体" w:cs="宋体"/>
          <w:sz w:val="44"/>
          <w:szCs w:val="44"/>
          <w:highlight w:val="none"/>
        </w:rPr>
      </w:pPr>
    </w:p>
    <w:p>
      <w:pPr>
        <w:jc w:val="center"/>
        <w:rPr>
          <w:rFonts w:ascii="宋体" w:hAnsi="宋体" w:cs="宋体"/>
          <w:sz w:val="44"/>
          <w:szCs w:val="44"/>
          <w:highlight w:val="none"/>
        </w:rPr>
      </w:pPr>
    </w:p>
    <w:p>
      <w:pPr>
        <w:jc w:val="center"/>
        <w:rPr>
          <w:rFonts w:ascii="宋体" w:hAnsi="宋体" w:cs="宋体"/>
          <w:sz w:val="44"/>
          <w:szCs w:val="44"/>
          <w:highlight w:val="none"/>
        </w:rPr>
      </w:pPr>
    </w:p>
    <w:p>
      <w:pPr>
        <w:jc w:val="center"/>
        <w:rPr>
          <w:rFonts w:ascii="宋体" w:hAnsi="宋体" w:cs="宋体"/>
          <w:sz w:val="44"/>
          <w:szCs w:val="44"/>
          <w:highlight w:val="none"/>
        </w:rPr>
      </w:pPr>
    </w:p>
    <w:p>
      <w:pPr>
        <w:jc w:val="center"/>
        <w:rPr>
          <w:rFonts w:ascii="宋体" w:hAnsi="宋体" w:cs="宋体"/>
          <w:sz w:val="32"/>
          <w:szCs w:val="32"/>
          <w:highlight w:val="none"/>
        </w:rPr>
      </w:pPr>
      <w:r>
        <w:rPr>
          <w:rFonts w:hint="eastAsia" w:ascii="宋体" w:hAnsi="宋体" w:cs="宋体"/>
          <w:sz w:val="32"/>
          <w:szCs w:val="32"/>
          <w:highlight w:val="none"/>
        </w:rPr>
        <w:t>理财计划管理人：杭银理财有限责任公司</w:t>
      </w:r>
    </w:p>
    <w:p>
      <w:pPr>
        <w:jc w:val="center"/>
        <w:rPr>
          <w:rFonts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rPr>
          <w:rFonts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outlineLvl w:val="9"/>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rPr>
        <w:t>杭银理财幸福99添益</w:t>
      </w:r>
      <w:r>
        <w:rPr>
          <w:rFonts w:hint="eastAsia" w:ascii="宋体" w:hAnsi="宋体" w:cs="宋体"/>
          <w:b/>
          <w:bCs/>
          <w:sz w:val="44"/>
          <w:szCs w:val="44"/>
          <w:highlight w:val="none"/>
          <w:lang w:eastAsia="zh-CN"/>
        </w:rPr>
        <w:t>（安享优选）7天持有期理财</w:t>
      </w:r>
      <w:r>
        <w:rPr>
          <w:rFonts w:hint="eastAsia" w:ascii="宋体" w:hAnsi="宋体" w:eastAsia="宋体" w:cs="宋体"/>
          <w:b/>
          <w:bCs/>
          <w:sz w:val="44"/>
          <w:szCs w:val="44"/>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0"/>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杭银理财幸福99添益（安享优选）7天持有期理财风险揭示书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杭银理财幸福99添益（安享优选）7天持有期理财产品说明书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b/>
          <w:bCs/>
          <w:sz w:val="44"/>
          <w:szCs w:val="44"/>
          <w:highlight w:val="none"/>
        </w:rPr>
      </w:pPr>
    </w:p>
    <w:p>
      <w:pPr>
        <w:pStyle w:val="2"/>
        <w:bidi w:val="0"/>
        <w:outlineLvl w:val="9"/>
        <w:rPr>
          <w:rFonts w:hint="eastAsia"/>
          <w:highlight w:val="none"/>
        </w:rPr>
      </w:pPr>
      <w:r>
        <w:rPr>
          <w:rFonts w:hint="eastAsia" w:ascii="宋体" w:hAnsi="宋体" w:eastAsia="宋体" w:cs="宋体"/>
          <w:b/>
          <w:highlight w:val="none"/>
        </w:rPr>
        <w:t>杭银理财幸福99</w:t>
      </w:r>
      <w:r>
        <w:rPr>
          <w:rFonts w:hint="eastAsia" w:ascii="宋体" w:hAnsi="宋体" w:eastAsia="宋体" w:cs="宋体"/>
          <w:b/>
          <w:highlight w:val="none"/>
          <w:lang w:val="en-US" w:eastAsia="zh-CN"/>
        </w:rPr>
        <w:t>添益</w:t>
      </w:r>
      <w:r>
        <w:rPr>
          <w:rFonts w:hint="eastAsia" w:ascii="宋体" w:hAnsi="宋体" w:cs="宋体"/>
          <w:b/>
          <w:highlight w:val="none"/>
          <w:lang w:val="en-US" w:eastAsia="zh-CN"/>
        </w:rPr>
        <w:t>（安享优选）7天</w:t>
      </w:r>
      <w:r>
        <w:rPr>
          <w:rFonts w:hint="eastAsia" w:ascii="宋体" w:hAnsi="宋体" w:eastAsia="宋体" w:cs="宋体"/>
          <w:b/>
          <w:highlight w:val="none"/>
          <w:lang w:val="en-US" w:eastAsia="zh-CN"/>
        </w:rPr>
        <w:t>持有期理财</w:t>
      </w:r>
      <w:r>
        <w:rPr>
          <w:rFonts w:hint="eastAsia" w:ascii="宋体" w:hAnsi="宋体" w:eastAsia="宋体" w:cs="宋体"/>
          <w:b/>
          <w:highlight w:val="none"/>
        </w:rPr>
        <w:t>风险揭示书</w:t>
      </w:r>
    </w:p>
    <w:p>
      <w:pPr>
        <w:jc w:val="center"/>
        <w:rPr>
          <w:rFonts w:ascii="宋体" w:hAnsi="宋体" w:cs="宋体"/>
          <w:sz w:val="28"/>
          <w:szCs w:val="28"/>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202201</w:t>
      </w:r>
      <w:r>
        <w:rPr>
          <w:rFonts w:hint="eastAsia" w:ascii="宋体" w:hAnsi="宋体" w:cs="宋体"/>
          <w:sz w:val="28"/>
          <w:szCs w:val="28"/>
          <w:highlight w:val="none"/>
        </w:rPr>
        <w:t>版）</w:t>
      </w:r>
    </w:p>
    <w:p>
      <w:pPr>
        <w:spacing w:line="360" w:lineRule="auto"/>
        <w:jc w:val="left"/>
        <w:rPr>
          <w:rFonts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val="en-US" w:eastAsia="zh-CN"/>
        </w:rPr>
        <w:t>理财计划</w:t>
      </w:r>
      <w:r>
        <w:rPr>
          <w:rFonts w:hint="eastAsia" w:ascii="宋体" w:hAnsi="宋体" w:cs="宋体"/>
          <w:bCs/>
          <w:sz w:val="24"/>
          <w:highlight w:val="none"/>
        </w:rPr>
        <w:t>风险揭示书、理财计划说明书、投资者权益须知、理财计划投资协议书和理财计划销售协议书，若通过电子渠道购买的，成功交易后视同为投资者与管理人已完成理财计划交易合同的签订），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numPr>
          <w:ilvl w:val="0"/>
          <w:numId w:val="1"/>
        </w:numPr>
        <w:spacing w:line="360" w:lineRule="auto"/>
        <w:jc w:val="left"/>
        <w:rPr>
          <w:rFonts w:ascii="宋体" w:hAnsi="宋体" w:cs="宋体"/>
          <w:b/>
          <w:sz w:val="24"/>
          <w:highlight w:val="none"/>
        </w:rPr>
      </w:pPr>
      <w:r>
        <w:rPr>
          <w:rFonts w:hint="eastAsia" w:ascii="宋体" w:hAnsi="宋体" w:cs="宋体"/>
          <w:b/>
          <w:sz w:val="24"/>
          <w:highlight w:val="none"/>
        </w:rPr>
        <w:t>理财计划共性风险</w:t>
      </w:r>
    </w:p>
    <w:p>
      <w:pPr>
        <w:numPr>
          <w:ilvl w:val="0"/>
          <w:numId w:val="2"/>
        </w:numPr>
        <w:spacing w:line="360" w:lineRule="auto"/>
        <w:jc w:val="left"/>
        <w:rPr>
          <w:rFonts w:ascii="宋体" w:hAnsi="宋体" w:cs="宋体"/>
          <w:b/>
          <w:sz w:val="24"/>
          <w:highlight w:val="none"/>
        </w:rPr>
      </w:pPr>
      <w:r>
        <w:rPr>
          <w:rFonts w:hint="eastAsia" w:ascii="宋体" w:hAnsi="宋体" w:cs="宋体"/>
          <w:b/>
          <w:sz w:val="24"/>
          <w:highlight w:val="none"/>
        </w:rPr>
        <w:t>信用风险：理财计划所投资产的相关义务人信用状况恶化，出现信用违约情形，则理财计划本金或收益蒙受部分或全部损失的风险。</w:t>
      </w:r>
    </w:p>
    <w:p>
      <w:pPr>
        <w:numPr>
          <w:ilvl w:val="0"/>
          <w:numId w:val="2"/>
        </w:numPr>
        <w:spacing w:line="360" w:lineRule="auto"/>
        <w:jc w:val="left"/>
        <w:rPr>
          <w:rFonts w:ascii="宋体" w:hAnsi="宋体" w:cs="宋体"/>
          <w:b/>
          <w:sz w:val="24"/>
          <w:highlight w:val="none"/>
        </w:rPr>
      </w:pPr>
      <w:r>
        <w:rPr>
          <w:rFonts w:hint="eastAsia" w:ascii="宋体" w:hAnsi="宋体" w:cs="宋体"/>
          <w:b/>
          <w:sz w:val="24"/>
          <w:highlight w:val="none"/>
        </w:rPr>
        <w:t>市场风险：理财计划可能面临国家政策、经济周期、利率、汇率等因素的变化，所投资产价值可能出现波动，从而影响理财计划的收益，导致理财计划本金或收益蒙受部分或全部损失的风险，主要包括：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购买力风险：如发生通货膨胀，则所投资产的收益可能会被通货膨胀抵消，从而对理财计划收益的实际购买力产生影响。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政策风险：理财计划根据当前的相关法规和政策设计，如国家宏观政策以及相关市场</w:t>
      </w:r>
      <w:r>
        <w:rPr>
          <w:rFonts w:hint="eastAsia" w:ascii="宋体" w:hAnsi="宋体" w:cs="宋体"/>
          <w:b/>
          <w:sz w:val="24"/>
          <w:highlight w:val="none"/>
          <w:lang w:val="en-US" w:eastAsia="zh-CN"/>
        </w:rPr>
        <w:t>法律、</w:t>
      </w:r>
      <w:r>
        <w:rPr>
          <w:rFonts w:hint="eastAsia" w:ascii="宋体" w:hAnsi="宋体" w:cs="宋体"/>
          <w:b/>
          <w:sz w:val="24"/>
          <w:highlight w:val="none"/>
        </w:rPr>
        <w:t>法规发生变化，可能会影响理财计划的发行、投资、兑付等正常工作流程的进行，导致理财计划本金或收益蒙受部分或全部损失的风险。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操作风险：理财计划由于内部作业、人员管理、系统操作、交易对手交易处理不当或失误等，导致理财计划本金或收益蒙受部分或全部损失的风险。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lang w:val="en-US" w:eastAsia="zh-CN"/>
        </w:rPr>
        <w:t>终止</w:t>
      </w:r>
      <w:r>
        <w:rPr>
          <w:rFonts w:hint="eastAsia" w:ascii="宋体" w:hAnsi="宋体" w:cs="宋体"/>
          <w:b/>
          <w:sz w:val="24"/>
          <w:highlight w:val="none"/>
        </w:rPr>
        <w:t>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w:t>
      </w:r>
      <w:r>
        <w:rPr>
          <w:rFonts w:hint="eastAsia" w:ascii="宋体" w:hAnsi="宋体" w:cs="宋体"/>
          <w:b/>
          <w:sz w:val="24"/>
          <w:highlight w:val="none"/>
          <w:lang w:val="en-US" w:eastAsia="zh-CN"/>
        </w:rPr>
        <w:t>兑付</w:t>
      </w:r>
      <w:r>
        <w:rPr>
          <w:rFonts w:hint="eastAsia" w:ascii="宋体" w:hAnsi="宋体" w:cs="宋体"/>
          <w:b/>
          <w:sz w:val="24"/>
          <w:highlight w:val="none"/>
        </w:rPr>
        <w:t>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信息传递风险：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ascii="宋体" w:hAnsi="宋体" w:cs="宋体"/>
          <w:b/>
          <w:sz w:val="24"/>
          <w:highlight w:val="none"/>
          <w:lang w:val="en-US" w:eastAsia="zh-CN"/>
        </w:rPr>
        <w:t>理</w:t>
      </w:r>
      <w:r>
        <w:rPr>
          <w:rFonts w:hint="eastAsia" w:ascii="宋体" w:hAnsi="宋体" w:cs="宋体"/>
          <w:b/>
          <w:sz w:val="24"/>
          <w:highlight w:val="none"/>
        </w:rPr>
        <w:t>财计划本金或收益蒙受部分或全部损失的风险。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代销风险：本理财计划通过代销渠道销售，投资者认/申购理财计划的资金由销售机构从投资者资金账户扣收；理财计划到期/赎回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lang w:val="en-US" w:eastAsia="zh-CN"/>
        </w:rPr>
        <w:t>不同</w:t>
      </w:r>
      <w:r>
        <w:rPr>
          <w:rFonts w:hint="eastAsia" w:ascii="宋体" w:hAnsi="宋体" w:cs="宋体"/>
          <w:b/>
          <w:sz w:val="24"/>
          <w:highlight w:val="none"/>
          <w:lang w:val="en-US" w:eastAsia="zh-CN"/>
        </w:rPr>
        <w:t>理财计划份额差异化风险：管理人可根据投资者购买理财计划的金额、销售渠道等因素，对投资者所持有的理财计划设置不同理财计划份额类别。不同类别的理财计划份额在销售名称、收费方式、销售服务费、销售代码、销售对象、销售起点金额（包括认购、申购等）、认申购和赎回的数量限额、持有理财计划的最高和最低限额、计算和公告理财计划份额净值方面等存在差异。</w:t>
      </w:r>
    </w:p>
    <w:p>
      <w:pPr>
        <w:numPr>
          <w:ilvl w:val="0"/>
          <w:numId w:val="4"/>
        </w:numPr>
        <w:spacing w:line="360" w:lineRule="auto"/>
        <w:ind w:firstLine="482" w:firstLineChars="200"/>
        <w:jc w:val="left"/>
        <w:outlineLvl w:val="9"/>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jc w:val="left"/>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jc w:val="left"/>
        <w:rPr>
          <w:rFonts w:ascii="宋体" w:hAnsi="宋体" w:cs="宋体"/>
          <w:b/>
          <w:sz w:val="24"/>
          <w:highlight w:val="none"/>
        </w:rPr>
      </w:pPr>
      <w:r>
        <w:rPr>
          <w:rFonts w:hint="eastAsia" w:ascii="宋体" w:hAnsi="宋体" w:cs="宋体"/>
          <w:b/>
          <w:sz w:val="24"/>
          <w:highlight w:val="none"/>
          <w:lang w:val="en-US" w:eastAsia="zh-CN"/>
        </w:rPr>
        <w:t>国内上市优先股资产风险：本理财计划所投优先股资产，由于受到发行人的经营状况、信用评级下降或资产交易市场不活跃等因素的影响，存在因市场风险、信用风险、流动性风险等引起的资产价值波动，</w:t>
      </w:r>
      <w:r>
        <w:rPr>
          <w:rFonts w:hint="eastAsia" w:ascii="宋体" w:hAnsi="宋体" w:cs="宋体"/>
          <w:b/>
          <w:sz w:val="24"/>
          <w:highlight w:val="none"/>
        </w:rPr>
        <w:t>投资者的本金可能会出现损失。</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收益不达业绩比较基准风险：本理财计划的投资收益与投资者的申购、赎回时点密切相关，收益存在一定的波动性，理财计划本金出现损失的可能性不容忽视。</w:t>
      </w:r>
    </w:p>
    <w:p>
      <w:pPr>
        <w:numPr>
          <w:ilvl w:val="0"/>
          <w:numId w:val="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未知价风险：产品以产品申购和赎回确认时的单位净值，按照“金额申购、份额赎回”的原则计算投资者申购份额和赎回资金，产品净值可能会有波动</w:t>
      </w:r>
      <w:r>
        <w:rPr>
          <w:rFonts w:hint="eastAsia" w:ascii="宋体" w:hAnsi="宋体" w:cs="宋体"/>
          <w:b/>
          <w:sz w:val="24"/>
          <w:highlight w:val="none"/>
          <w:lang w:eastAsia="zh-CN"/>
        </w:rPr>
        <w:t>。</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jc w:val="left"/>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jc w:val="left"/>
        <w:rPr>
          <w:rFonts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jc w:val="left"/>
        <w:rPr>
          <w:rFonts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jc w:val="left"/>
        <w:rPr>
          <w:rFonts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jc w:val="left"/>
        <w:rPr>
          <w:rFonts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jc w:val="left"/>
        <w:rPr>
          <w:rFonts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jc w:val="left"/>
        <w:rPr>
          <w:rFonts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本理财计划为公募、开放式、〖固定收益类〗净值型理财计划，〖无固定期限〗，不保证本金与收益。根据本公司理财产品内部风险评级，该理财计划风险评级结果为〖R2〗,〖中低〗风险</w:t>
      </w:r>
      <w:r>
        <w:rPr>
          <w:rFonts w:hint="eastAsia" w:ascii="宋体" w:hAnsi="宋体" w:cs="宋体"/>
          <w:bCs/>
          <w:sz w:val="24"/>
          <w:highlight w:val="none"/>
        </w:rPr>
        <w:t>（本风险等级为我公司内部风险评级结果，仅供参考</w:t>
      </w:r>
      <w:r>
        <w:rPr>
          <w:rFonts w:hint="eastAsia" w:ascii="宋体" w:hAnsi="宋体" w:cs="宋体"/>
          <w:b/>
          <w:sz w:val="24"/>
          <w:highlight w:val="none"/>
        </w:rPr>
        <w:t>，</w:t>
      </w:r>
      <w:r>
        <w:rPr>
          <w:rFonts w:hint="eastAsia" w:ascii="宋体" w:hAnsi="宋体" w:cs="宋体"/>
          <w:bCs/>
          <w:sz w:val="24"/>
          <w:highlight w:val="none"/>
        </w:rPr>
        <w:t>理财计划通过代理销售机构渠道销售的，理财计划产品评级应当以代理销售机构最终披露的评级结果为准），</w:t>
      </w:r>
      <w:r>
        <w:rPr>
          <w:rFonts w:hint="eastAsia" w:ascii="宋体" w:hAnsi="宋体" w:cs="宋体"/>
          <w:b/>
          <w:sz w:val="24"/>
          <w:highlight w:val="none"/>
        </w:rPr>
        <w:t>总体风险〖程度较低，收益波动较小，虽然存在一些可能对产品本金和收益安全产生不利影响的因素，但产品本金出现损失的可能性很小〗。</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rPr>
        <w:t>个人投资者的风险承受能力评估以销售机构为准。</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ascii="宋体" w:hAnsi="宋体" w:cs="宋体"/>
          <w:bCs/>
          <w:sz w:val="24"/>
          <w:highlight w:val="none"/>
        </w:rPr>
      </w:pPr>
    </w:p>
    <w:p>
      <w:pPr>
        <w:spacing w:line="360" w:lineRule="auto"/>
        <w:ind w:firstLine="480" w:firstLineChars="200"/>
        <w:jc w:val="lef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rPr>
          <w:rFonts w:ascii="宋体" w:hAnsi="宋体" w:cs="宋体"/>
          <w:bCs/>
          <w:sz w:val="24"/>
          <w:highlight w:val="none"/>
        </w:rPr>
      </w:pPr>
    </w:p>
    <w:p>
      <w:pPr>
        <w:pStyle w:val="15"/>
        <w:spacing w:line="360" w:lineRule="auto"/>
        <w:jc w:val="center"/>
        <w:rPr>
          <w:rFonts w:hint="eastAsia" w:ascii="宋体" w:hAnsi="宋体" w:cs="宋体"/>
          <w:b/>
          <w:color w:val="auto"/>
          <w:highlight w:val="none"/>
        </w:rPr>
      </w:pPr>
    </w:p>
    <w:p>
      <w:pPr>
        <w:pStyle w:val="15"/>
        <w:spacing w:line="360" w:lineRule="auto"/>
        <w:jc w:val="center"/>
        <w:rPr>
          <w:rFonts w:hint="eastAsia" w:ascii="宋体" w:hAnsi="宋体" w:cs="宋体"/>
          <w:b/>
          <w:color w:val="auto"/>
          <w:highlight w:val="none"/>
        </w:rPr>
      </w:pPr>
    </w:p>
    <w:p>
      <w:pPr>
        <w:pStyle w:val="15"/>
        <w:spacing w:line="360" w:lineRule="auto"/>
        <w:jc w:val="center"/>
        <w:rPr>
          <w:rFonts w:hint="eastAsia" w:ascii="宋体" w:hAnsi="宋体" w:cs="宋体"/>
          <w:b/>
          <w:color w:val="auto"/>
          <w:highlight w:val="none"/>
        </w:rPr>
      </w:pPr>
    </w:p>
    <w:p>
      <w:pPr>
        <w:pStyle w:val="15"/>
        <w:spacing w:line="360" w:lineRule="auto"/>
        <w:jc w:val="center"/>
        <w:rPr>
          <w:rFonts w:hint="eastAsia" w:ascii="宋体" w:hAnsi="宋体" w:cs="宋体"/>
          <w:b/>
          <w:color w:val="auto"/>
          <w:highlight w:val="none"/>
        </w:rPr>
      </w:pPr>
    </w:p>
    <w:p>
      <w:pPr>
        <w:pStyle w:val="15"/>
        <w:spacing w:line="360" w:lineRule="auto"/>
        <w:jc w:val="center"/>
        <w:rPr>
          <w:rFonts w:hint="eastAsia" w:ascii="宋体" w:hAnsi="宋体" w:cs="宋体"/>
          <w:b/>
          <w:color w:val="auto"/>
          <w:highlight w:val="none"/>
        </w:rPr>
      </w:pPr>
    </w:p>
    <w:p>
      <w:pPr>
        <w:pStyle w:val="15"/>
        <w:spacing w:line="360" w:lineRule="auto"/>
        <w:jc w:val="center"/>
        <w:rPr>
          <w:rFonts w:hint="eastAsia" w:ascii="宋体" w:hAnsi="宋体" w:cs="宋体"/>
          <w:b/>
          <w:color w:val="auto"/>
          <w:highlight w:val="none"/>
        </w:rPr>
      </w:pPr>
    </w:p>
    <w:p>
      <w:pPr>
        <w:pStyle w:val="15"/>
        <w:spacing w:line="360" w:lineRule="auto"/>
        <w:jc w:val="center"/>
        <w:rPr>
          <w:rFonts w:hint="eastAsia" w:ascii="宋体" w:hAnsi="宋体" w:cs="宋体"/>
          <w:b/>
          <w:color w:val="auto"/>
          <w:highlight w:val="none"/>
        </w:rPr>
      </w:pPr>
    </w:p>
    <w:p>
      <w:pPr>
        <w:pStyle w:val="15"/>
        <w:spacing w:line="360" w:lineRule="auto"/>
        <w:jc w:val="center"/>
        <w:rPr>
          <w:rFonts w:hint="eastAsia" w:ascii="宋体" w:hAnsi="宋体" w:cs="宋体"/>
          <w:b/>
          <w:color w:val="auto"/>
          <w:highlight w:val="none"/>
        </w:rPr>
      </w:pPr>
    </w:p>
    <w:p>
      <w:pPr>
        <w:pStyle w:val="15"/>
        <w:spacing w:line="360" w:lineRule="auto"/>
        <w:jc w:val="center"/>
        <w:rPr>
          <w:rFonts w:hint="eastAsia" w:ascii="宋体" w:hAnsi="宋体" w:cs="宋体"/>
          <w:b/>
          <w:color w:val="auto"/>
          <w:highlight w:val="none"/>
        </w:rPr>
      </w:pPr>
    </w:p>
    <w:p>
      <w:pPr>
        <w:pStyle w:val="15"/>
        <w:spacing w:line="360" w:lineRule="auto"/>
        <w:jc w:val="center"/>
        <w:rPr>
          <w:rFonts w:hint="eastAsia" w:ascii="宋体" w:hAnsi="宋体" w:cs="宋体"/>
          <w:b/>
          <w:color w:val="auto"/>
          <w:highlight w:val="none"/>
        </w:rPr>
      </w:pPr>
    </w:p>
    <w:p>
      <w:pPr>
        <w:pStyle w:val="15"/>
        <w:spacing w:line="360" w:lineRule="auto"/>
        <w:jc w:val="center"/>
        <w:rPr>
          <w:rFonts w:hint="eastAsia" w:ascii="宋体" w:hAnsi="宋体" w:cs="宋体"/>
          <w:b/>
          <w:color w:val="auto"/>
          <w:highlight w:val="none"/>
        </w:rPr>
      </w:pPr>
    </w:p>
    <w:p>
      <w:pPr>
        <w:pStyle w:val="15"/>
        <w:spacing w:line="360" w:lineRule="auto"/>
        <w:jc w:val="center"/>
        <w:rPr>
          <w:rFonts w:hint="eastAsia" w:ascii="宋体" w:hAnsi="宋体" w:cs="宋体"/>
          <w:b/>
          <w:color w:val="auto"/>
          <w:highlight w:val="none"/>
        </w:rPr>
      </w:pPr>
    </w:p>
    <w:p>
      <w:pPr>
        <w:pStyle w:val="15"/>
        <w:spacing w:line="360" w:lineRule="auto"/>
        <w:jc w:val="center"/>
        <w:rPr>
          <w:rFonts w:hint="eastAsia" w:ascii="宋体" w:hAnsi="宋体" w:cs="宋体"/>
          <w:b/>
          <w:color w:val="auto"/>
          <w:highlight w:val="none"/>
        </w:rPr>
      </w:pPr>
    </w:p>
    <w:p>
      <w:pPr>
        <w:pStyle w:val="15"/>
        <w:spacing w:line="360" w:lineRule="auto"/>
        <w:jc w:val="center"/>
        <w:rPr>
          <w:rFonts w:hint="eastAsia" w:ascii="宋体" w:hAnsi="宋体" w:cs="宋体"/>
          <w:b/>
          <w:color w:val="auto"/>
          <w:highlight w:val="none"/>
        </w:rPr>
      </w:pPr>
    </w:p>
    <w:p>
      <w:pPr>
        <w:pStyle w:val="15"/>
        <w:spacing w:line="360" w:lineRule="auto"/>
        <w:jc w:val="center"/>
        <w:rPr>
          <w:rFonts w:hint="eastAsia" w:ascii="宋体" w:hAnsi="宋体" w:cs="宋体"/>
          <w:b/>
          <w:color w:val="auto"/>
          <w:highlight w:val="none"/>
        </w:rPr>
      </w:pPr>
    </w:p>
    <w:p>
      <w:pPr>
        <w:pStyle w:val="15"/>
        <w:spacing w:line="360" w:lineRule="auto"/>
        <w:jc w:val="both"/>
        <w:rPr>
          <w:rFonts w:hint="eastAsia" w:ascii="宋体" w:hAnsi="宋体" w:cs="宋体"/>
          <w:b/>
          <w:color w:val="auto"/>
          <w:highlight w:val="none"/>
        </w:rPr>
      </w:pPr>
    </w:p>
    <w:p>
      <w:pPr>
        <w:pStyle w:val="15"/>
        <w:spacing w:line="360" w:lineRule="auto"/>
        <w:jc w:val="center"/>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5"/>
        <w:spacing w:line="360" w:lineRule="auto"/>
        <w:jc w:val="center"/>
        <w:rPr>
          <w:rFonts w:hint="eastAsia" w:ascii="宋体" w:hAnsi="宋体" w:cs="宋体"/>
          <w:b/>
          <w:color w:val="auto"/>
          <w:highlight w:val="none"/>
        </w:rPr>
      </w:pPr>
    </w:p>
    <w:p>
      <w:pPr>
        <w:pStyle w:val="15"/>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5"/>
        <w:spacing w:line="360" w:lineRule="auto"/>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5"/>
        <w:spacing w:line="360" w:lineRule="auto"/>
        <w:jc w:val="both"/>
        <w:rPr>
          <w:rFonts w:hint="eastAsia" w:ascii="宋体" w:hAnsi="宋体" w:cs="宋体"/>
          <w:color w:val="auto"/>
          <w:highlight w:val="none"/>
          <w:u w:val="single"/>
        </w:rPr>
      </w:pPr>
      <w:r>
        <w:rPr>
          <w:rFonts w:hint="eastAsia" w:ascii="宋体" w:hAnsi="宋体" w:cs="宋体"/>
          <w:color w:val="auto"/>
          <w:highlight w:val="none"/>
          <w:u w:val="single"/>
        </w:rPr>
        <w:t xml:space="preserve">    如超过一年未进行风险承受能力评估或影响本人风险承受能力的因素发生变化，本人将于再次购买理财计划时及时完成风险承受能力评估。</w:t>
      </w:r>
    </w:p>
    <w:p>
      <w:pPr>
        <w:pStyle w:val="15"/>
        <w:spacing w:line="360" w:lineRule="auto"/>
        <w:jc w:val="both"/>
        <w:rPr>
          <w:rFonts w:hint="eastAsia" w:ascii="宋体" w:hAnsi="宋体" w:cs="宋体"/>
          <w:b/>
          <w:bCs/>
          <w:color w:val="auto"/>
          <w:highlight w:val="none"/>
          <w:u w:val="single"/>
        </w:rPr>
      </w:pPr>
      <w:r>
        <w:rPr>
          <w:rFonts w:hint="eastAsia" w:ascii="宋体" w:hAnsi="宋体" w:cs="宋体"/>
          <w:b/>
          <w:bCs/>
          <w:color w:val="auto"/>
          <w:highlight w:val="none"/>
          <w:u w:val="single"/>
        </w:rPr>
        <w:t xml:space="preserve">    声明：本人已经认真阅读本风险揭示书以及《理财计划产品说明书》《投资者权益须知》《理财计划投资协议书》《理财计划销售协议书》，已对其作全面、准确的理解，充分认识到投资本理财计划要求承担的风险，接受本风险揭示书及《理财计划产品说明书》《投资者权益须知》《理财计划投资协议书》《理财计划销售协议书》等本理财计划合同全部内容，自愿且有能力承担投资本理财计划的风险。</w:t>
      </w:r>
    </w:p>
    <w:p>
      <w:pPr>
        <w:pStyle w:val="15"/>
        <w:spacing w:line="360" w:lineRule="auto"/>
        <w:jc w:val="both"/>
        <w:rPr>
          <w:rFonts w:hint="eastAsia" w:ascii="宋体" w:hAnsi="宋体" w:cs="宋体"/>
          <w:b/>
          <w:bCs/>
          <w:color w:val="auto"/>
          <w:highlight w:val="none"/>
          <w:u w:val="single"/>
        </w:rPr>
      </w:pPr>
      <w:r>
        <w:rPr>
          <w:rFonts w:hint="eastAsia" w:ascii="宋体" w:hAnsi="宋体" w:cs="宋体"/>
          <w:b/>
          <w:bCs/>
          <w:color w:val="auto"/>
          <w:highlight w:val="none"/>
          <w:u w:val="single"/>
        </w:rPr>
        <w:t xml:space="preserve">    本人购买本理财计划的资金为合法自有资金，不存在使用借款、贷款等非自有资金的情形；且系为合法目的投资本理财计划，而非为洗钱等违法违规之目的，本人将配合管理人或销售机构开展客户身份识别及尽职调查、反恐怖融资以及非居民金融账户尽职调查等，及时、真实、准确提供身份信息及资金来源信息。</w:t>
      </w:r>
    </w:p>
    <w:p>
      <w:pPr>
        <w:pStyle w:val="15"/>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 xml:space="preserve">“本人已经阅读上述风险揭示，愿意承担投资风险。”） </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5"/>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pStyle w:val="15"/>
        <w:spacing w:line="360" w:lineRule="auto"/>
        <w:jc w:val="both"/>
        <w:rPr>
          <w:rFonts w:hint="eastAsia" w:ascii="宋体" w:hAnsi="宋体" w:cs="宋体"/>
          <w:color w:val="auto"/>
          <w:highlight w:val="none"/>
        </w:rPr>
      </w:pP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snapToGrid w:val="0"/>
        <w:rPr>
          <w:rFonts w:hint="eastAsia" w:ascii="宋体" w:hAnsi="宋体"/>
          <w:kern w:val="0"/>
          <w:szCs w:val="21"/>
          <w:highlight w:val="none"/>
          <w:u w:val="single"/>
        </w:rPr>
      </w:pPr>
    </w:p>
    <w:p>
      <w:pPr>
        <w:autoSpaceDE w:val="0"/>
        <w:autoSpaceDN w:val="0"/>
        <w:adjustRightInd w:val="0"/>
        <w:spacing w:line="420" w:lineRule="exact"/>
        <w:jc w:val="center"/>
        <w:rPr>
          <w:rFonts w:hint="eastAsia" w:ascii="宋体" w:hAnsi="宋体"/>
          <w:b/>
          <w:kern w:val="0"/>
          <w:szCs w:val="21"/>
          <w:highlight w:val="none"/>
        </w:rPr>
      </w:pPr>
    </w:p>
    <w:p>
      <w:pPr>
        <w:autoSpaceDE w:val="0"/>
        <w:autoSpaceDN w:val="0"/>
        <w:adjustRightInd w:val="0"/>
        <w:spacing w:line="360" w:lineRule="auto"/>
        <w:jc w:val="center"/>
        <w:rPr>
          <w:rFonts w:hint="eastAsia" w:ascii="宋体" w:hAnsi="宋体"/>
          <w:b/>
          <w:kern w:val="0"/>
          <w:szCs w:val="21"/>
          <w:highlight w:val="none"/>
        </w:rPr>
      </w:pPr>
    </w:p>
    <w:p>
      <w:pPr>
        <w:pStyle w:val="15"/>
        <w:spacing w:line="360" w:lineRule="auto"/>
        <w:jc w:val="center"/>
        <w:rPr>
          <w:rFonts w:hint="eastAsia" w:ascii="宋体" w:hAnsi="宋体" w:cs="宋体"/>
          <w:b/>
          <w:color w:val="auto"/>
          <w:highlight w:val="none"/>
        </w:rPr>
      </w:pPr>
    </w:p>
    <w:p>
      <w:pPr>
        <w:pStyle w:val="15"/>
        <w:spacing w:line="360" w:lineRule="auto"/>
        <w:jc w:val="center"/>
        <w:rPr>
          <w:rFonts w:hint="eastAsia" w:ascii="宋体" w:hAnsi="宋体" w:cs="宋体"/>
          <w:b/>
          <w:color w:val="auto"/>
          <w:highlight w:val="none"/>
        </w:rPr>
      </w:pPr>
    </w:p>
    <w:p>
      <w:pPr>
        <w:pStyle w:val="15"/>
        <w:spacing w:line="360" w:lineRule="auto"/>
        <w:jc w:val="center"/>
        <w:rPr>
          <w:rFonts w:hint="eastAsia" w:ascii="宋体" w:hAnsi="宋体" w:cs="宋体"/>
          <w:b/>
          <w:highlight w:val="none"/>
        </w:rPr>
      </w:pPr>
      <w:r>
        <w:rPr>
          <w:rFonts w:hint="eastAsia" w:ascii="宋体" w:hAnsi="宋体" w:cs="宋体"/>
          <w:b/>
          <w:color w:val="auto"/>
          <w:highlight w:val="none"/>
        </w:rPr>
        <w:t>投资者确认栏（机构投资者）</w:t>
      </w:r>
    </w:p>
    <w:p>
      <w:pPr>
        <w:pStyle w:val="15"/>
        <w:spacing w:line="360" w:lineRule="auto"/>
        <w:jc w:val="center"/>
        <w:rPr>
          <w:rFonts w:hint="eastAsia" w:ascii="宋体" w:hAnsi="宋体" w:cs="宋体"/>
          <w:b/>
          <w:highlight w:val="none"/>
        </w:rPr>
      </w:pPr>
    </w:p>
    <w:p>
      <w:pPr>
        <w:widowControl/>
        <w:spacing w:line="360" w:lineRule="auto"/>
        <w:contextualSpacing/>
        <w:outlineLvl w:val="9"/>
        <w:rPr>
          <w:rFonts w:hint="eastAsia" w:ascii="宋体" w:hAnsi="宋体" w:cs="宋体"/>
          <w:b/>
          <w:bCs/>
          <w:sz w:val="24"/>
          <w:highlight w:val="none"/>
        </w:rPr>
      </w:pPr>
      <w:r>
        <w:rPr>
          <w:rFonts w:hint="eastAsia" w:ascii="宋体" w:hAnsi="宋体" w:cs="宋体"/>
          <w:b/>
          <w:bCs/>
          <w:sz w:val="24"/>
          <w:highlight w:val="none"/>
        </w:rPr>
        <w:t xml:space="preserve">    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cs="宋体"/>
          <w:b/>
          <w:bCs/>
          <w:sz w:val="24"/>
          <w:highlight w:val="none"/>
          <w:u w:val="single"/>
        </w:rPr>
        <w:t>接受本风险揭示书及《理财计划产品说明书》《投资者权益须知》《理财计划投资协议书》《理财计划销售协议书》等本理财计划合同全部内容，</w:t>
      </w:r>
      <w:r>
        <w:rPr>
          <w:rFonts w:hint="eastAsia" w:ascii="宋体" w:hAnsi="宋体" w:cs="宋体"/>
          <w:b/>
          <w:bCs/>
          <w:sz w:val="24"/>
          <w:highlight w:val="none"/>
        </w:rPr>
        <w:t>自愿且有能力承担</w:t>
      </w:r>
      <w:r>
        <w:rPr>
          <w:rFonts w:hint="eastAsia" w:ascii="宋体" w:hAnsi="宋体" w:cs="宋体"/>
          <w:b/>
          <w:bCs/>
          <w:sz w:val="24"/>
          <w:highlight w:val="none"/>
          <w:u w:val="single"/>
        </w:rPr>
        <w:t>投资本理财计划的</w:t>
      </w:r>
      <w:r>
        <w:rPr>
          <w:rFonts w:hint="eastAsia" w:ascii="宋体" w:hAnsi="宋体" w:cs="宋体"/>
          <w:b/>
          <w:bCs/>
          <w:sz w:val="24"/>
          <w:highlight w:val="none"/>
        </w:rPr>
        <w:t>风险。</w:t>
      </w:r>
    </w:p>
    <w:p>
      <w:pPr>
        <w:widowControl/>
        <w:spacing w:line="360" w:lineRule="auto"/>
        <w:contextualSpacing/>
        <w:outlineLvl w:val="9"/>
        <w:rPr>
          <w:rFonts w:ascii="宋体" w:hAnsi="宋体" w:cs="宋体"/>
          <w:sz w:val="24"/>
          <w:highlight w:val="none"/>
        </w:rPr>
      </w:pPr>
      <w:r>
        <w:rPr>
          <w:rFonts w:hint="eastAsia" w:ascii="宋体" w:hAnsi="宋体" w:cs="宋体"/>
          <w:b/>
          <w:bCs/>
          <w:sz w:val="24"/>
          <w:highlight w:val="none"/>
        </w:rPr>
        <w:t xml:space="preserve">    </w:t>
      </w:r>
      <w:r>
        <w:rPr>
          <w:rFonts w:hint="eastAsia" w:ascii="宋体" w:hAnsi="宋体" w:cs="宋体"/>
          <w:b/>
          <w:bCs/>
          <w:sz w:val="24"/>
          <w:highlight w:val="none"/>
          <w:u w:val="single"/>
        </w:rPr>
        <w:t>本公司/单位</w:t>
      </w:r>
      <w:r>
        <w:rPr>
          <w:rFonts w:hint="eastAsia" w:ascii="宋体" w:hAnsi="宋体" w:cs="宋体"/>
          <w:b/>
          <w:bCs/>
          <w:sz w:val="24"/>
          <w:highlight w:val="none"/>
          <w:u w:val="single"/>
          <w:lang w:val="en-US" w:eastAsia="zh-CN"/>
        </w:rPr>
        <w:t>购买</w:t>
      </w:r>
      <w:r>
        <w:rPr>
          <w:rFonts w:hint="eastAsia" w:ascii="宋体" w:hAnsi="宋体" w:cs="宋体"/>
          <w:b/>
          <w:bCs/>
          <w:sz w:val="24"/>
          <w:highlight w:val="none"/>
          <w:u w:val="single"/>
        </w:rPr>
        <w:t>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widowControl/>
        <w:spacing w:line="360" w:lineRule="auto"/>
        <w:contextualSpacing/>
        <w:outlineLvl w:val="9"/>
        <w:rPr>
          <w:rFonts w:hint="eastAsia" w:ascii="宋体" w:hAnsi="宋体" w:cs="宋体"/>
          <w:sz w:val="24"/>
          <w:highlight w:val="none"/>
        </w:rPr>
      </w:pPr>
    </w:p>
    <w:p>
      <w:pPr>
        <w:widowControl/>
        <w:spacing w:line="360" w:lineRule="auto"/>
        <w:contextualSpacing/>
        <w:outlineLvl w:val="9"/>
        <w:rPr>
          <w:rFonts w:hint="eastAsia" w:ascii="宋体" w:hAnsi="宋体" w:cs="宋体"/>
          <w:sz w:val="24"/>
          <w:highlight w:val="none"/>
        </w:rPr>
      </w:pPr>
    </w:p>
    <w:p>
      <w:pPr>
        <w:widowControl/>
        <w:spacing w:line="360" w:lineRule="auto"/>
        <w:contextualSpacing/>
        <w:outlineLvl w:val="9"/>
        <w:rPr>
          <w:rFonts w:hint="eastAsia" w:ascii="宋体" w:hAnsi="宋体" w:cs="宋体"/>
          <w:kern w:val="0"/>
          <w:sz w:val="24"/>
          <w:highlight w:val="none"/>
        </w:rPr>
      </w:pPr>
      <w:r>
        <w:rPr>
          <w:rFonts w:hint="eastAsia" w:ascii="宋体" w:hAnsi="宋体" w:cs="宋体"/>
          <w:kern w:val="0"/>
          <w:sz w:val="24"/>
          <w:highlight w:val="none"/>
        </w:rPr>
        <w:t>投资者（公章）                          法定代表人或授权代理人（签章）</w:t>
      </w:r>
    </w:p>
    <w:p>
      <w:pPr>
        <w:widowControl/>
        <w:spacing w:line="360" w:lineRule="auto"/>
        <w:contextualSpacing/>
        <w:outlineLvl w:val="9"/>
        <w:rPr>
          <w:rFonts w:hint="eastAsia" w:ascii="宋体" w:hAnsi="宋体" w:cs="宋体"/>
          <w:kern w:val="0"/>
          <w:sz w:val="24"/>
          <w:highlight w:val="none"/>
        </w:rPr>
      </w:pPr>
    </w:p>
    <w:p>
      <w:pPr>
        <w:widowControl/>
        <w:spacing w:line="360" w:lineRule="auto"/>
        <w:contextualSpacing/>
        <w:outlineLvl w:val="9"/>
        <w:rPr>
          <w:rFonts w:hint="eastAsia" w:ascii="宋体" w:hAnsi="宋体" w:cs="宋体"/>
          <w:kern w:val="0"/>
          <w:sz w:val="24"/>
          <w:highlight w:val="none"/>
        </w:rPr>
      </w:pPr>
    </w:p>
    <w:p>
      <w:pPr>
        <w:widowControl/>
        <w:spacing w:line="360" w:lineRule="auto"/>
        <w:contextualSpacing/>
        <w:outlineLvl w:val="9"/>
        <w:rPr>
          <w:rFonts w:hint="eastAsia" w:ascii="宋体" w:hAnsi="宋体" w:cs="宋体"/>
          <w:kern w:val="0"/>
          <w:sz w:val="24"/>
          <w:highlight w:val="none"/>
        </w:rPr>
      </w:pPr>
    </w:p>
    <w:p>
      <w:pPr>
        <w:widowControl/>
        <w:spacing w:line="360" w:lineRule="auto"/>
        <w:contextualSpacing/>
        <w:outlineLvl w:val="9"/>
        <w:rPr>
          <w:rFonts w:hint="eastAsia" w:ascii="宋体" w:hAnsi="宋体" w:cs="宋体"/>
          <w:kern w:val="0"/>
          <w:sz w:val="24"/>
          <w:highlight w:val="none"/>
        </w:rPr>
      </w:pP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rPr>
          <w:rFonts w:ascii="宋体" w:hAnsi="宋体" w:cs="宋体"/>
          <w:b/>
          <w:bCs/>
          <w:sz w:val="44"/>
          <w:szCs w:val="44"/>
          <w:highlight w:val="none"/>
        </w:rPr>
      </w:pPr>
    </w:p>
    <w:p>
      <w:pPr>
        <w:jc w:val="center"/>
        <w:outlineLvl w:val="9"/>
        <w:rPr>
          <w:rFonts w:hint="eastAsia" w:ascii="宋体" w:hAnsi="宋体" w:cs="宋体"/>
          <w:b/>
          <w:bCs/>
          <w:sz w:val="44"/>
          <w:szCs w:val="44"/>
          <w:highlight w:val="none"/>
        </w:rPr>
      </w:pPr>
      <w:r>
        <w:rPr>
          <w:rFonts w:hint="eastAsia" w:ascii="宋体" w:hAnsi="宋体" w:cs="宋体"/>
          <w:b/>
          <w:bCs/>
          <w:sz w:val="44"/>
          <w:szCs w:val="44"/>
          <w:highlight w:val="none"/>
        </w:rPr>
        <w:t>杭银理财幸福99</w:t>
      </w:r>
      <w:r>
        <w:rPr>
          <w:rFonts w:hint="eastAsia" w:ascii="宋体" w:hAnsi="宋体" w:cs="宋体"/>
          <w:b/>
          <w:bCs/>
          <w:sz w:val="44"/>
          <w:szCs w:val="44"/>
          <w:highlight w:val="none"/>
          <w:lang w:val="en-US" w:eastAsia="zh-CN"/>
        </w:rPr>
        <w:t>添益（安享优选）7天持有期</w:t>
      </w:r>
      <w:r>
        <w:rPr>
          <w:rFonts w:hint="eastAsia" w:ascii="宋体" w:hAnsi="宋体" w:cs="宋体"/>
          <w:b/>
          <w:bCs/>
          <w:sz w:val="44"/>
          <w:szCs w:val="44"/>
          <w:highlight w:val="none"/>
        </w:rPr>
        <w:t>理财产品说明书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〖Z7002223000157〗</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9"/>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释义</w:t>
      </w:r>
    </w:p>
    <w:p>
      <w:pPr>
        <w:pStyle w:val="15"/>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5"/>
        <w:numPr>
          <w:ilvl w:val="0"/>
          <w:numId w:val="12"/>
        </w:numPr>
        <w:adjustRightInd/>
        <w:spacing w:line="360" w:lineRule="auto"/>
        <w:ind w:firstLine="482" w:firstLineChars="200"/>
        <w:outlineLvl w:val="9"/>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5"/>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杭银理财有限责任公司简称杭银理财，官网网站为https://www.hzbankwealth.com.cn</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客服电话：400-8950-999</w:t>
      </w:r>
      <w:r>
        <w:rPr>
          <w:rFonts w:hint="eastAsia" w:ascii="宋体" w:hAnsi="宋体" w:cs="宋体"/>
          <w:bCs/>
          <w:color w:val="auto"/>
          <w:kern w:val="2"/>
          <w:highlight w:val="none"/>
        </w:rPr>
        <w:t>。</w:t>
      </w:r>
    </w:p>
    <w:p>
      <w:pPr>
        <w:pStyle w:val="15"/>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5"/>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5"/>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5"/>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5"/>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指对管理人（包括本理财计划管理人、所投资的信托计划/资管计划的管理人/受托人、相关投资顾问等）实施监督管理的机构，包括但不限于中国人民银行、</w:t>
      </w:r>
      <w:r>
        <w:rPr>
          <w:rFonts w:hint="eastAsia" w:ascii="宋体" w:hAnsi="宋体" w:cs="宋体"/>
          <w:bCs/>
          <w:color w:val="auto"/>
          <w:kern w:val="2"/>
          <w:highlight w:val="none"/>
          <w:lang w:val="en-US"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5"/>
        <w:numPr>
          <w:ilvl w:val="0"/>
          <w:numId w:val="12"/>
        </w:numPr>
        <w:adjustRightInd/>
        <w:spacing w:line="360" w:lineRule="auto"/>
        <w:ind w:firstLine="482" w:firstLineChars="200"/>
        <w:outlineLvl w:val="9"/>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5"/>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rPr>
        <w:t>添益</w:t>
      </w:r>
      <w:r>
        <w:rPr>
          <w:rFonts w:hint="eastAsia" w:ascii="宋体" w:hAnsi="宋体" w:cs="宋体"/>
          <w:bCs/>
          <w:highlight w:val="none"/>
          <w:lang w:eastAsia="zh-CN"/>
        </w:rPr>
        <w:t>（安享优选）</w:t>
      </w:r>
      <w:r>
        <w:rPr>
          <w:rFonts w:hint="eastAsia" w:ascii="宋体" w:hAnsi="宋体" w:cs="宋体"/>
          <w:bCs/>
          <w:highlight w:val="none"/>
          <w:lang w:val="en-US" w:eastAsia="zh-CN"/>
        </w:rPr>
        <w:t>7</w:t>
      </w:r>
      <w:r>
        <w:rPr>
          <w:rFonts w:hint="eastAsia" w:ascii="宋体" w:hAnsi="宋体" w:cs="宋体"/>
          <w:bCs/>
          <w:highlight w:val="none"/>
          <w:lang w:eastAsia="zh-CN"/>
        </w:rPr>
        <w:t>天</w:t>
      </w:r>
      <w:r>
        <w:rPr>
          <w:rFonts w:hint="eastAsia" w:ascii="宋体" w:hAnsi="宋体" w:cs="宋体"/>
          <w:bCs/>
          <w:highlight w:val="none"/>
        </w:rPr>
        <w:t>持有期理财产品说明书</w:t>
      </w:r>
      <w:r>
        <w:rPr>
          <w:rFonts w:hint="eastAsia" w:ascii="宋体" w:hAnsi="宋体" w:cs="宋体"/>
          <w:bCs/>
          <w:color w:val="auto"/>
          <w:kern w:val="2"/>
          <w:highlight w:val="none"/>
        </w:rPr>
        <w:t>》，以及对该文件的有效修改与补充。</w:t>
      </w:r>
    </w:p>
    <w:p>
      <w:pPr>
        <w:pStyle w:val="15"/>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rPr>
        <w:t>添益</w:t>
      </w:r>
      <w:r>
        <w:rPr>
          <w:rFonts w:hint="eastAsia" w:ascii="宋体" w:hAnsi="宋体" w:cs="宋体"/>
          <w:bCs/>
          <w:highlight w:val="none"/>
          <w:lang w:eastAsia="zh-CN"/>
        </w:rPr>
        <w:t>（安享优选）</w:t>
      </w:r>
      <w:r>
        <w:rPr>
          <w:rFonts w:hint="eastAsia" w:ascii="宋体" w:hAnsi="宋体" w:cs="宋体"/>
          <w:bCs/>
          <w:highlight w:val="none"/>
          <w:lang w:val="en-US" w:eastAsia="zh-CN"/>
        </w:rPr>
        <w:t>7</w:t>
      </w:r>
      <w:r>
        <w:rPr>
          <w:rFonts w:hint="eastAsia" w:ascii="宋体" w:hAnsi="宋体" w:cs="宋体"/>
          <w:bCs/>
          <w:highlight w:val="none"/>
          <w:lang w:eastAsia="zh-CN"/>
        </w:rPr>
        <w:t>天</w:t>
      </w:r>
      <w:r>
        <w:rPr>
          <w:rFonts w:hint="eastAsia" w:ascii="宋体" w:hAnsi="宋体" w:cs="宋体"/>
          <w:bCs/>
          <w:highlight w:val="none"/>
        </w:rPr>
        <w:t>持有期理财合同不可分割组成部分的风险揭示书，</w:t>
      </w:r>
      <w:r>
        <w:rPr>
          <w:rFonts w:hint="eastAsia" w:ascii="宋体" w:hAnsi="宋体" w:cs="宋体"/>
          <w:bCs/>
          <w:color w:val="auto"/>
          <w:kern w:val="2"/>
          <w:highlight w:val="none"/>
        </w:rPr>
        <w:t>以及对该文件的有效修改与补充。</w:t>
      </w:r>
    </w:p>
    <w:p>
      <w:pPr>
        <w:pStyle w:val="15"/>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rPr>
        <w:t>添益</w:t>
      </w:r>
      <w:r>
        <w:rPr>
          <w:rFonts w:hint="eastAsia" w:ascii="宋体" w:hAnsi="宋体" w:cs="宋体"/>
          <w:bCs/>
          <w:highlight w:val="none"/>
          <w:lang w:eastAsia="zh-CN"/>
        </w:rPr>
        <w:t>（安享优选）</w:t>
      </w:r>
      <w:r>
        <w:rPr>
          <w:rFonts w:hint="eastAsia" w:ascii="宋体" w:hAnsi="宋体" w:cs="宋体"/>
          <w:bCs/>
          <w:highlight w:val="none"/>
          <w:lang w:val="en-US" w:eastAsia="zh-CN"/>
        </w:rPr>
        <w:t>7</w:t>
      </w:r>
      <w:r>
        <w:rPr>
          <w:rFonts w:hint="eastAsia" w:ascii="宋体" w:hAnsi="宋体" w:cs="宋体"/>
          <w:bCs/>
          <w:highlight w:val="none"/>
          <w:lang w:eastAsia="zh-CN"/>
        </w:rPr>
        <w:t>天</w:t>
      </w:r>
      <w:r>
        <w:rPr>
          <w:rFonts w:hint="eastAsia" w:ascii="宋体" w:hAnsi="宋体" w:cs="宋体"/>
          <w:bCs/>
          <w:highlight w:val="none"/>
        </w:rPr>
        <w:t>持有期理财合同不可分割组成部分的投资者权益须知，</w:t>
      </w:r>
      <w:r>
        <w:rPr>
          <w:rFonts w:hint="eastAsia" w:ascii="宋体" w:hAnsi="宋体" w:cs="宋体"/>
          <w:bCs/>
          <w:color w:val="auto"/>
          <w:kern w:val="2"/>
          <w:highlight w:val="none"/>
        </w:rPr>
        <w:t>以及对该文件的有效修改与补充。</w:t>
      </w:r>
    </w:p>
    <w:p>
      <w:pPr>
        <w:pStyle w:val="15"/>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rPr>
        <w:t>添益</w:t>
      </w:r>
      <w:r>
        <w:rPr>
          <w:rFonts w:hint="eastAsia" w:ascii="宋体" w:hAnsi="宋体" w:cs="宋体"/>
          <w:bCs/>
          <w:highlight w:val="none"/>
          <w:lang w:eastAsia="zh-CN"/>
        </w:rPr>
        <w:t>（安享优选）</w:t>
      </w:r>
      <w:r>
        <w:rPr>
          <w:rFonts w:hint="eastAsia" w:ascii="宋体" w:hAnsi="宋体" w:cs="宋体"/>
          <w:bCs/>
          <w:highlight w:val="none"/>
          <w:lang w:val="en-US" w:eastAsia="zh-CN"/>
        </w:rPr>
        <w:t>7</w:t>
      </w:r>
      <w:r>
        <w:rPr>
          <w:rFonts w:hint="eastAsia" w:ascii="宋体" w:hAnsi="宋体" w:cs="宋体"/>
          <w:bCs/>
          <w:highlight w:val="none"/>
          <w:lang w:eastAsia="zh-CN"/>
        </w:rPr>
        <w:t>天</w:t>
      </w:r>
      <w:r>
        <w:rPr>
          <w:rFonts w:hint="eastAsia" w:ascii="宋体" w:hAnsi="宋体" w:cs="宋体"/>
          <w:bCs/>
          <w:highlight w:val="none"/>
        </w:rPr>
        <w:t>持有期理财合同不可分割组成部分的理财计划投资协议书，</w:t>
      </w:r>
      <w:r>
        <w:rPr>
          <w:rFonts w:hint="eastAsia" w:ascii="宋体" w:hAnsi="宋体" w:cs="宋体"/>
          <w:bCs/>
          <w:color w:val="auto"/>
          <w:kern w:val="2"/>
          <w:highlight w:val="none"/>
        </w:rPr>
        <w:t>以及对该文件的有效修改与补充。</w:t>
      </w:r>
    </w:p>
    <w:p>
      <w:pPr>
        <w:pStyle w:val="15"/>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99添益（安享优选）7天持有期理财合同不可分割组成部分的理财计划销售协议书，以及对该文件的有效修改与补充。</w:t>
      </w:r>
    </w:p>
    <w:p>
      <w:pPr>
        <w:pStyle w:val="15"/>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《理财计划销售协议书》五</w:t>
      </w:r>
      <w:r>
        <w:rPr>
          <w:rFonts w:hint="eastAsia" w:ascii="宋体" w:hAnsi="宋体" w:cs="宋体"/>
          <w:bCs/>
          <w:color w:val="auto"/>
          <w:kern w:val="2"/>
          <w:highlight w:val="none"/>
        </w:rPr>
        <w:t>个部分。</w:t>
      </w:r>
    </w:p>
    <w:p>
      <w:pPr>
        <w:pStyle w:val="15"/>
        <w:numPr>
          <w:ilvl w:val="0"/>
          <w:numId w:val="12"/>
        </w:numPr>
        <w:adjustRightInd/>
        <w:spacing w:line="360" w:lineRule="auto"/>
        <w:ind w:firstLine="482" w:firstLineChars="200"/>
        <w:outlineLvl w:val="9"/>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5"/>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rPr>
        <w:t>添益</w:t>
      </w:r>
      <w:r>
        <w:rPr>
          <w:rFonts w:hint="eastAsia" w:ascii="宋体" w:hAnsi="宋体" w:cs="宋体"/>
          <w:bCs/>
          <w:highlight w:val="none"/>
          <w:lang w:eastAsia="zh-CN"/>
        </w:rPr>
        <w:t>（安享优选）</w:t>
      </w:r>
      <w:r>
        <w:rPr>
          <w:rFonts w:hint="eastAsia" w:ascii="宋体" w:hAnsi="宋体" w:cs="宋体"/>
          <w:bCs/>
          <w:highlight w:val="none"/>
          <w:lang w:val="en-US" w:eastAsia="zh-CN"/>
        </w:rPr>
        <w:t>7</w:t>
      </w:r>
      <w:r>
        <w:rPr>
          <w:rFonts w:hint="eastAsia" w:ascii="宋体" w:hAnsi="宋体" w:cs="宋体"/>
          <w:bCs/>
          <w:highlight w:val="none"/>
          <w:lang w:eastAsia="zh-CN"/>
        </w:rPr>
        <w:t>天</w:t>
      </w:r>
      <w:r>
        <w:rPr>
          <w:rFonts w:hint="eastAsia" w:ascii="宋体" w:hAnsi="宋体" w:cs="宋体"/>
          <w:bCs/>
          <w:highlight w:val="none"/>
        </w:rPr>
        <w:t>持有期理财。</w:t>
      </w:r>
    </w:p>
    <w:p>
      <w:pPr>
        <w:pStyle w:val="15"/>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5"/>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5"/>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5"/>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5"/>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5"/>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5"/>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5"/>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5"/>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5"/>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持有期：</w:t>
      </w:r>
      <w:r>
        <w:rPr>
          <w:rFonts w:hint="eastAsia" w:ascii="宋体" w:hAnsi="宋体" w:cs="宋体"/>
          <w:bCs/>
          <w:color w:val="auto"/>
          <w:kern w:val="2"/>
          <w:highlight w:val="none"/>
        </w:rPr>
        <w:t>指投资者认购</w:t>
      </w:r>
      <w:r>
        <w:rPr>
          <w:rFonts w:hint="eastAsia" w:ascii="宋体" w:hAnsi="宋体" w:cs="宋体"/>
          <w:bCs/>
          <w:color w:val="auto"/>
          <w:kern w:val="2"/>
          <w:highlight w:val="none"/>
          <w:lang w:val="en-US" w:eastAsia="zh-CN"/>
        </w:rPr>
        <w:t>或</w:t>
      </w:r>
      <w:r>
        <w:rPr>
          <w:rFonts w:hint="eastAsia" w:ascii="宋体" w:hAnsi="宋体" w:cs="宋体"/>
          <w:bCs/>
          <w:color w:val="auto"/>
          <w:kern w:val="2"/>
          <w:highlight w:val="none"/>
        </w:rPr>
        <w:t>申购份额后，需持有固定期限后才可进行赎回。</w:t>
      </w:r>
    </w:p>
    <w:p>
      <w:pPr>
        <w:pStyle w:val="15"/>
        <w:numPr>
          <w:ilvl w:val="0"/>
          <w:numId w:val="15"/>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5"/>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5"/>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5"/>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5"/>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5"/>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5"/>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5"/>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5"/>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指管理人向投资者提供申购、赎回交易的时间。</w:t>
      </w:r>
    </w:p>
    <w:p>
      <w:pPr>
        <w:pStyle w:val="15"/>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指管理人确认投资者申购、赎回交易是否有效的日期。</w:t>
      </w:r>
    </w:p>
    <w:p>
      <w:pPr>
        <w:pStyle w:val="15"/>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5"/>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5"/>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5"/>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5"/>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5"/>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5"/>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5"/>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5"/>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5"/>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5"/>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5"/>
        <w:numPr>
          <w:ilvl w:val="0"/>
          <w:numId w:val="12"/>
        </w:numPr>
        <w:adjustRightInd/>
        <w:spacing w:line="360" w:lineRule="auto"/>
        <w:ind w:firstLine="482" w:firstLineChars="200"/>
        <w:outlineLvl w:val="9"/>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5"/>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5"/>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5"/>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5"/>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5"/>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5"/>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5"/>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5"/>
        <w:numPr>
          <w:ilvl w:val="0"/>
          <w:numId w:val="0"/>
        </w:numPr>
        <w:adjustRightInd/>
        <w:spacing w:line="360" w:lineRule="auto"/>
        <w:rPr>
          <w:rFonts w:hint="eastAsia" w:ascii="宋体" w:hAnsi="宋体" w:cs="宋体"/>
          <w:b/>
          <w:color w:val="auto"/>
          <w:kern w:val="2"/>
          <w:highlight w:val="none"/>
        </w:rPr>
      </w:pPr>
    </w:p>
    <w:p>
      <w:pPr>
        <w:pStyle w:val="15"/>
        <w:numPr>
          <w:ilvl w:val="0"/>
          <w:numId w:val="18"/>
        </w:numPr>
        <w:adjustRightInd/>
        <w:spacing w:line="360" w:lineRule="auto"/>
        <w:ind w:firstLine="482" w:firstLineChars="200"/>
        <w:outlineLvl w:val="9"/>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5"/>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9"/>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5"/>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5"/>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5"/>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5"/>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5"/>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5"/>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5"/>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5"/>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5"/>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5"/>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R3</w:t>
            </w:r>
          </w:p>
        </w:tc>
        <w:tc>
          <w:tcPr>
            <w:tcW w:w="1382" w:type="dxa"/>
            <w:noWrap w:val="0"/>
            <w:vAlign w:val="top"/>
          </w:tcPr>
          <w:p>
            <w:pPr>
              <w:pStyle w:val="15"/>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中</w:t>
            </w:r>
          </w:p>
        </w:tc>
        <w:tc>
          <w:tcPr>
            <w:tcW w:w="4755" w:type="dxa"/>
            <w:noWrap w:val="0"/>
            <w:vAlign w:val="top"/>
          </w:tcPr>
          <w:p>
            <w:pPr>
              <w:pStyle w:val="15"/>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平衡型</w:t>
            </w:r>
            <w:r>
              <w:rPr>
                <w:rFonts w:hint="eastAsia" w:ascii="宋体" w:hAnsi="宋体" w:cs="宋体"/>
                <w:b w:val="0"/>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5"/>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5"/>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5"/>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5"/>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5"/>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5"/>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5"/>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投资者风险承受能力评级水平以销售机构评估为准。</w:t>
      </w:r>
    </w:p>
    <w:p>
      <w:pPr>
        <w:pStyle w:val="15"/>
        <w:adjustRightInd/>
        <w:spacing w:line="360" w:lineRule="auto"/>
        <w:rPr>
          <w:rFonts w:hint="eastAsia" w:ascii="宋体" w:hAnsi="宋体" w:cs="宋体"/>
          <w:b/>
          <w:color w:val="auto"/>
          <w:kern w:val="2"/>
          <w:highlight w:val="none"/>
        </w:rPr>
      </w:pPr>
    </w:p>
    <w:p>
      <w:pPr>
        <w:pStyle w:val="15"/>
        <w:numPr>
          <w:ilvl w:val="0"/>
          <w:numId w:val="18"/>
        </w:numPr>
        <w:adjustRightInd/>
        <w:spacing w:line="360" w:lineRule="auto"/>
        <w:outlineLvl w:val="9"/>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9"/>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杭银理财幸福99添益</w:t>
            </w:r>
            <w:r>
              <w:rPr>
                <w:rFonts w:hint="eastAsia" w:ascii="宋体" w:hAnsi="宋体" w:cs="宋体"/>
                <w:sz w:val="21"/>
                <w:szCs w:val="21"/>
                <w:highlight w:val="none"/>
                <w:lang w:eastAsia="zh-CN"/>
              </w:rPr>
              <w:t>（安享优选）7天持有期理财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添益（安享优选）7天持有期理财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TYGC7D2302</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本理财计划在全国银行业理财信息登记系统的登记编码是〖Z7002223000157〗，投资者可依据该编码在“中国理财网（www.chinawealth.com.cn）”查询本理财计划信息。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val="0"/>
                <w:color w:val="000000"/>
                <w:sz w:val="21"/>
                <w:szCs w:val="21"/>
                <w:highlight w:val="none"/>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color w:val="000000"/>
                <w:sz w:val="21"/>
                <w:szCs w:val="21"/>
                <w:highlight w:val="none"/>
                <w:lang w:val="en-US" w:eastAsia="zh-CN"/>
              </w:rPr>
              <w:t>稳健型、</w:t>
            </w:r>
            <w:r>
              <w:rPr>
                <w:rFonts w:hint="eastAsia" w:ascii="宋体" w:hAnsi="宋体" w:cs="宋体"/>
                <w:b/>
                <w:color w:val="000000"/>
                <w:sz w:val="21"/>
                <w:szCs w:val="21"/>
                <w:highlight w:val="none"/>
              </w:rPr>
              <w:t>平衡型、成长型、进取型〗的个人投资者。</w:t>
            </w:r>
            <w:r>
              <w:rPr>
                <w:rFonts w:hint="eastAsia" w:ascii="宋体" w:hAnsi="宋体" w:cs="宋体"/>
                <w:bCs w:val="0"/>
                <w:color w:val="000000"/>
                <w:sz w:val="21"/>
                <w:szCs w:val="21"/>
                <w:highlight w:val="none"/>
              </w:rPr>
              <w:t>投资者风险承受能力评级水平以销售机构评估为准。</w:t>
            </w:r>
          </w:p>
          <w:p>
            <w:pPr>
              <w:widowControl/>
              <w:spacing w:line="360" w:lineRule="auto"/>
              <w:contextualSpacing/>
              <w:rPr>
                <w:rFonts w:hint="eastAsia" w:ascii="宋体" w:hAnsi="宋体" w:cs="宋体"/>
                <w:b w:val="0"/>
                <w:bCs/>
                <w:color w:val="000000"/>
                <w:sz w:val="21"/>
                <w:szCs w:val="21"/>
                <w:highlight w:val="none"/>
                <w:lang w:eastAsia="zh-CN"/>
              </w:rPr>
            </w:pPr>
            <w:r>
              <w:rPr>
                <w:rFonts w:hint="eastAsia" w:ascii="宋体" w:hAnsi="宋体" w:cs="宋体"/>
                <w:b w:val="0"/>
                <w:bCs/>
                <w:color w:val="000000"/>
                <w:sz w:val="21"/>
                <w:szCs w:val="21"/>
                <w:highlight w:val="none"/>
                <w:lang w:eastAsia="zh-CN"/>
              </w:rPr>
              <w:t>其中：</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A份额（销售代码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TYGC7D2302A</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B份额（销售代码</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TYGC7D2302B</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特邀投资者</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C份额（销售代码</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TYGC7D2302C</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其他代销机构</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p>
            <w:pPr>
              <w:widowControl/>
              <w:spacing w:line="360" w:lineRule="auto"/>
              <w:contextualSpacing/>
              <w:rPr>
                <w:rFonts w:hint="default"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D份额（销售名称：杭银理财添益私银尊享（安享优选）7天持有期理财D款）（销售代码</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TYGC7D2302D</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其他代销机构</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E份额（销售代码</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TYGC7D2302E</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特邀客户</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F份额（销售代码</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TYGC7D2302F</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其他代销机构</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G份额（销售代码</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TYGC7D2302G</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特邀投资者</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p>
            <w:pPr>
              <w:widowControl/>
              <w:spacing w:line="360" w:lineRule="auto"/>
              <w:contextualSpacing/>
              <w:rPr>
                <w:rFonts w:hint="default"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H份额（销售代码</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TYGC7D2302H</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其他代销机构</w:t>
            </w:r>
            <w:r>
              <w:rPr>
                <w:rFonts w:hint="eastAsia" w:ascii="宋体" w:hAnsi="宋体" w:cs="宋体"/>
                <w:b w:val="0"/>
                <w:bCs/>
                <w:color w:val="000000"/>
                <w:sz w:val="21"/>
                <w:szCs w:val="21"/>
                <w:highlight w:val="none"/>
                <w:lang w:eastAsia="zh-CN"/>
              </w:rPr>
              <w:t>〗</w:t>
            </w:r>
            <w:r>
              <w:rPr>
                <w:rFonts w:hint="eastAsia" w:ascii="宋体" w:hAnsi="宋体" w:cs="宋体"/>
                <w:color w:val="000000"/>
                <w:sz w:val="21"/>
                <w:szCs w:val="21"/>
                <w:highlight w:val="none"/>
                <w:lang w:eastAsia="zh-CN"/>
              </w:rPr>
              <w:t>发售。</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T份额（销售代码</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TYGC7D2302T</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其他代销机构</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p>
            <w:pPr>
              <w:widowControl/>
              <w:spacing w:line="360" w:lineRule="auto"/>
              <w:contextualSpacing/>
              <w:rPr>
                <w:rFonts w:hint="default"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Z份额（销售代码</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TYGC7D2302Z</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其他代销机构</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eastAsia="zh-CN"/>
              </w:rPr>
              <w:t>否</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可通过杭银理财直销渠道</w:t>
            </w:r>
            <w:r>
              <w:rPr>
                <w:rFonts w:hint="eastAsia" w:ascii="宋体" w:hAnsi="宋体" w:cs="宋体"/>
                <w:color w:val="000000"/>
                <w:sz w:val="21"/>
                <w:szCs w:val="21"/>
                <w:highlight w:val="none"/>
                <w:lang w:eastAsia="zh-CN"/>
              </w:rPr>
              <w:t>和代理</w:t>
            </w:r>
            <w:r>
              <w:rPr>
                <w:rFonts w:hint="eastAsia" w:ascii="宋体" w:hAnsi="宋体" w:cs="宋体"/>
                <w:color w:val="000000"/>
                <w:sz w:val="21"/>
                <w:szCs w:val="21"/>
                <w:highlight w:val="none"/>
              </w:rPr>
              <w:t>销售机构的〖营业网点、网上银行、手机银行〗等渠道购买</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通过代理销售机构购买的，具体销售渠道以代理销售机构披露为准。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numPr>
                <w:ilvl w:val="0"/>
                <w:numId w:val="19"/>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B、C、E、F、G、H、T、Z份额合计：</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500</w:t>
            </w:r>
            <w:r>
              <w:rPr>
                <w:rFonts w:hint="eastAsia" w:ascii="宋体" w:hAnsi="宋体" w:cs="宋体"/>
                <w:color w:val="000000"/>
                <w:sz w:val="21"/>
                <w:szCs w:val="21"/>
                <w:highlight w:val="none"/>
              </w:rPr>
              <w:t>〗亿元</w:t>
            </w:r>
          </w:p>
          <w:p>
            <w:pPr>
              <w:widowControl/>
              <w:numPr>
                <w:ilvl w:val="0"/>
                <w:numId w:val="0"/>
              </w:numPr>
              <w:spacing w:line="360" w:lineRule="auto"/>
              <w:contextualSpacing/>
              <w:jc w:val="both"/>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D份额：</w:t>
            </w:r>
            <w:r>
              <w:rPr>
                <w:rFonts w:hint="eastAsia" w:ascii="宋体" w:hAnsi="宋体" w:cs="宋体"/>
                <w:color w:val="000000"/>
                <w:sz w:val="21"/>
                <w:szCs w:val="21"/>
              </w:rPr>
              <w:t>〖</w:t>
            </w:r>
            <w:r>
              <w:rPr>
                <w:rFonts w:hint="eastAsia" w:ascii="宋体" w:hAnsi="宋体" w:cs="宋体"/>
                <w:color w:val="000000"/>
                <w:sz w:val="21"/>
                <w:szCs w:val="21"/>
                <w:lang w:val="en-US" w:eastAsia="zh-CN"/>
              </w:rPr>
              <w:t>10</w:t>
            </w:r>
            <w:r>
              <w:rPr>
                <w:rFonts w:hint="eastAsia" w:ascii="宋体" w:hAnsi="宋体" w:cs="宋体"/>
                <w:color w:val="000000"/>
                <w:sz w:val="21"/>
                <w:szCs w:val="21"/>
              </w:rPr>
              <w:t>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2023</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6</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29</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2023</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w:t>
            </w:r>
            <w:r>
              <w:rPr>
                <w:rFonts w:hint="eastAsia" w:ascii="宋体" w:hAnsi="宋体" w:cs="宋体"/>
                <w:color w:val="000000"/>
                <w:sz w:val="21"/>
                <w:szCs w:val="21"/>
                <w:highlight w:val="none"/>
                <w:lang w:eastAsia="zh-CN"/>
              </w:rPr>
              <w:t>17:00</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2023</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6</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封闭期</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2023</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6</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2023</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12</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rPr>
              <w:t>〖</w:t>
            </w:r>
            <w:r>
              <w:rPr>
                <w:rFonts w:ascii="宋体" w:hAnsi="宋体" w:cs="宋体"/>
                <w:sz w:val="21"/>
                <w:szCs w:val="21"/>
              </w:rPr>
              <w:t>D</w:t>
            </w:r>
            <w:r>
              <w:rPr>
                <w:rFonts w:hint="eastAsia" w:ascii="宋体" w:hAnsi="宋体" w:cs="宋体"/>
                <w:bCs/>
                <w:sz w:val="21"/>
                <w:szCs w:val="21"/>
              </w:rPr>
              <w:t>份额</w:t>
            </w:r>
            <w:r>
              <w:rPr>
                <w:rFonts w:hint="eastAsia" w:ascii="宋体" w:hAnsi="宋体" w:cs="宋体"/>
                <w:sz w:val="21"/>
                <w:szCs w:val="21"/>
              </w:rPr>
              <w:t>〗</w:t>
            </w:r>
            <w:r>
              <w:rPr>
                <w:rFonts w:hint="eastAsia" w:ascii="宋体" w:hAnsi="宋体" w:cs="宋体"/>
                <w:bCs/>
                <w:sz w:val="21"/>
                <w:szCs w:val="21"/>
              </w:rPr>
              <w:t>，经代销机构评定为私银客户的投资起点为〖</w:t>
            </w:r>
            <w:r>
              <w:rPr>
                <w:rFonts w:ascii="宋体" w:hAnsi="宋体" w:cs="宋体"/>
                <w:bCs/>
                <w:sz w:val="21"/>
                <w:szCs w:val="21"/>
              </w:rPr>
              <w:t>1</w:t>
            </w:r>
            <w:r>
              <w:rPr>
                <w:rFonts w:hint="eastAsia" w:ascii="宋体" w:hAnsi="宋体" w:cs="宋体"/>
                <w:bCs/>
                <w:sz w:val="21"/>
                <w:szCs w:val="21"/>
              </w:rPr>
              <w:t>〗元整，非私银客户的投资起点为〖600万〗元整，超过认购/申购起点部分，应为〖1〗元的整数倍。</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E</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300万</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F</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G</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500</w:t>
            </w:r>
            <w:r>
              <w:rPr>
                <w:rFonts w:hint="eastAsia" w:ascii="宋体" w:hAnsi="宋体" w:cs="宋体"/>
                <w:sz w:val="21"/>
                <w:szCs w:val="21"/>
                <w:highlight w:val="none"/>
              </w:rPr>
              <w:t>〗</w:t>
            </w:r>
            <w:r>
              <w:rPr>
                <w:rFonts w:hint="eastAsia" w:ascii="宋体" w:hAnsi="宋体" w:cs="宋体"/>
                <w:sz w:val="21"/>
                <w:szCs w:val="21"/>
                <w:highlight w:val="none"/>
                <w:lang w:val="en-US" w:eastAsia="zh-CN"/>
              </w:rPr>
              <w:t>万</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eastAsia="zh-CN"/>
              </w:rPr>
              <w:br w:type="textWrapping"/>
            </w:r>
            <w:r>
              <w:rPr>
                <w:rFonts w:hint="eastAsia" w:ascii="宋体" w:hAnsi="宋体" w:cs="宋体"/>
                <w:sz w:val="21"/>
                <w:szCs w:val="21"/>
                <w:highlight w:val="none"/>
              </w:rPr>
              <w:t>〖</w:t>
            </w:r>
            <w:r>
              <w:rPr>
                <w:rFonts w:hint="eastAsia" w:ascii="宋体" w:hAnsi="宋体" w:cs="宋体"/>
                <w:sz w:val="21"/>
                <w:szCs w:val="21"/>
                <w:highlight w:val="none"/>
                <w:lang w:val="en-US" w:eastAsia="zh-CN"/>
              </w:rPr>
              <w:t>H</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T</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5</w:t>
            </w:r>
            <w:r>
              <w:rPr>
                <w:rFonts w:hint="eastAsia" w:ascii="宋体" w:hAnsi="宋体" w:cs="宋体"/>
                <w:sz w:val="21"/>
                <w:szCs w:val="21"/>
                <w:highlight w:val="none"/>
              </w:rPr>
              <w:t>〗</w:t>
            </w:r>
            <w:r>
              <w:rPr>
                <w:rFonts w:hint="eastAsia" w:ascii="宋体" w:hAnsi="宋体" w:cs="宋体"/>
                <w:sz w:val="21"/>
                <w:szCs w:val="21"/>
                <w:highlight w:val="none"/>
                <w:lang w:val="en-US" w:eastAsia="zh-CN"/>
              </w:rPr>
              <w:t>万</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bCs/>
                <w:color w:val="FF0000"/>
                <w:sz w:val="21"/>
                <w:szCs w:val="21"/>
                <w:highlight w:val="none"/>
                <w:lang w:val="en-US" w:eastAsia="zh-CN"/>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Z</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50</w:t>
            </w:r>
            <w:r>
              <w:rPr>
                <w:rFonts w:hint="eastAsia" w:ascii="宋体" w:hAnsi="宋体" w:cs="宋体"/>
                <w:sz w:val="21"/>
                <w:szCs w:val="21"/>
                <w:highlight w:val="none"/>
              </w:rPr>
              <w:t>〗</w:t>
            </w:r>
            <w:r>
              <w:rPr>
                <w:rFonts w:hint="eastAsia" w:ascii="宋体" w:hAnsi="宋体" w:cs="宋体"/>
                <w:sz w:val="21"/>
                <w:szCs w:val="21"/>
                <w:highlight w:val="none"/>
                <w:lang w:val="en-US" w:eastAsia="zh-CN"/>
              </w:rPr>
              <w:t>万</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万元，则管理人可宣布本理财计划不成立并在原定理财计划成立日后</w:t>
            </w:r>
            <w:r>
              <w:rPr>
                <w:rFonts w:hint="eastAsia" w:ascii="宋体" w:hAnsi="宋体" w:cs="宋体"/>
                <w:sz w:val="21"/>
                <w:szCs w:val="21"/>
                <w:highlight w:val="none"/>
              </w:rPr>
              <w:t>〖</w:t>
            </w:r>
            <w:r>
              <w:rPr>
                <w:rFonts w:hint="eastAsia" w:ascii="宋体" w:hAnsi="宋体" w:cs="宋体"/>
                <w:color w:val="000000"/>
                <w:sz w:val="21"/>
                <w:szCs w:val="21"/>
                <w:highlight w:val="none"/>
              </w:rPr>
              <w:t>2</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color w:val="000000"/>
                <w:sz w:val="21"/>
                <w:szCs w:val="21"/>
                <w:highlight w:val="none"/>
                <w:lang w:val="en-US" w:eastAsia="zh-CN"/>
              </w:rPr>
              <w:t>的</w:t>
            </w:r>
            <w:r>
              <w:rPr>
                <w:rFonts w:hint="eastAsia" w:ascii="宋体" w:hAnsi="宋体" w:cs="宋体"/>
                <w:color w:val="000000"/>
                <w:sz w:val="21"/>
                <w:szCs w:val="21"/>
                <w:highlight w:val="none"/>
              </w:rPr>
              <w:t>开放期为〖封闭期后的每个交易日〗。如遇特殊情况，则以管理人公告为准。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持有期</w:t>
            </w:r>
          </w:p>
        </w:tc>
        <w:tc>
          <w:tcPr>
            <w:tcW w:w="7185" w:type="dxa"/>
            <w:noWrap w:val="0"/>
            <w:vAlign w:val="center"/>
          </w:tcPr>
          <w:p>
            <w:pPr>
              <w:widowControl/>
              <w:spacing w:line="360" w:lineRule="auto"/>
              <w:contextualSpacing/>
              <w:jc w:val="left"/>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rPr>
              <w:t>本理财计划的持有期为</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，投资者认购/申购份额确认成功后，每一笔份额需自产品成立日（含）/确认日（含）起最低持有满</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后方可按规则申请赎回。如投资者多次购买产品，其中持有</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及以上的份额，可申请赎回；持有</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以内的份额，不可申请赎回。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1.本理财计划在每个开放期的工作时间均可进行申购</w:t>
            </w:r>
            <w:r>
              <w:rPr>
                <w:rFonts w:hint="eastAsia" w:ascii="宋体" w:hAnsi="宋体" w:cs="宋体"/>
                <w:color w:val="000000"/>
                <w:sz w:val="21"/>
                <w:szCs w:val="21"/>
                <w:highlight w:val="none"/>
                <w:lang w:val="en-US" w:eastAsia="zh-CN"/>
              </w:rPr>
              <w:t>和撤单</w:t>
            </w:r>
            <w:r>
              <w:rPr>
                <w:rFonts w:hint="eastAsia" w:ascii="宋体" w:hAnsi="宋体" w:cs="宋体"/>
                <w:color w:val="000000"/>
                <w:sz w:val="21"/>
                <w:szCs w:val="21"/>
                <w:highlight w:val="none"/>
              </w:rPr>
              <w:t>，申购申请将在申购确认日，即</w:t>
            </w:r>
            <w:r>
              <w:rPr>
                <w:rFonts w:hint="eastAsia" w:ascii="宋体" w:hAnsi="宋体" w:cs="宋体"/>
                <w:color w:val="000000"/>
                <w:sz w:val="21"/>
                <w:szCs w:val="21"/>
                <w:highlight w:val="none"/>
                <w:lang w:val="en-US" w:eastAsia="zh-CN"/>
              </w:rPr>
              <w:t>申购申请日后</w:t>
            </w:r>
            <w:r>
              <w:rPr>
                <w:rFonts w:hint="eastAsia" w:ascii="宋体" w:hAnsi="宋体" w:cs="宋体"/>
                <w:color w:val="000000"/>
                <w:sz w:val="21"/>
                <w:szCs w:val="21"/>
                <w:highlight w:val="none"/>
              </w:rPr>
              <w:t>的第</w:t>
            </w:r>
            <w:r>
              <w:rPr>
                <w:rFonts w:hint="eastAsia" w:ascii="宋体" w:hAnsi="宋体" w:cs="宋体"/>
                <w:sz w:val="21"/>
                <w:szCs w:val="21"/>
                <w:highlight w:val="none"/>
              </w:rPr>
              <w:t>〖1〗个</w:t>
            </w:r>
            <w:r>
              <w:rPr>
                <w:rFonts w:hint="eastAsia" w:ascii="宋体" w:hAnsi="宋体" w:cs="宋体"/>
                <w:sz w:val="21"/>
                <w:szCs w:val="21"/>
                <w:highlight w:val="none"/>
                <w:lang w:val="en-US" w:eastAsia="zh-CN"/>
              </w:rPr>
              <w:t>交易</w:t>
            </w:r>
            <w:r>
              <w:rPr>
                <w:rFonts w:hint="eastAsia" w:ascii="宋体" w:hAnsi="宋体" w:cs="宋体"/>
                <w:bCs/>
                <w:sz w:val="21"/>
                <w:szCs w:val="21"/>
                <w:highlight w:val="none"/>
              </w:rPr>
              <w:t>日进行确认。</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2.满足最低持有期后</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本理财计划在每个开放期的工作时间均可进行赎回</w:t>
            </w:r>
            <w:r>
              <w:rPr>
                <w:rFonts w:hint="eastAsia" w:ascii="宋体" w:hAnsi="宋体" w:cs="宋体"/>
                <w:color w:val="000000"/>
                <w:sz w:val="21"/>
                <w:szCs w:val="21"/>
                <w:highlight w:val="none"/>
                <w:lang w:val="en-US" w:eastAsia="zh-CN"/>
              </w:rPr>
              <w:t>和撤单</w:t>
            </w:r>
            <w:r>
              <w:rPr>
                <w:rFonts w:hint="eastAsia" w:ascii="宋体" w:hAnsi="宋体" w:cs="宋体"/>
                <w:color w:val="000000"/>
                <w:sz w:val="21"/>
                <w:szCs w:val="21"/>
                <w:highlight w:val="none"/>
              </w:rPr>
              <w:t>，赎回申请将在赎回确认日，即</w:t>
            </w:r>
            <w:r>
              <w:rPr>
                <w:rFonts w:hint="eastAsia" w:ascii="宋体" w:hAnsi="宋体" w:cs="宋体"/>
                <w:color w:val="000000"/>
                <w:sz w:val="21"/>
                <w:szCs w:val="21"/>
                <w:highlight w:val="none"/>
                <w:lang w:val="en-US" w:eastAsia="zh-CN"/>
              </w:rPr>
              <w:t>赎回申请日</w:t>
            </w:r>
            <w:r>
              <w:rPr>
                <w:rFonts w:hint="eastAsia" w:ascii="宋体" w:hAnsi="宋体" w:cs="宋体"/>
                <w:color w:val="000000"/>
                <w:sz w:val="21"/>
                <w:szCs w:val="21"/>
                <w:highlight w:val="none"/>
              </w:rPr>
              <w:t>后的第</w:t>
            </w:r>
            <w:r>
              <w:rPr>
                <w:rFonts w:hint="eastAsia" w:ascii="宋体" w:hAnsi="宋体" w:cs="宋体"/>
                <w:sz w:val="21"/>
                <w:szCs w:val="21"/>
                <w:highlight w:val="none"/>
              </w:rPr>
              <w:t>〖1〗个</w:t>
            </w:r>
            <w:r>
              <w:rPr>
                <w:rFonts w:hint="eastAsia" w:ascii="宋体" w:hAnsi="宋体" w:cs="宋体"/>
                <w:sz w:val="21"/>
                <w:szCs w:val="21"/>
                <w:highlight w:val="none"/>
                <w:lang w:val="en-US" w:eastAsia="zh-CN"/>
              </w:rPr>
              <w:t>交易</w:t>
            </w:r>
            <w:r>
              <w:rPr>
                <w:rFonts w:hint="eastAsia" w:ascii="宋体" w:hAnsi="宋体" w:cs="宋体"/>
                <w:bCs/>
                <w:sz w:val="21"/>
                <w:szCs w:val="21"/>
                <w:highlight w:val="none"/>
              </w:rPr>
              <w:t>日进行确认。</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cs="宋体"/>
                <w:color w:val="auto"/>
                <w:kern w:val="2"/>
                <w:sz w:val="21"/>
                <w:szCs w:val="21"/>
                <w:highlight w:val="none"/>
              </w:rPr>
              <w:t>在交易日的</w:t>
            </w:r>
            <w:r>
              <w:rPr>
                <w:rFonts w:hint="eastAsia" w:ascii="宋体" w:hAnsi="宋体" w:cs="宋体"/>
                <w:color w:val="auto"/>
                <w:kern w:val="2"/>
                <w:sz w:val="21"/>
                <w:szCs w:val="21"/>
                <w:highlight w:val="none"/>
                <w:lang w:eastAsia="zh-CN"/>
              </w:rPr>
              <w:t>17:00</w:t>
            </w:r>
            <w:r>
              <w:rPr>
                <w:rFonts w:hint="eastAsia" w:ascii="宋体" w:hAnsi="宋体" w:cs="宋体"/>
                <w:color w:val="auto"/>
                <w:kern w:val="2"/>
                <w:sz w:val="21"/>
                <w:szCs w:val="21"/>
                <w:highlight w:val="none"/>
              </w:rPr>
              <w:t>之前提交的申购和赎回申请，申请日为提出申请当日；在交易日</w:t>
            </w:r>
            <w:r>
              <w:rPr>
                <w:rFonts w:hint="eastAsia" w:ascii="宋体" w:hAnsi="宋体" w:cs="宋体"/>
                <w:color w:val="auto"/>
                <w:kern w:val="2"/>
                <w:sz w:val="21"/>
                <w:szCs w:val="21"/>
                <w:highlight w:val="none"/>
                <w:lang w:eastAsia="zh-CN"/>
              </w:rPr>
              <w:t>17:00</w:t>
            </w:r>
            <w:r>
              <w:rPr>
                <w:rFonts w:hint="eastAsia" w:ascii="宋体" w:hAnsi="宋体" w:cs="宋体"/>
                <w:color w:val="auto"/>
                <w:kern w:val="2"/>
                <w:sz w:val="21"/>
                <w:szCs w:val="21"/>
                <w:highlight w:val="none"/>
              </w:rPr>
              <w:t>之后及非交易日提交的申购和赎回申请，申请日为提出申请日的下一交易日</w:t>
            </w:r>
            <w:r>
              <w:rPr>
                <w:rFonts w:hint="eastAsia" w:ascii="宋体" w:hAnsi="宋体" w:cs="宋体"/>
                <w:color w:val="auto"/>
                <w:kern w:val="2"/>
                <w:sz w:val="21"/>
                <w:szCs w:val="21"/>
                <w:highlight w:val="none"/>
                <w:lang w:eastAsia="zh-CN"/>
              </w:rPr>
              <w:t>。</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.工作时间为每个</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日上午〖9:00〗至下午〖</w:t>
            </w:r>
            <w:r>
              <w:rPr>
                <w:rFonts w:hint="eastAsia" w:ascii="宋体" w:hAnsi="宋体" w:cs="宋体"/>
                <w:color w:val="000000"/>
                <w:sz w:val="21"/>
                <w:szCs w:val="21"/>
                <w:highlight w:val="none"/>
                <w:lang w:eastAsia="zh-CN"/>
              </w:rPr>
              <w:t>17:00</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default" w:ascii="宋体" w:hAnsi="宋体" w:eastAsia="宋体" w:cs="宋体"/>
                <w:bCs/>
                <w:color w:val="FF0000"/>
                <w:sz w:val="21"/>
                <w:szCs w:val="21"/>
                <w:highlight w:val="none"/>
                <w:lang w:val="en-US" w:eastAsia="zh-CN"/>
              </w:rPr>
            </w:pPr>
            <w:r>
              <w:rPr>
                <w:rFonts w:hint="eastAsia" w:ascii="宋体" w:hAnsi="宋体" w:cs="宋体"/>
                <w:bCs/>
                <w:color w:val="auto"/>
                <w:sz w:val="21"/>
                <w:szCs w:val="21"/>
                <w:highlight w:val="none"/>
                <w:lang w:val="en-US" w:eastAsia="zh-CN"/>
              </w:rPr>
              <w:t>5.上述交易安排如有调整，请以管理人公告为准。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numPr>
                <w:ilvl w:val="0"/>
                <w:numId w:val="20"/>
              </w:numPr>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lang w:val="en-US" w:eastAsia="zh-CN"/>
              </w:rPr>
              <w:t>B、C、D、F、H、T、Z份额：</w:t>
            </w:r>
            <w:r>
              <w:rPr>
                <w:rFonts w:hint="eastAsia" w:ascii="宋体" w:hAnsi="宋体" w:cs="宋体"/>
                <w:sz w:val="21"/>
                <w:szCs w:val="21"/>
                <w:highlight w:val="none"/>
              </w:rPr>
              <w:t>单户持有上限〖</w:t>
            </w:r>
            <w:r>
              <w:rPr>
                <w:rFonts w:hint="eastAsia" w:ascii="宋体" w:hAnsi="宋体" w:cs="宋体"/>
                <w:sz w:val="21"/>
                <w:szCs w:val="21"/>
                <w:highlight w:val="none"/>
                <w:lang w:val="en-US" w:eastAsia="zh-CN"/>
              </w:rPr>
              <w:t>1亿</w:t>
            </w:r>
            <w:r>
              <w:rPr>
                <w:rFonts w:hint="eastAsia" w:ascii="宋体" w:hAnsi="宋体" w:cs="宋体"/>
                <w:sz w:val="21"/>
                <w:szCs w:val="21"/>
                <w:highlight w:val="none"/>
              </w:rPr>
              <w:t>〗元。</w:t>
            </w:r>
          </w:p>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E份额：</w:t>
            </w:r>
            <w:r>
              <w:rPr>
                <w:rFonts w:hint="eastAsia" w:ascii="宋体" w:hAnsi="宋体" w:cs="宋体"/>
                <w:sz w:val="21"/>
                <w:szCs w:val="21"/>
                <w:highlight w:val="none"/>
              </w:rPr>
              <w:t>单户持有上限〖</w:t>
            </w:r>
            <w:r>
              <w:rPr>
                <w:rFonts w:hint="eastAsia" w:ascii="宋体" w:hAnsi="宋体" w:cs="宋体"/>
                <w:sz w:val="21"/>
                <w:szCs w:val="21"/>
                <w:highlight w:val="none"/>
                <w:lang w:val="en-US" w:eastAsia="zh-CN"/>
              </w:rPr>
              <w:t>5亿</w:t>
            </w:r>
            <w:r>
              <w:rPr>
                <w:rFonts w:hint="eastAsia" w:ascii="宋体" w:hAnsi="宋体" w:cs="宋体"/>
                <w:sz w:val="21"/>
                <w:szCs w:val="21"/>
                <w:highlight w:val="none"/>
              </w:rPr>
              <w:t>〗元</w:t>
            </w:r>
            <w:r>
              <w:rPr>
                <w:rFonts w:hint="eastAsia" w:ascii="宋体" w:hAnsi="宋体" w:cs="宋体"/>
                <w:sz w:val="21"/>
                <w:szCs w:val="21"/>
                <w:highlight w:val="none"/>
                <w:lang w:eastAsia="zh-CN"/>
              </w:rPr>
              <w:t>。</w:t>
            </w:r>
          </w:p>
          <w:p>
            <w:pPr>
              <w:widowControl/>
              <w:spacing w:line="360" w:lineRule="auto"/>
              <w:contextualSpacing/>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G份额：</w:t>
            </w:r>
            <w:r>
              <w:rPr>
                <w:rFonts w:hint="eastAsia" w:ascii="宋体" w:hAnsi="宋体" w:cs="宋体"/>
                <w:sz w:val="21"/>
                <w:szCs w:val="21"/>
                <w:highlight w:val="none"/>
              </w:rPr>
              <w:t>单日单户赎回上限〖</w:t>
            </w:r>
            <w:r>
              <w:rPr>
                <w:rFonts w:hint="eastAsia" w:ascii="宋体" w:hAnsi="宋体" w:cs="宋体"/>
                <w:sz w:val="21"/>
                <w:szCs w:val="21"/>
                <w:highlight w:val="none"/>
                <w:lang w:val="en-US" w:eastAsia="zh-CN"/>
              </w:rPr>
              <w:t>3亿</w:t>
            </w:r>
            <w:r>
              <w:rPr>
                <w:rFonts w:hint="eastAsia" w:ascii="宋体" w:hAnsi="宋体" w:cs="宋体"/>
                <w:sz w:val="21"/>
                <w:szCs w:val="21"/>
                <w:highlight w:val="none"/>
              </w:rPr>
              <w:t>〗元</w:t>
            </w:r>
            <w:r>
              <w:rPr>
                <w:rFonts w:hint="eastAsia" w:ascii="宋体" w:hAnsi="宋体" w:cs="宋体"/>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即在单个确认日，对单一投资者提出的可能导致赎回金额超过赎回上限的申请，管理人有权拒绝。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六</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color w:val="000000"/>
                <w:sz w:val="21"/>
                <w:szCs w:val="21"/>
                <w:highlight w:val="none"/>
                <w:lang w:val="en-US" w:eastAsia="zh-CN"/>
              </w:rPr>
              <w:t>小数点六位以后去尾。</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color w:val="000000"/>
                <w:sz w:val="21"/>
                <w:szCs w:val="21"/>
                <w:highlight w:val="none"/>
                <w:lang w:val="en-US" w:eastAsia="zh-CN"/>
              </w:rPr>
              <w:t>于确认日当</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，最晚</w:t>
            </w:r>
            <w:r>
              <w:rPr>
                <w:rFonts w:hint="eastAsia" w:ascii="宋体" w:hAnsi="宋体" w:cs="宋体"/>
                <w:color w:val="000000"/>
                <w:sz w:val="21"/>
                <w:szCs w:val="21"/>
                <w:highlight w:val="none"/>
                <w:lang w:val="en-US" w:eastAsia="zh-CN"/>
              </w:rPr>
              <w:t>于确认日后</w:t>
            </w:r>
            <w:r>
              <w:rPr>
                <w:rFonts w:hint="eastAsia" w:ascii="宋体" w:hAnsi="宋体" w:cs="宋体"/>
                <w:sz w:val="21"/>
                <w:szCs w:val="21"/>
                <w:highlight w:val="none"/>
              </w:rPr>
              <w:t>〖</w:t>
            </w:r>
            <w:r>
              <w:rPr>
                <w:rFonts w:hint="eastAsia" w:ascii="宋体" w:hAnsi="宋体" w:cs="宋体"/>
                <w:sz w:val="21"/>
                <w:szCs w:val="21"/>
                <w:highlight w:val="none"/>
                <w:lang w:val="en-US" w:eastAsia="zh-CN"/>
              </w:rPr>
              <w:t>2</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交易日</w:t>
            </w:r>
            <w:r>
              <w:rPr>
                <w:rFonts w:hint="eastAsia" w:ascii="宋体" w:hAnsi="宋体" w:cs="宋体"/>
                <w:color w:val="000000"/>
                <w:sz w:val="21"/>
                <w:szCs w:val="21"/>
                <w:highlight w:val="none"/>
              </w:rPr>
              <w:t>内（遇节假日顺延）理财资金与收益一次性支付。如遇资金在途或法定</w:t>
            </w:r>
            <w:r>
              <w:rPr>
                <w:rFonts w:hint="eastAsia" w:ascii="宋体" w:hAnsi="宋体" w:cs="宋体"/>
                <w:color w:val="000000"/>
                <w:sz w:val="21"/>
                <w:szCs w:val="21"/>
                <w:highlight w:val="none"/>
                <w:lang w:val="en-US" w:eastAsia="zh-CN"/>
              </w:rPr>
              <w:t>工作</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color w:val="000000"/>
                <w:sz w:val="21"/>
                <w:szCs w:val="21"/>
                <w:highlight w:val="none"/>
                <w:lang w:val="en-US" w:eastAsia="zh-CN"/>
              </w:rPr>
              <w:t>于到期日后〖1〗个交易</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，最晚</w:t>
            </w:r>
            <w:r>
              <w:rPr>
                <w:rFonts w:hint="eastAsia" w:ascii="宋体" w:hAnsi="宋体" w:cs="宋体"/>
                <w:color w:val="000000"/>
                <w:sz w:val="21"/>
                <w:szCs w:val="21"/>
                <w:highlight w:val="none"/>
                <w:lang w:val="en-US" w:eastAsia="zh-CN"/>
              </w:rPr>
              <w:t>于到期日后</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交易日</w:t>
            </w:r>
            <w:r>
              <w:rPr>
                <w:rFonts w:hint="eastAsia" w:ascii="宋体" w:hAnsi="宋体" w:cs="宋体"/>
                <w:color w:val="000000"/>
                <w:sz w:val="21"/>
                <w:szCs w:val="21"/>
                <w:highlight w:val="none"/>
              </w:rPr>
              <w:t>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在满足收益分配基准日理财计划份额净值大于1元的情况下，管理人将</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color w:val="000000"/>
                <w:sz w:val="21"/>
                <w:szCs w:val="21"/>
                <w:highlight w:val="none"/>
                <w:lang w:val="en-US" w:eastAsia="zh-CN"/>
              </w:rPr>
              <w:t>中国人民银行公布的7天通知存款利率</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lang w:val="en-US"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各份额</w:t>
            </w:r>
            <w:r>
              <w:rPr>
                <w:rFonts w:hint="eastAsia" w:ascii="宋体" w:hAnsi="宋体" w:cs="宋体"/>
                <w:sz w:val="21"/>
                <w:szCs w:val="21"/>
                <w:highlight w:val="none"/>
              </w:rPr>
              <w:t>业绩比较基准为〖</w:t>
            </w:r>
            <w:r>
              <w:rPr>
                <w:rFonts w:hint="eastAsia" w:ascii="宋体" w:hAnsi="宋体" w:cs="宋体"/>
                <w:color w:val="000000"/>
                <w:sz w:val="21"/>
                <w:szCs w:val="21"/>
                <w:highlight w:val="none"/>
                <w:lang w:val="en-US" w:eastAsia="zh-CN"/>
              </w:rPr>
              <w:t>中国人民银行公布的7天通知存款利率</w:t>
            </w:r>
            <w:r>
              <w:rPr>
                <w:rFonts w:hint="eastAsia" w:ascii="宋体" w:hAnsi="宋体" w:cs="宋体"/>
                <w:sz w:val="21"/>
                <w:szCs w:val="21"/>
                <w:highlight w:val="none"/>
              </w:rPr>
              <w:t>〗（年化）</w:t>
            </w:r>
          </w:p>
          <w:p>
            <w:pPr>
              <w:widowControl/>
              <w:spacing w:line="360" w:lineRule="auto"/>
              <w:jc w:val="left"/>
              <w:rPr>
                <w:rFonts w:hint="eastAsia" w:ascii="宋体" w:hAnsi="宋体" w:cs="宋体"/>
                <w:b/>
                <w:bCs/>
                <w:sz w:val="21"/>
                <w:szCs w:val="21"/>
                <w:highlight w:val="none"/>
              </w:rPr>
            </w:pPr>
            <w:r>
              <w:rPr>
                <w:rFonts w:hint="eastAsia" w:ascii="宋体" w:hAnsi="宋体" w:cs="宋体"/>
                <w:b/>
                <w:bCs/>
                <w:sz w:val="21"/>
                <w:szCs w:val="21"/>
                <w:highlight w:val="none"/>
              </w:rPr>
              <w:t>业绩基准测算依据：本理财计划</w:t>
            </w:r>
            <w:r>
              <w:rPr>
                <w:rFonts w:hint="eastAsia" w:ascii="宋体" w:hAnsi="宋体" w:cs="宋体"/>
                <w:b/>
                <w:bCs/>
                <w:sz w:val="21"/>
                <w:szCs w:val="21"/>
                <w:highlight w:val="none"/>
                <w:lang w:val="en-US" w:eastAsia="zh-CN"/>
              </w:rPr>
              <w:t>重点</w:t>
            </w:r>
            <w:r>
              <w:rPr>
                <w:rFonts w:hint="eastAsia" w:ascii="宋体" w:hAnsi="宋体" w:cs="宋体"/>
                <w:b/>
                <w:bCs/>
                <w:sz w:val="21"/>
                <w:szCs w:val="21"/>
                <w:highlight w:val="none"/>
              </w:rPr>
              <w:t>投资于</w:t>
            </w:r>
            <w:r>
              <w:rPr>
                <w:rFonts w:hint="eastAsia" w:ascii="宋体" w:hAnsi="宋体" w:cs="宋体"/>
                <w:b/>
                <w:bCs/>
                <w:sz w:val="21"/>
                <w:szCs w:val="21"/>
                <w:highlight w:val="none"/>
                <w:lang w:val="en-US" w:eastAsia="zh-CN"/>
              </w:rPr>
              <w:t>同业存单、存款、信用债等资产，根据当前市场环境，拟投资产收益率在1.5%-3.5%左右，同时根据流动性管理需要和监管要求配置不低于5%的高流动性资产</w:t>
            </w:r>
            <w:r>
              <w:rPr>
                <w:rFonts w:hint="eastAsia" w:ascii="宋体" w:hAnsi="宋体" w:cs="宋体"/>
                <w:b/>
                <w:bCs/>
                <w:sz w:val="21"/>
                <w:szCs w:val="21"/>
                <w:highlight w:val="none"/>
              </w:rPr>
              <w:t>。</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2</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本理财计划为净值型理财产品，其业绩表现将随市场波动具有不确定性。本公司提醒投资者关注，业绩比较基准</w:t>
            </w:r>
            <w:r>
              <w:rPr>
                <w:rFonts w:hint="eastAsia" w:ascii="宋体" w:hAnsi="宋体" w:cs="宋体"/>
                <w:b/>
                <w:sz w:val="21"/>
                <w:szCs w:val="21"/>
                <w:highlight w:val="none"/>
                <w:lang w:val="en-US" w:eastAsia="zh-CN"/>
              </w:rPr>
              <w:t>不是预期收益率，并</w:t>
            </w:r>
            <w:r>
              <w:rPr>
                <w:rFonts w:hint="eastAsia" w:ascii="宋体" w:hAnsi="宋体" w:cs="宋体"/>
                <w:b/>
                <w:sz w:val="21"/>
                <w:szCs w:val="21"/>
                <w:highlight w:val="none"/>
              </w:rPr>
              <w:t>不代表理财计划的未来表现和实际收益，也不构成对理财计划收益的承诺。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D</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E</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F</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G</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H</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T</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Z</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0.10%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val="en-US"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D</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0.45%</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val="en-US"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E</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val="en-US"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F</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0.50%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val="en-US"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G</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val="en-US"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H</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val="en-US"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T</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val="en-US"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Z</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0.15%</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bCs/>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7.浮动管理费。本理财计划免除</w:t>
            </w:r>
            <w:r>
              <w:rPr>
                <w:rFonts w:hint="eastAsia" w:ascii="宋体" w:hAnsi="宋体" w:cs="宋体"/>
                <w:color w:val="000000"/>
                <w:sz w:val="21"/>
                <w:szCs w:val="21"/>
                <w:highlight w:val="none"/>
                <w:lang w:val="en-US" w:eastAsia="zh-CN"/>
              </w:rPr>
              <w:t>浮动管理</w:t>
            </w:r>
            <w:r>
              <w:rPr>
                <w:rFonts w:hint="eastAsia" w:ascii="宋体" w:hAnsi="宋体" w:cs="宋体"/>
                <w:color w:val="000000"/>
                <w:sz w:val="21"/>
                <w:szCs w:val="21"/>
                <w:highlight w:val="none"/>
              </w:rPr>
              <w:t>费</w:t>
            </w:r>
            <w:r>
              <w:rPr>
                <w:rFonts w:hint="eastAsia" w:ascii="宋体" w:hAnsi="宋体" w:cs="宋体"/>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9"/>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认购期内按照活期存款利率计息，认购期内的利息不计入认购本金份额。到期日（或理财计划实际终止日）到理财资金返还到账日为清算期，清算期内不计付利息。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21"/>
        </w:numPr>
        <w:spacing w:line="360" w:lineRule="auto"/>
        <w:ind w:firstLine="482" w:firstLineChars="200"/>
        <w:outlineLvl w:val="9"/>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2"/>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w:t>
      </w:r>
      <w:r>
        <w:rPr>
          <w:rFonts w:hint="eastAsia" w:ascii="宋体" w:hAnsi="宋体" w:cs="宋体"/>
          <w:bCs/>
          <w:sz w:val="24"/>
          <w:highlight w:val="none"/>
          <w:lang w:eastAsia="zh-CN"/>
        </w:rPr>
        <w:t>及相关资产的资产管理产品。</w:t>
      </w:r>
    </w:p>
    <w:p>
      <w:pPr>
        <w:numPr>
          <w:ilvl w:val="0"/>
          <w:numId w:val="22"/>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0-20%</w:t>
            </w:r>
          </w:p>
        </w:tc>
      </w:tr>
    </w:tbl>
    <w:p>
      <w:pPr>
        <w:pStyle w:val="15"/>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w:t>
      </w:r>
      <w:r>
        <w:rPr>
          <w:rFonts w:hint="eastAsia" w:ascii="宋体" w:hAnsi="宋体" w:cs="宋体"/>
          <w:highlight w:val="none"/>
        </w:rPr>
        <w:t>〖</w:t>
      </w:r>
      <w:r>
        <w:rPr>
          <w:rFonts w:hint="eastAsia" w:ascii="宋体" w:hAnsi="宋体" w:cs="宋体"/>
          <w:highlight w:val="none"/>
          <w:lang w:val="en-US" w:eastAsia="zh-CN"/>
        </w:rPr>
        <w:t>1</w:t>
      </w:r>
      <w:r>
        <w:rPr>
          <w:rFonts w:hint="eastAsia" w:ascii="宋体" w:hAnsi="宋体" w:cs="宋体"/>
          <w:highlight w:val="none"/>
        </w:rPr>
        <w:t>〗</w:t>
      </w:r>
      <w:r>
        <w:rPr>
          <w:rFonts w:hint="eastAsia" w:ascii="宋体" w:hAnsi="宋体" w:cs="宋体"/>
          <w:bCs/>
          <w:color w:val="auto"/>
          <w:kern w:val="2"/>
          <w:highlight w:val="none"/>
        </w:rPr>
        <w:t>个月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22"/>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投资策略</w:t>
      </w:r>
    </w:p>
    <w:p>
      <w:pPr>
        <w:pStyle w:val="15"/>
        <w:numPr>
          <w:ilvl w:val="0"/>
          <w:numId w:val="24"/>
        </w:numPr>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大类</w:t>
      </w:r>
      <w:r>
        <w:rPr>
          <w:rFonts w:hint="eastAsia" w:ascii="宋体" w:hAnsi="宋体" w:cs="宋体"/>
          <w:bCs/>
          <w:color w:val="auto"/>
          <w:kern w:val="2"/>
          <w:highlight w:val="none"/>
        </w:rPr>
        <w:t>资产配置策略</w:t>
      </w:r>
    </w:p>
    <w:p>
      <w:pPr>
        <w:pStyle w:val="15"/>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管理人通过对宏观经济运行状况、国家政策、货币政策、产业政策、市场资金环境及证券市场环境的分析来判断经济周期的阶段和位置，通过定量和定性相结合的方式进行</w:t>
      </w:r>
      <w:r>
        <w:rPr>
          <w:rFonts w:hint="eastAsia" w:ascii="宋体" w:hAnsi="宋体" w:cs="宋体"/>
          <w:bCs/>
          <w:color w:val="auto"/>
          <w:kern w:val="2"/>
          <w:highlight w:val="none"/>
          <w:lang w:val="en-US" w:eastAsia="zh-CN"/>
        </w:rPr>
        <w:t>大类</w:t>
      </w:r>
      <w:r>
        <w:rPr>
          <w:rFonts w:hint="eastAsia" w:ascii="宋体" w:hAnsi="宋体" w:cs="宋体"/>
          <w:bCs/>
          <w:color w:val="auto"/>
          <w:kern w:val="2"/>
          <w:highlight w:val="none"/>
        </w:rPr>
        <w:t>资产管理</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主动判断市场时机进行资产配置，确定在</w:t>
      </w:r>
      <w:r>
        <w:rPr>
          <w:rFonts w:hint="eastAsia"/>
          <w:highlight w:val="none"/>
          <w:lang w:val="en-US" w:eastAsia="zh-CN"/>
        </w:rPr>
        <w:t>存款、存单、</w:t>
      </w:r>
      <w:r>
        <w:rPr>
          <w:rFonts w:hint="eastAsia" w:ascii="宋体" w:hAnsi="宋体" w:cs="宋体"/>
          <w:bCs/>
          <w:color w:val="auto"/>
          <w:kern w:val="2"/>
          <w:highlight w:val="none"/>
        </w:rPr>
        <w:t>债券</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优先股</w:t>
      </w:r>
      <w:r>
        <w:rPr>
          <w:rFonts w:hint="eastAsia" w:ascii="宋体" w:hAnsi="宋体" w:cs="宋体"/>
          <w:bCs/>
          <w:color w:val="auto"/>
          <w:kern w:val="2"/>
          <w:highlight w:val="none"/>
        </w:rPr>
        <w:t>等各类资产上的投资比例。</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债券投资策略</w:t>
      </w:r>
    </w:p>
    <w:p>
      <w:pPr>
        <w:pStyle w:val="15"/>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管理人本着稳健投资的理念，基于宏观经济形势、货币政策、固定收益资产价格走势，采用安全性和流动性优先、优选投资品种，</w:t>
      </w:r>
      <w:r>
        <w:rPr>
          <w:rFonts w:hint="eastAsia" w:ascii="宋体" w:hAnsi="宋体" w:cs="宋体"/>
          <w:bCs/>
          <w:color w:val="auto"/>
          <w:kern w:val="2"/>
          <w:highlight w:val="none"/>
          <w:lang w:val="en-US" w:eastAsia="zh-CN"/>
        </w:rPr>
        <w:t>综合运用信用策略、久期策略、杠杆策略、曲线策略、交易策略等</w:t>
      </w:r>
      <w:r>
        <w:rPr>
          <w:rFonts w:hint="eastAsia" w:ascii="宋体" w:hAnsi="宋体" w:cs="宋体"/>
          <w:bCs/>
          <w:color w:val="auto"/>
          <w:kern w:val="2"/>
          <w:highlight w:val="none"/>
        </w:rPr>
        <w:t>。</w:t>
      </w:r>
    </w:p>
    <w:p>
      <w:pPr>
        <w:numPr>
          <w:ilvl w:val="0"/>
          <w:numId w:val="25"/>
        </w:numPr>
        <w:spacing w:line="360" w:lineRule="auto"/>
        <w:jc w:val="left"/>
        <w:rPr>
          <w:rFonts w:ascii="宋体" w:hAnsi="宋体" w:cs="宋体"/>
          <w:bCs/>
          <w:sz w:val="24"/>
          <w:highlight w:val="none"/>
        </w:rPr>
      </w:pPr>
      <w:r>
        <w:rPr>
          <w:rFonts w:hint="eastAsia" w:ascii="宋体" w:hAnsi="宋体" w:cs="宋体"/>
          <w:bCs/>
          <w:sz w:val="24"/>
          <w:highlight w:val="none"/>
        </w:rPr>
        <w:t>权益</w:t>
      </w:r>
      <w:r>
        <w:rPr>
          <w:rFonts w:hint="eastAsia" w:ascii="宋体" w:hAnsi="宋体" w:cs="宋体"/>
          <w:bCs/>
          <w:sz w:val="24"/>
          <w:highlight w:val="none"/>
          <w:lang w:val="en-US" w:eastAsia="zh-CN"/>
        </w:rPr>
        <w:t>类</w:t>
      </w:r>
      <w:r>
        <w:rPr>
          <w:rFonts w:hint="eastAsia" w:ascii="宋体" w:hAnsi="宋体" w:cs="宋体"/>
          <w:bCs/>
          <w:sz w:val="24"/>
          <w:highlight w:val="none"/>
        </w:rPr>
        <w:t>资产策略</w:t>
      </w:r>
    </w:p>
    <w:p>
      <w:pPr>
        <w:pStyle w:val="15"/>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sz w:val="24"/>
          <w:highlight w:val="none"/>
        </w:rPr>
        <w:t>管理人</w:t>
      </w:r>
      <w:r>
        <w:rPr>
          <w:rFonts w:hint="eastAsia" w:ascii="宋体" w:hAnsi="宋体" w:cs="宋体"/>
          <w:bCs/>
          <w:color w:val="auto"/>
          <w:kern w:val="2"/>
          <w:sz w:val="24"/>
          <w:highlight w:val="none"/>
          <w:u w:val="none"/>
          <w:lang w:val="en-US" w:eastAsia="zh-CN"/>
        </w:rPr>
        <w:t>结合产品流动性和市场情况，择机在组合中配置优先股权益类资产</w:t>
      </w:r>
      <w:r>
        <w:rPr>
          <w:rFonts w:hint="eastAsia" w:ascii="宋体" w:hAnsi="宋体" w:cs="宋体"/>
          <w:bCs/>
          <w:color w:val="auto"/>
          <w:kern w:val="2"/>
          <w:sz w:val="24"/>
          <w:highlight w:val="none"/>
        </w:rPr>
        <w:t>。</w:t>
      </w:r>
    </w:p>
    <w:p>
      <w:pPr>
        <w:numPr>
          <w:ilvl w:val="0"/>
          <w:numId w:val="22"/>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投资限制</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管理人发行的全部开放式公募理财计划投资单一上市公司发行的股票,不得超过该上市公司可流通股票的15%。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28"/>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应当持有不低于该理财产品资产净值5%的现金或者到期日在一年以内的国债、中央银行票据和政策性金融债券。</w:t>
      </w:r>
    </w:p>
    <w:p>
      <w:pPr>
        <w:numPr>
          <w:ilvl w:val="0"/>
          <w:numId w:val="28"/>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8"/>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2"/>
        </w:numPr>
        <w:spacing w:line="360" w:lineRule="auto"/>
        <w:ind w:left="0" w:leftChars="0" w:firstLine="482" w:firstLineChars="200"/>
        <w:jc w:val="left"/>
        <w:outlineLvl w:val="9"/>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资产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w:t>
      </w:r>
      <w:r>
        <w:rPr>
          <w:rFonts w:hint="eastAsia" w:ascii="宋体" w:hAnsi="宋体" w:cs="宋体"/>
          <w:bCs/>
          <w:sz w:val="24"/>
          <w:highlight w:val="none"/>
        </w:rPr>
        <w:t>权益类</w:t>
      </w:r>
      <w:r>
        <w:rPr>
          <w:rFonts w:hint="eastAsia" w:ascii="宋体" w:hAnsi="宋体" w:cs="宋体"/>
          <w:bCs/>
          <w:sz w:val="24"/>
          <w:highlight w:val="none"/>
          <w:lang w:val="en-US" w:eastAsia="zh-CN"/>
        </w:rPr>
        <w:t>、其他类</w:t>
      </w:r>
      <w:r>
        <w:rPr>
          <w:rFonts w:hint="eastAsia" w:ascii="宋体" w:hAnsi="宋体" w:cs="宋体"/>
          <w:bCs/>
          <w:sz w:val="24"/>
          <w:highlight w:val="none"/>
        </w:rPr>
        <w:t>资产的可能流动性风险（如有）：权益类</w:t>
      </w:r>
      <w:r>
        <w:rPr>
          <w:rFonts w:hint="eastAsia" w:ascii="宋体" w:hAnsi="宋体" w:cs="宋体"/>
          <w:bCs/>
          <w:sz w:val="24"/>
          <w:highlight w:val="none"/>
          <w:lang w:val="en-US" w:eastAsia="zh-CN"/>
        </w:rPr>
        <w:t>、其他类</w:t>
      </w:r>
      <w:r>
        <w:rPr>
          <w:rFonts w:hint="eastAsia" w:ascii="宋体" w:hAnsi="宋体" w:cs="宋体"/>
          <w:bCs/>
          <w:sz w:val="24"/>
          <w:highlight w:val="none"/>
        </w:rPr>
        <w:t>资产包括但不限于上市公司普通股、上市公司优先股、股票基金、股票定向增发等，受国家政策、经济周期、利率、汇率、股票发行人经营情况</w:t>
      </w:r>
      <w:r>
        <w:rPr>
          <w:rFonts w:hint="eastAsia" w:ascii="宋体" w:hAnsi="宋体" w:cs="宋体"/>
          <w:bCs/>
          <w:sz w:val="24"/>
          <w:highlight w:val="none"/>
          <w:lang w:val="en-US" w:eastAsia="zh-CN"/>
        </w:rPr>
        <w:t>、大宗商品</w:t>
      </w:r>
      <w:r>
        <w:rPr>
          <w:rFonts w:hint="eastAsia" w:ascii="宋体" w:hAnsi="宋体" w:cs="宋体"/>
          <w:bCs/>
          <w:sz w:val="24"/>
          <w:highlight w:val="none"/>
        </w:rPr>
        <w:t>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30"/>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31"/>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托管人</w:t>
      </w:r>
    </w:p>
    <w:tbl>
      <w:tblPr>
        <w:tblStyle w:val="9"/>
        <w:tblW w:w="7810"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6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托管人名称</w:t>
            </w:r>
          </w:p>
        </w:tc>
        <w:tc>
          <w:tcPr>
            <w:tcW w:w="6070" w:type="dxa"/>
            <w:noWrap w:val="0"/>
            <w:vAlign w:val="top"/>
          </w:tcPr>
          <w:p>
            <w:pPr>
              <w:keepNext w:val="0"/>
              <w:keepLines w:val="0"/>
              <w:widowControl/>
              <w:suppressLineNumbers w:val="0"/>
              <w:spacing w:line="360" w:lineRule="auto"/>
              <w:jc w:val="center"/>
              <w:textAlignment w:val="auto"/>
              <w:rPr>
                <w:rFonts w:hint="eastAsia"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托管人住所</w:t>
            </w:r>
          </w:p>
        </w:tc>
        <w:tc>
          <w:tcPr>
            <w:tcW w:w="6070" w:type="dxa"/>
            <w:noWrap w:val="0"/>
            <w:vAlign w:val="top"/>
          </w:tcPr>
          <w:p>
            <w:pPr>
              <w:keepNext w:val="0"/>
              <w:keepLines w:val="0"/>
              <w:widowControl/>
              <w:suppressLineNumbers w:val="0"/>
              <w:spacing w:line="360" w:lineRule="auto"/>
              <w:jc w:val="center"/>
              <w:textAlignment w:val="auto"/>
              <w:rPr>
                <w:rFonts w:hint="eastAsia"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托管人职责</w:t>
            </w:r>
          </w:p>
        </w:tc>
        <w:tc>
          <w:tcPr>
            <w:tcW w:w="6070" w:type="dxa"/>
            <w:noWrap w:val="0"/>
            <w:vAlign w:val="top"/>
          </w:tcPr>
          <w:p>
            <w:pPr>
              <w:keepNext w:val="0"/>
              <w:keepLines w:val="0"/>
              <w:widowControl/>
              <w:suppressLineNumbers w:val="0"/>
              <w:spacing w:line="360" w:lineRule="auto"/>
              <w:jc w:val="center"/>
              <w:textAlignment w:val="auto"/>
              <w:rPr>
                <w:rFonts w:hint="eastAsia"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主要提供包括账户开立、资金保管、资金结算、估值核对等理财产品托管服务。</w:t>
            </w:r>
          </w:p>
        </w:tc>
      </w:tr>
    </w:tbl>
    <w:p>
      <w:pPr>
        <w:numPr>
          <w:ilvl w:val="0"/>
          <w:numId w:val="32"/>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销售机构</w:t>
      </w:r>
    </w:p>
    <w:tbl>
      <w:tblPr>
        <w:tblStyle w:val="9"/>
        <w:tblW w:w="7802"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475"/>
        <w:gridCol w:w="1323"/>
        <w:gridCol w:w="3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销售机构信息</w:t>
            </w:r>
          </w:p>
        </w:tc>
        <w:tc>
          <w:tcPr>
            <w:tcW w:w="2475" w:type="dxa"/>
            <w:vMerge w:val="restart"/>
            <w:noWrap w:val="0"/>
            <w:vAlign w:val="center"/>
          </w:tcPr>
          <w:p>
            <w:pPr>
              <w:keepNext w:val="0"/>
              <w:keepLines w:val="0"/>
              <w:widowControl/>
              <w:suppressLineNumbers w:val="0"/>
              <w:spacing w:line="360" w:lineRule="auto"/>
              <w:jc w:val="center"/>
              <w:textAlignment w:val="auto"/>
              <w:rPr>
                <w:rFonts w:hint="eastAsia"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杭州银行股份有限公司</w:t>
            </w:r>
          </w:p>
        </w:tc>
        <w:tc>
          <w:tcPr>
            <w:tcW w:w="1323" w:type="dxa"/>
            <w:noWrap w:val="0"/>
            <w:vAlign w:val="center"/>
          </w:tcPr>
          <w:p>
            <w:pPr>
              <w:keepNext w:val="0"/>
              <w:keepLines w:val="0"/>
              <w:widowControl/>
              <w:suppressLineNumbers w:val="0"/>
              <w:spacing w:line="360" w:lineRule="auto"/>
              <w:jc w:val="center"/>
              <w:textAlignment w:val="auto"/>
              <w:rPr>
                <w:rFonts w:hint="eastAsia"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住所</w:t>
            </w:r>
          </w:p>
        </w:tc>
        <w:tc>
          <w:tcPr>
            <w:tcW w:w="3042" w:type="dxa"/>
            <w:noWrap w:val="0"/>
            <w:vAlign w:val="center"/>
          </w:tcPr>
          <w:p>
            <w:pPr>
              <w:keepNext w:val="0"/>
              <w:keepLines w:val="0"/>
              <w:widowControl/>
              <w:suppressLineNumbers w:val="0"/>
              <w:spacing w:line="360" w:lineRule="auto"/>
              <w:jc w:val="center"/>
              <w:textAlignment w:val="auto"/>
              <w:rPr>
                <w:rFonts w:hint="eastAsia"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475" w:type="dxa"/>
            <w:vMerge w:val="continue"/>
            <w:noWrap w:val="0"/>
            <w:vAlign w:val="center"/>
          </w:tcPr>
          <w:p>
            <w:pPr>
              <w:keepNext w:val="0"/>
              <w:keepLines w:val="0"/>
              <w:widowControl/>
              <w:suppressLineNumbers w:val="0"/>
              <w:spacing w:line="360" w:lineRule="auto"/>
              <w:jc w:val="center"/>
              <w:textAlignment w:val="auto"/>
              <w:rPr>
                <w:rFonts w:hint="eastAsia" w:ascii="宋体" w:hAnsi="宋体" w:cs="宋体"/>
                <w:bCs/>
                <w:i w:val="0"/>
                <w:color w:val="auto"/>
                <w:kern w:val="2"/>
                <w:sz w:val="24"/>
                <w:szCs w:val="24"/>
                <w:highlight w:val="none"/>
                <w:u w:val="none"/>
                <w:lang w:val="en-US" w:eastAsia="zh-CN" w:bidi="ar"/>
              </w:rPr>
            </w:pPr>
          </w:p>
        </w:tc>
        <w:tc>
          <w:tcPr>
            <w:tcW w:w="1323" w:type="dxa"/>
            <w:noWrap w:val="0"/>
            <w:vAlign w:val="center"/>
          </w:tcPr>
          <w:p>
            <w:pPr>
              <w:keepNext w:val="0"/>
              <w:keepLines w:val="0"/>
              <w:widowControl/>
              <w:suppressLineNumbers w:val="0"/>
              <w:spacing w:line="360" w:lineRule="auto"/>
              <w:jc w:val="center"/>
              <w:textAlignment w:val="auto"/>
              <w:rPr>
                <w:rFonts w:hint="eastAsia"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客服热线</w:t>
            </w:r>
          </w:p>
        </w:tc>
        <w:tc>
          <w:tcPr>
            <w:tcW w:w="3042" w:type="dxa"/>
            <w:noWrap w:val="0"/>
            <w:vAlign w:val="center"/>
          </w:tcPr>
          <w:p>
            <w:pPr>
              <w:keepNext w:val="0"/>
              <w:keepLines w:val="0"/>
              <w:widowControl/>
              <w:suppressLineNumbers w:val="0"/>
              <w:spacing w:line="360" w:lineRule="auto"/>
              <w:jc w:val="center"/>
              <w:textAlignment w:val="auto"/>
              <w:rPr>
                <w:rFonts w:hint="eastAsia"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475" w:type="dxa"/>
            <w:vMerge w:val="restart"/>
            <w:noWrap w:val="0"/>
            <w:vAlign w:val="center"/>
          </w:tcPr>
          <w:p>
            <w:pPr>
              <w:keepNext w:val="0"/>
              <w:keepLines w:val="0"/>
              <w:widowControl/>
              <w:suppressLineNumbers w:val="0"/>
              <w:spacing w:line="360" w:lineRule="auto"/>
              <w:jc w:val="center"/>
              <w:textAlignment w:val="auto"/>
              <w:rPr>
                <w:rFonts w:hint="default"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台州银行股份有限公司</w:t>
            </w:r>
          </w:p>
        </w:tc>
        <w:tc>
          <w:tcPr>
            <w:tcW w:w="1323" w:type="dxa"/>
            <w:noWrap w:val="0"/>
            <w:vAlign w:val="center"/>
          </w:tcPr>
          <w:p>
            <w:pPr>
              <w:keepNext w:val="0"/>
              <w:keepLines w:val="0"/>
              <w:widowControl/>
              <w:suppressLineNumbers w:val="0"/>
              <w:spacing w:line="360" w:lineRule="auto"/>
              <w:jc w:val="center"/>
              <w:textAlignment w:val="auto"/>
              <w:rPr>
                <w:rFonts w:hint="default"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住所</w:t>
            </w:r>
          </w:p>
        </w:tc>
        <w:tc>
          <w:tcPr>
            <w:tcW w:w="3042" w:type="dxa"/>
            <w:noWrap w:val="0"/>
            <w:vAlign w:val="center"/>
          </w:tcPr>
          <w:p>
            <w:pPr>
              <w:keepNext w:val="0"/>
              <w:keepLines w:val="0"/>
              <w:widowControl/>
              <w:suppressLineNumbers w:val="0"/>
              <w:spacing w:line="360" w:lineRule="auto"/>
              <w:jc w:val="center"/>
              <w:textAlignment w:val="auto"/>
              <w:rPr>
                <w:rFonts w:hint="default"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浙江省台州市路桥区南官大道92号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475" w:type="dxa"/>
            <w:vMerge w:val="continue"/>
            <w:noWrap w:val="0"/>
            <w:vAlign w:val="center"/>
          </w:tcPr>
          <w:p>
            <w:pPr>
              <w:keepNext w:val="0"/>
              <w:keepLines w:val="0"/>
              <w:widowControl/>
              <w:suppressLineNumbers w:val="0"/>
              <w:spacing w:line="360" w:lineRule="auto"/>
              <w:jc w:val="center"/>
              <w:textAlignment w:val="auto"/>
              <w:rPr>
                <w:rFonts w:hint="eastAsia" w:ascii="宋体" w:hAnsi="宋体" w:cs="宋体"/>
                <w:bCs/>
                <w:i w:val="0"/>
                <w:color w:val="auto"/>
                <w:kern w:val="2"/>
                <w:sz w:val="24"/>
                <w:szCs w:val="24"/>
                <w:highlight w:val="none"/>
                <w:u w:val="none"/>
                <w:lang w:val="en-US" w:eastAsia="zh-CN" w:bidi="ar"/>
              </w:rPr>
            </w:pPr>
          </w:p>
        </w:tc>
        <w:tc>
          <w:tcPr>
            <w:tcW w:w="1323" w:type="dxa"/>
            <w:noWrap w:val="0"/>
            <w:vAlign w:val="center"/>
          </w:tcPr>
          <w:p>
            <w:pPr>
              <w:keepNext w:val="0"/>
              <w:keepLines w:val="0"/>
              <w:widowControl/>
              <w:suppressLineNumbers w:val="0"/>
              <w:spacing w:line="360" w:lineRule="auto"/>
              <w:jc w:val="center"/>
              <w:textAlignment w:val="auto"/>
              <w:rPr>
                <w:rFonts w:hint="eastAsia"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客服热线</w:t>
            </w:r>
          </w:p>
        </w:tc>
        <w:tc>
          <w:tcPr>
            <w:tcW w:w="3042" w:type="dxa"/>
            <w:noWrap w:val="0"/>
            <w:vAlign w:val="center"/>
          </w:tcPr>
          <w:p>
            <w:pPr>
              <w:keepNext w:val="0"/>
              <w:keepLines w:val="0"/>
              <w:widowControl/>
              <w:suppressLineNumbers w:val="0"/>
              <w:spacing w:line="360" w:lineRule="auto"/>
              <w:jc w:val="center"/>
              <w:textAlignment w:val="auto"/>
              <w:rPr>
                <w:rFonts w:hint="default"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95371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475" w:type="dxa"/>
            <w:vMerge w:val="restart"/>
            <w:noWrap w:val="0"/>
            <w:vAlign w:val="center"/>
          </w:tcPr>
          <w:p>
            <w:pPr>
              <w:widowControl/>
              <w:jc w:val="center"/>
              <w:rPr>
                <w:rFonts w:hint="eastAsia" w:ascii="宋体" w:hAnsi="宋体" w:cs="宋体"/>
                <w:bCs/>
                <w:i w:val="0"/>
                <w:color w:val="auto"/>
                <w:kern w:val="2"/>
                <w:sz w:val="24"/>
                <w:szCs w:val="24"/>
                <w:highlight w:val="none"/>
                <w:u w:val="none"/>
                <w:lang w:val="en-US" w:eastAsia="zh-CN" w:bidi="ar"/>
              </w:rPr>
            </w:pPr>
            <w:r>
              <w:rPr>
                <w:rFonts w:ascii="宋体" w:hAnsi="宋体" w:cs="宋体"/>
                <w:bCs/>
                <w:szCs w:val="21"/>
              </w:rPr>
              <w:t>兰州银行股份有限公司</w:t>
            </w:r>
          </w:p>
        </w:tc>
        <w:tc>
          <w:tcPr>
            <w:tcW w:w="1323" w:type="dxa"/>
            <w:noWrap w:val="0"/>
            <w:vAlign w:val="center"/>
          </w:tcPr>
          <w:p>
            <w:pPr>
              <w:widowControl/>
              <w:jc w:val="center"/>
              <w:rPr>
                <w:rFonts w:hint="eastAsia" w:ascii="宋体" w:hAnsi="宋体" w:cs="宋体"/>
                <w:bCs/>
                <w:i w:val="0"/>
                <w:color w:val="auto"/>
                <w:kern w:val="2"/>
                <w:sz w:val="24"/>
                <w:szCs w:val="24"/>
                <w:highlight w:val="none"/>
                <w:u w:val="none"/>
                <w:lang w:val="en-US" w:eastAsia="zh-CN" w:bidi="ar"/>
              </w:rPr>
            </w:pPr>
            <w:r>
              <w:rPr>
                <w:rFonts w:hint="eastAsia" w:ascii="宋体" w:hAnsi="宋体" w:cs="宋体"/>
                <w:color w:val="000000"/>
                <w:kern w:val="0"/>
              </w:rPr>
              <w:t>住所</w:t>
            </w:r>
          </w:p>
        </w:tc>
        <w:tc>
          <w:tcPr>
            <w:tcW w:w="3042" w:type="dxa"/>
            <w:noWrap w:val="0"/>
            <w:vAlign w:val="center"/>
          </w:tcPr>
          <w:p>
            <w:pPr>
              <w:widowControl/>
              <w:jc w:val="center"/>
              <w:rPr>
                <w:rFonts w:hint="eastAsia" w:ascii="宋体" w:hAnsi="宋体" w:cs="宋体"/>
                <w:bCs/>
                <w:i w:val="0"/>
                <w:color w:val="auto"/>
                <w:kern w:val="2"/>
                <w:sz w:val="24"/>
                <w:szCs w:val="24"/>
                <w:highlight w:val="none"/>
                <w:u w:val="none"/>
                <w:lang w:val="en-US" w:eastAsia="zh-CN" w:bidi="ar"/>
              </w:rPr>
            </w:pPr>
            <w:r>
              <w:rPr>
                <w:rFonts w:hint="eastAsia" w:ascii="宋体" w:hAnsi="宋体" w:cs="宋体"/>
                <w:bCs/>
                <w:szCs w:val="21"/>
              </w:rPr>
              <w:t>甘肃省兰州市酒泉路211号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475" w:type="dxa"/>
            <w:vMerge w:val="continue"/>
            <w:noWrap w:val="0"/>
            <w:vAlign w:val="center"/>
          </w:tcPr>
          <w:p>
            <w:pPr>
              <w:widowControl/>
              <w:jc w:val="left"/>
              <w:rPr>
                <w:rFonts w:hint="eastAsia" w:ascii="宋体" w:hAnsi="宋体" w:cs="宋体"/>
                <w:bCs/>
                <w:i w:val="0"/>
                <w:color w:val="auto"/>
                <w:kern w:val="2"/>
                <w:sz w:val="24"/>
                <w:szCs w:val="24"/>
                <w:highlight w:val="none"/>
                <w:u w:val="none"/>
                <w:lang w:val="en-US" w:eastAsia="zh-CN" w:bidi="ar"/>
              </w:rPr>
            </w:pPr>
          </w:p>
        </w:tc>
        <w:tc>
          <w:tcPr>
            <w:tcW w:w="1323" w:type="dxa"/>
            <w:noWrap w:val="0"/>
            <w:vAlign w:val="center"/>
          </w:tcPr>
          <w:p>
            <w:pPr>
              <w:widowControl/>
              <w:jc w:val="center"/>
              <w:rPr>
                <w:rFonts w:hint="eastAsia" w:ascii="宋体" w:hAnsi="宋体" w:cs="宋体"/>
                <w:bCs/>
                <w:i w:val="0"/>
                <w:color w:val="auto"/>
                <w:kern w:val="2"/>
                <w:sz w:val="24"/>
                <w:szCs w:val="24"/>
                <w:highlight w:val="none"/>
                <w:u w:val="none"/>
                <w:lang w:val="en-US" w:eastAsia="zh-CN" w:bidi="ar"/>
              </w:rPr>
            </w:pPr>
            <w:r>
              <w:rPr>
                <w:rFonts w:hint="eastAsia" w:ascii="宋体" w:hAnsi="宋体" w:cs="宋体"/>
                <w:color w:val="000000"/>
                <w:kern w:val="0"/>
              </w:rPr>
              <w:t>客服热线</w:t>
            </w:r>
          </w:p>
        </w:tc>
        <w:tc>
          <w:tcPr>
            <w:tcW w:w="3042" w:type="dxa"/>
            <w:noWrap w:val="0"/>
            <w:vAlign w:val="center"/>
          </w:tcPr>
          <w:p>
            <w:pPr>
              <w:widowControl/>
              <w:jc w:val="center"/>
              <w:rPr>
                <w:rFonts w:hint="eastAsia" w:ascii="宋体" w:hAnsi="宋体" w:cs="宋体"/>
                <w:bCs/>
                <w:i w:val="0"/>
                <w:color w:val="auto"/>
                <w:kern w:val="2"/>
                <w:sz w:val="24"/>
                <w:szCs w:val="24"/>
                <w:highlight w:val="none"/>
                <w:u w:val="none"/>
                <w:lang w:val="en-US" w:eastAsia="zh-CN" w:bidi="ar"/>
              </w:rPr>
            </w:pPr>
            <w:r>
              <w:rPr>
                <w:rFonts w:hint="eastAsia" w:ascii="宋体" w:hAnsi="宋体" w:cs="宋体"/>
                <w:bCs/>
                <w:szCs w:val="21"/>
              </w:rPr>
              <w:t>4008896799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475" w:type="dxa"/>
            <w:vMerge w:val="restart"/>
            <w:noWrap w:val="0"/>
            <w:vAlign w:val="center"/>
          </w:tcPr>
          <w:p>
            <w:pPr>
              <w:keepNext w:val="0"/>
              <w:keepLines w:val="0"/>
              <w:widowControl/>
              <w:suppressLineNumbers w:val="0"/>
              <w:spacing w:line="360" w:lineRule="auto"/>
              <w:jc w:val="center"/>
              <w:textAlignment w:val="auto"/>
              <w:rPr>
                <w:rFonts w:hint="eastAsia"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杭银理财有限责任公司</w:t>
            </w:r>
          </w:p>
        </w:tc>
        <w:tc>
          <w:tcPr>
            <w:tcW w:w="1323" w:type="dxa"/>
            <w:noWrap w:val="0"/>
            <w:vAlign w:val="center"/>
          </w:tcPr>
          <w:p>
            <w:pPr>
              <w:keepNext w:val="0"/>
              <w:keepLines w:val="0"/>
              <w:widowControl/>
              <w:suppressLineNumbers w:val="0"/>
              <w:spacing w:line="360" w:lineRule="auto"/>
              <w:jc w:val="center"/>
              <w:textAlignment w:val="auto"/>
              <w:rPr>
                <w:rFonts w:hint="eastAsia"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住所</w:t>
            </w:r>
          </w:p>
        </w:tc>
        <w:tc>
          <w:tcPr>
            <w:tcW w:w="3042" w:type="dxa"/>
            <w:noWrap w:val="0"/>
            <w:vAlign w:val="center"/>
          </w:tcPr>
          <w:p>
            <w:pPr>
              <w:keepNext w:val="0"/>
              <w:keepLines w:val="0"/>
              <w:widowControl/>
              <w:suppressLineNumbers w:val="0"/>
              <w:spacing w:line="360" w:lineRule="auto"/>
              <w:jc w:val="center"/>
              <w:textAlignment w:val="auto"/>
              <w:rPr>
                <w:rFonts w:hint="eastAsia"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475" w:type="dxa"/>
            <w:vMerge w:val="continue"/>
            <w:noWrap w:val="0"/>
            <w:vAlign w:val="center"/>
          </w:tcPr>
          <w:p>
            <w:pPr>
              <w:keepNext w:val="0"/>
              <w:keepLines w:val="0"/>
              <w:widowControl/>
              <w:suppressLineNumbers w:val="0"/>
              <w:spacing w:line="360" w:lineRule="auto"/>
              <w:jc w:val="center"/>
              <w:textAlignment w:val="auto"/>
              <w:rPr>
                <w:rFonts w:hint="eastAsia" w:ascii="宋体" w:hAnsi="宋体" w:cs="宋体"/>
                <w:bCs/>
                <w:i w:val="0"/>
                <w:color w:val="auto"/>
                <w:kern w:val="2"/>
                <w:sz w:val="24"/>
                <w:szCs w:val="24"/>
                <w:highlight w:val="none"/>
                <w:u w:val="none"/>
                <w:lang w:val="en-US" w:eastAsia="zh-CN" w:bidi="ar"/>
              </w:rPr>
            </w:pPr>
          </w:p>
        </w:tc>
        <w:tc>
          <w:tcPr>
            <w:tcW w:w="1323" w:type="dxa"/>
            <w:noWrap w:val="0"/>
            <w:vAlign w:val="center"/>
          </w:tcPr>
          <w:p>
            <w:pPr>
              <w:keepNext w:val="0"/>
              <w:keepLines w:val="0"/>
              <w:widowControl/>
              <w:suppressLineNumbers w:val="0"/>
              <w:spacing w:line="360" w:lineRule="auto"/>
              <w:jc w:val="center"/>
              <w:textAlignment w:val="auto"/>
              <w:rPr>
                <w:rFonts w:hint="eastAsia"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客服热线</w:t>
            </w:r>
          </w:p>
        </w:tc>
        <w:tc>
          <w:tcPr>
            <w:tcW w:w="3042" w:type="dxa"/>
            <w:noWrap w:val="0"/>
            <w:vAlign w:val="center"/>
          </w:tcPr>
          <w:p>
            <w:pPr>
              <w:keepNext w:val="0"/>
              <w:keepLines w:val="0"/>
              <w:widowControl/>
              <w:suppressLineNumbers w:val="0"/>
              <w:spacing w:line="360" w:lineRule="auto"/>
              <w:jc w:val="center"/>
              <w:textAlignment w:val="auto"/>
              <w:rPr>
                <w:rFonts w:hint="eastAsia"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销售机构职责</w:t>
            </w:r>
          </w:p>
        </w:tc>
        <w:tc>
          <w:tcPr>
            <w:tcW w:w="6840" w:type="dxa"/>
            <w:gridSpan w:val="3"/>
            <w:noWrap w:val="0"/>
            <w:vAlign w:val="top"/>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主要负责理财计划推广、投资者风险承受能力评估、投资者适当性管理、理财计划份额认购、申购及赎回办理。</w:t>
            </w:r>
          </w:p>
          <w:p>
            <w:pPr>
              <w:spacing w:line="360" w:lineRule="auto"/>
              <w:jc w:val="left"/>
              <w:rPr>
                <w:rFonts w:ascii="宋体" w:hAnsi="宋体" w:cs="宋体"/>
                <w:bCs/>
                <w:szCs w:val="21"/>
                <w:highlight w:val="none"/>
              </w:rPr>
            </w:pPr>
            <w:r>
              <w:rPr>
                <w:rFonts w:hint="eastAsia" w:ascii="宋体" w:hAnsi="宋体" w:cs="宋体"/>
                <w:bCs/>
                <w:szCs w:val="21"/>
                <w:highlight w:val="none"/>
              </w:rPr>
              <w:t>协助管理人负责与投资者签订理财计划合同、与投资者沟通及进行信息披露、接受投资者咨询和维护等销售服务。</w:t>
            </w:r>
          </w:p>
        </w:tc>
      </w:tr>
    </w:tbl>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在本理财计划发行后</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如</w:t>
      </w:r>
      <w:r>
        <w:rPr>
          <w:rFonts w:hint="eastAsia" w:ascii="宋体" w:hAnsi="宋体" w:cs="宋体"/>
          <w:bCs/>
          <w:color w:val="000000"/>
          <w:sz w:val="24"/>
          <w:highlight w:val="none"/>
        </w:rPr>
        <w:t>新增</w:t>
      </w:r>
      <w:r>
        <w:rPr>
          <w:rFonts w:hint="eastAsia" w:ascii="宋体" w:hAnsi="宋体" w:cs="宋体"/>
          <w:bCs/>
          <w:color w:val="000000"/>
          <w:sz w:val="24"/>
          <w:highlight w:val="none"/>
          <w:lang w:val="en-US" w:eastAsia="zh-CN"/>
        </w:rPr>
        <w:t>/减少</w:t>
      </w:r>
      <w:r>
        <w:rPr>
          <w:rFonts w:hint="eastAsia" w:ascii="宋体" w:hAnsi="宋体" w:cs="宋体"/>
          <w:bCs/>
          <w:color w:val="000000"/>
          <w:sz w:val="24"/>
          <w:highlight w:val="none"/>
        </w:rPr>
        <w:t>销售机构</w:t>
      </w:r>
      <w:r>
        <w:rPr>
          <w:rFonts w:hint="eastAsia" w:ascii="宋体" w:hAnsi="宋体" w:cs="宋体"/>
          <w:bCs/>
          <w:color w:val="000000"/>
          <w:sz w:val="24"/>
          <w:highlight w:val="none"/>
          <w:lang w:val="en-US" w:eastAsia="zh-CN"/>
        </w:rPr>
        <w:t>或销售机构信息变更，请</w:t>
      </w:r>
      <w:r>
        <w:rPr>
          <w:rFonts w:hint="eastAsia" w:ascii="宋体" w:hAnsi="宋体" w:cs="宋体"/>
          <w:bCs/>
          <w:color w:val="000000"/>
          <w:sz w:val="24"/>
          <w:highlight w:val="none"/>
        </w:rPr>
        <w:t>以管理人</w:t>
      </w:r>
      <w:r>
        <w:rPr>
          <w:rFonts w:hint="eastAsia" w:ascii="宋体" w:hAnsi="宋体" w:cs="宋体"/>
          <w:bCs/>
          <w:color w:val="000000"/>
          <w:sz w:val="24"/>
          <w:highlight w:val="none"/>
          <w:lang w:val="en-US" w:eastAsia="zh-CN"/>
        </w:rPr>
        <w:t>最新</w:t>
      </w:r>
      <w:r>
        <w:rPr>
          <w:rFonts w:hint="eastAsia" w:ascii="宋体" w:hAnsi="宋体" w:cs="宋体"/>
          <w:bCs/>
          <w:color w:val="000000"/>
          <w:sz w:val="24"/>
          <w:highlight w:val="none"/>
        </w:rPr>
        <w:t>公告</w:t>
      </w:r>
      <w:r>
        <w:rPr>
          <w:rFonts w:hint="eastAsia" w:ascii="宋体" w:hAnsi="宋体" w:cs="宋体"/>
          <w:bCs/>
          <w:color w:val="000000"/>
          <w:sz w:val="24"/>
          <w:highlight w:val="none"/>
          <w:lang w:val="en-US" w:eastAsia="zh-CN"/>
        </w:rPr>
        <w:t>或官方网站展示</w:t>
      </w:r>
      <w:r>
        <w:rPr>
          <w:rFonts w:hint="eastAsia" w:ascii="宋体" w:hAnsi="宋体" w:cs="宋体"/>
          <w:bCs/>
          <w:color w:val="000000"/>
          <w:sz w:val="24"/>
          <w:highlight w:val="none"/>
        </w:rPr>
        <w:t>为准。</w:t>
      </w:r>
    </w:p>
    <w:p>
      <w:pPr>
        <w:spacing w:line="360" w:lineRule="auto"/>
        <w:jc w:val="left"/>
        <w:rPr>
          <w:rFonts w:ascii="宋体" w:hAnsi="宋体" w:cs="宋体"/>
          <w:bCs/>
          <w:sz w:val="24"/>
          <w:highlight w:val="none"/>
        </w:rPr>
      </w:pPr>
    </w:p>
    <w:p>
      <w:pPr>
        <w:numPr>
          <w:ilvl w:val="0"/>
          <w:numId w:val="30"/>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估值</w:t>
      </w:r>
    </w:p>
    <w:p>
      <w:pPr>
        <w:numPr>
          <w:ilvl w:val="0"/>
          <w:numId w:val="33"/>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val="en-US" w:eastAsia="zh-CN"/>
        </w:rPr>
        <w:t>工作</w:t>
      </w:r>
      <w:r>
        <w:rPr>
          <w:rFonts w:hint="eastAsia" w:ascii="宋体" w:hAnsi="宋体" w:cs="宋体"/>
          <w:bCs/>
          <w:color w:val="000000"/>
          <w:sz w:val="24"/>
          <w:highlight w:val="none"/>
          <w:lang w:eastAsia="zh-CN"/>
        </w:rPr>
        <w:t>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3"/>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3"/>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3"/>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5"/>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5"/>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5"/>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5"/>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5"/>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3"/>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3"/>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3"/>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30"/>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费用及税收</w:t>
      </w:r>
    </w:p>
    <w:p>
      <w:pPr>
        <w:numPr>
          <w:ilvl w:val="0"/>
          <w:numId w:val="37"/>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7"/>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 w:val="24"/>
          <w:szCs w:val="24"/>
          <w:highlight w:val="none"/>
        </w:rPr>
        <w:t>〖</w:t>
      </w:r>
      <w:r>
        <w:rPr>
          <w:rFonts w:hint="eastAsia" w:ascii="宋体" w:hAnsi="宋体" w:cs="宋体"/>
          <w:sz w:val="24"/>
          <w:szCs w:val="24"/>
          <w:highlight w:val="none"/>
          <w:lang w:val="en-US" w:eastAsia="zh-CN"/>
        </w:rPr>
        <w:t>0.30%</w:t>
      </w:r>
      <w:r>
        <w:rPr>
          <w:rFonts w:hint="eastAsia" w:ascii="宋体" w:hAnsi="宋体" w:cs="宋体"/>
          <w:sz w:val="24"/>
          <w:szCs w:val="24"/>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以A份额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 w:val="24"/>
          <w:szCs w:val="24"/>
          <w:highlight w:val="none"/>
        </w:rPr>
        <w:t>〖</w:t>
      </w:r>
      <w:r>
        <w:rPr>
          <w:rFonts w:hint="eastAsia" w:ascii="宋体" w:hAnsi="宋体" w:cs="宋体"/>
          <w:sz w:val="24"/>
          <w:szCs w:val="24"/>
          <w:highlight w:val="none"/>
          <w:lang w:val="en-US" w:eastAsia="zh-CN"/>
        </w:rPr>
        <w:t>0.30%</w:t>
      </w:r>
      <w:r>
        <w:rPr>
          <w:rFonts w:hint="eastAsia" w:ascii="宋体" w:hAnsi="宋体" w:cs="宋体"/>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 w:val="24"/>
          <w:szCs w:val="24"/>
          <w:highlight w:val="none"/>
        </w:rPr>
        <w:t>〖</w:t>
      </w:r>
      <w:r>
        <w:rPr>
          <w:rFonts w:hint="eastAsia" w:ascii="宋体" w:hAnsi="宋体" w:cs="宋体"/>
          <w:sz w:val="24"/>
          <w:szCs w:val="24"/>
          <w:highlight w:val="none"/>
          <w:lang w:val="en-US" w:eastAsia="zh-CN"/>
        </w:rPr>
        <w:t>0.025</w:t>
      </w:r>
      <w:r>
        <w:rPr>
          <w:rFonts w:hint="eastAsia" w:ascii="宋体" w:hAnsi="宋体" w:cs="宋体"/>
          <w:bCs/>
          <w:color w:val="000000"/>
          <w:sz w:val="24"/>
          <w:szCs w:val="24"/>
          <w:highlight w:val="none"/>
        </w:rPr>
        <w:t>%</w:t>
      </w:r>
      <w:r>
        <w:rPr>
          <w:rFonts w:hint="eastAsia" w:ascii="宋体" w:hAnsi="宋体" w:cs="宋体"/>
          <w:sz w:val="24"/>
          <w:szCs w:val="24"/>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 w:val="24"/>
          <w:szCs w:val="24"/>
          <w:highlight w:val="none"/>
        </w:rPr>
        <w:t>〖</w:t>
      </w:r>
      <w:r>
        <w:rPr>
          <w:rFonts w:hint="eastAsia" w:ascii="宋体" w:hAnsi="宋体" w:cs="宋体"/>
          <w:sz w:val="24"/>
          <w:szCs w:val="24"/>
          <w:highlight w:val="none"/>
          <w:lang w:val="en-US" w:eastAsia="zh-CN"/>
        </w:rPr>
        <w:t>0.025</w:t>
      </w:r>
      <w:r>
        <w:rPr>
          <w:rFonts w:hint="eastAsia" w:ascii="宋体" w:hAnsi="宋体" w:cs="宋体"/>
          <w:bCs/>
          <w:color w:val="000000"/>
          <w:sz w:val="24"/>
          <w:szCs w:val="24"/>
          <w:highlight w:val="none"/>
        </w:rPr>
        <w:t>%</w:t>
      </w:r>
      <w:r>
        <w:rPr>
          <w:rFonts w:hint="eastAsia" w:ascii="宋体" w:hAnsi="宋体" w:cs="宋体"/>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年化固定管理费率为</w:t>
      </w:r>
      <w:r>
        <w:rPr>
          <w:rFonts w:hint="eastAsia" w:ascii="宋体" w:hAnsi="宋体" w:cs="宋体"/>
          <w:sz w:val="24"/>
          <w:szCs w:val="24"/>
          <w:highlight w:val="none"/>
        </w:rPr>
        <w:t>〖</w:t>
      </w:r>
      <w:r>
        <w:rPr>
          <w:rFonts w:hint="eastAsia" w:ascii="宋体" w:hAnsi="宋体" w:cs="宋体"/>
          <w:sz w:val="24"/>
          <w:szCs w:val="24"/>
          <w:highlight w:val="none"/>
          <w:lang w:val="en-US" w:eastAsia="zh-CN"/>
        </w:rPr>
        <w:t>0.30%</w:t>
      </w:r>
      <w:r>
        <w:rPr>
          <w:rFonts w:hint="eastAsia" w:ascii="宋体" w:hAnsi="宋体" w:cs="宋体"/>
          <w:sz w:val="24"/>
          <w:szCs w:val="24"/>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以A份额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 w:val="24"/>
          <w:szCs w:val="24"/>
          <w:highlight w:val="none"/>
        </w:rPr>
        <w:t>〖</w:t>
      </w:r>
      <w:r>
        <w:rPr>
          <w:rFonts w:hint="eastAsia" w:ascii="宋体" w:hAnsi="宋体" w:cs="宋体"/>
          <w:sz w:val="24"/>
          <w:szCs w:val="24"/>
          <w:highlight w:val="none"/>
          <w:lang w:val="en-US" w:eastAsia="zh-CN"/>
        </w:rPr>
        <w:t>0.30%</w:t>
      </w:r>
      <w:r>
        <w:rPr>
          <w:rFonts w:hint="eastAsia" w:ascii="宋体" w:hAnsi="宋体" w:cs="宋体"/>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每日应计提的管理费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，如理财计划实际运作结果不达业绩比较基准时，管理人有权减免固定管理费。</w:t>
      </w:r>
    </w:p>
    <w:p>
      <w:pPr>
        <w:numPr>
          <w:ilvl w:val="0"/>
          <w:numId w:val="3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9"/>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9"/>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4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本理财计划免除</w:t>
      </w:r>
      <w:r>
        <w:rPr>
          <w:rFonts w:hint="eastAsia" w:ascii="宋体" w:hAnsi="宋体" w:cs="宋体"/>
          <w:bCs/>
          <w:color w:val="000000"/>
          <w:sz w:val="24"/>
          <w:highlight w:val="none"/>
          <w:lang w:val="en-US" w:eastAsia="zh-CN"/>
        </w:rPr>
        <w:t>浮动管理费。</w:t>
      </w:r>
    </w:p>
    <w:p>
      <w:pPr>
        <w:numPr>
          <w:ilvl w:val="0"/>
          <w:numId w:val="41"/>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3"/>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税收说明</w:t>
      </w:r>
    </w:p>
    <w:p>
      <w:pPr>
        <w:numPr>
          <w:ilvl w:val="0"/>
          <w:numId w:val="44"/>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4"/>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30"/>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收益计算</w:t>
      </w:r>
    </w:p>
    <w:p>
      <w:pPr>
        <w:numPr>
          <w:ilvl w:val="0"/>
          <w:numId w:val="45"/>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单位净值为提取相关费用及税费后的单位理财计划份额净值。</w:t>
      </w:r>
    </w:p>
    <w:p>
      <w:pPr>
        <w:numPr>
          <w:ilvl w:val="0"/>
          <w:numId w:val="45"/>
        </w:numPr>
        <w:spacing w:line="360" w:lineRule="auto"/>
        <w:jc w:val="left"/>
        <w:outlineLvl w:val="9"/>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w:t>
      </w:r>
      <w:r>
        <w:rPr>
          <w:rFonts w:hint="eastAsia" w:ascii="宋体" w:hAnsi="宋体" w:cs="宋体"/>
          <w:b/>
          <w:color w:val="000000"/>
          <w:sz w:val="24"/>
          <w:highlight w:val="none"/>
          <w:lang w:val="en-US" w:eastAsia="zh-CN"/>
        </w:rPr>
        <w:t>产生盈利</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〗为例，假设购买时理财计划净值为1.00元，折算份额为100,000.00份，假设投资理财计划362天。到期时扣除托管费、固定管理费、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w:t>
      </w:r>
      <w:r>
        <w:rPr>
          <w:rFonts w:hint="eastAsia" w:ascii="宋体" w:hAnsi="宋体" w:cs="宋体"/>
          <w:bCs/>
          <w:color w:val="000000"/>
          <w:sz w:val="24"/>
          <w:highlight w:val="none"/>
          <w:lang w:val="en-US" w:eastAsia="zh-CN"/>
        </w:rPr>
        <w:t>期间无分红，</w:t>
      </w:r>
      <w:r>
        <w:rPr>
          <w:rFonts w:hint="eastAsia" w:ascii="宋体" w:hAnsi="宋体" w:cs="宋体"/>
          <w:bCs/>
          <w:color w:val="000000"/>
          <w:sz w:val="24"/>
          <w:highlight w:val="none"/>
        </w:rPr>
        <w:t>此时，(1.0426/1.00-1)×365/362=4.30%，即投资</w:t>
      </w:r>
      <w:r>
        <w:rPr>
          <w:rFonts w:hint="eastAsia" w:ascii="宋体" w:hAnsi="宋体" w:cs="宋体"/>
          <w:bCs/>
          <w:color w:val="000000"/>
          <w:sz w:val="24"/>
          <w:highlight w:val="none"/>
          <w:lang w:val="en-US" w:eastAsia="zh-CN"/>
        </w:rPr>
        <w:t>收益达到年化</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4.30%</w:t>
      </w:r>
      <w:r>
        <w:rPr>
          <w:rFonts w:hint="eastAsia" w:ascii="宋体" w:hAnsi="宋体" w:cs="宋体"/>
          <w:bCs/>
          <w:color w:val="000000"/>
          <w:sz w:val="24"/>
          <w:highlight w:val="none"/>
        </w:rPr>
        <w:t>〗，投资者最终收益为：100,000.00×(1.0426-1.00）=4,260.00（元）</w:t>
      </w:r>
    </w:p>
    <w:p>
      <w:pPr>
        <w:numPr>
          <w:ilvl w:val="0"/>
          <w:numId w:val="4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二</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〗为例，假设购买时理财计划净值为1.00元，折算份额为100,000.00份，假设投资理财计划362天。到期时扣除托管费、固定管理费、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w:t>
      </w:r>
      <w:r>
        <w:rPr>
          <w:rFonts w:hint="eastAsia" w:ascii="宋体" w:hAnsi="宋体" w:cs="宋体"/>
          <w:bCs/>
          <w:color w:val="000000"/>
          <w:sz w:val="24"/>
          <w:highlight w:val="none"/>
          <w:lang w:val="en-US" w:eastAsia="zh-CN"/>
        </w:rPr>
        <w:t>期间无分红，</w:t>
      </w:r>
      <w:r>
        <w:rPr>
          <w:rFonts w:hint="eastAsia" w:ascii="宋体" w:hAnsi="宋体" w:cs="宋体"/>
          <w:bCs/>
          <w:color w:val="000000"/>
          <w:sz w:val="24"/>
          <w:highlight w:val="none"/>
        </w:rPr>
        <w:t>投资者最终收益为：100,000.00×（0.9975-1.00）=-250.00（元）。</w:t>
      </w:r>
    </w:p>
    <w:p>
      <w:pPr>
        <w:numPr>
          <w:ilvl w:val="0"/>
          <w:numId w:val="45"/>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30"/>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交易规则</w:t>
      </w:r>
    </w:p>
    <w:p>
      <w:pPr>
        <w:numPr>
          <w:ilvl w:val="0"/>
          <w:numId w:val="47"/>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认购</w:t>
      </w:r>
    </w:p>
    <w:p>
      <w:pPr>
        <w:numPr>
          <w:ilvl w:val="0"/>
          <w:numId w:val="4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7"/>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成立</w:t>
      </w:r>
    </w:p>
    <w:p>
      <w:pPr>
        <w:numPr>
          <w:ilvl w:val="0"/>
          <w:numId w:val="49"/>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9"/>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7"/>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申购及赎回</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5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w:t>
      </w:r>
      <w:r>
        <w:rPr>
          <w:rFonts w:hint="eastAsia" w:ascii="宋体" w:hAnsi="宋体" w:cs="宋体"/>
          <w:bCs/>
          <w:sz w:val="24"/>
          <w:highlight w:val="none"/>
          <w:lang w:val="en-US" w:eastAsia="zh-CN"/>
        </w:rPr>
        <w:t>的</w:t>
      </w:r>
      <w:r>
        <w:rPr>
          <w:rFonts w:hint="eastAsia" w:ascii="宋体" w:hAnsi="宋体" w:cs="宋体"/>
          <w:bCs/>
          <w:sz w:val="24"/>
          <w:highlight w:val="none"/>
        </w:rPr>
        <w:t>工作时间可进行申购</w:t>
      </w:r>
      <w:r>
        <w:rPr>
          <w:rFonts w:hint="eastAsia" w:ascii="宋体" w:hAnsi="宋体" w:cs="宋体"/>
          <w:bCs/>
          <w:sz w:val="24"/>
          <w:highlight w:val="none"/>
          <w:lang w:val="en-US" w:eastAsia="zh-CN"/>
        </w:rPr>
        <w:t>和撤单</w:t>
      </w:r>
      <w:r>
        <w:rPr>
          <w:rFonts w:hint="eastAsia" w:ascii="宋体" w:hAnsi="宋体" w:cs="宋体"/>
          <w:bCs/>
          <w:sz w:val="24"/>
          <w:highlight w:val="none"/>
        </w:rPr>
        <w:t>，申购申请将在确认日进行确认，即申购</w:t>
      </w:r>
      <w:r>
        <w:rPr>
          <w:rFonts w:hint="eastAsia" w:ascii="宋体" w:hAnsi="宋体" w:cs="宋体"/>
          <w:bCs/>
          <w:sz w:val="24"/>
          <w:highlight w:val="none"/>
          <w:lang w:val="en-US" w:eastAsia="zh-CN"/>
        </w:rPr>
        <w:t>申请日</w:t>
      </w:r>
      <w:r>
        <w:rPr>
          <w:rFonts w:hint="eastAsia" w:ascii="宋体" w:hAnsi="宋体" w:cs="宋体"/>
          <w:bCs/>
          <w:sz w:val="24"/>
          <w:highlight w:val="none"/>
        </w:rPr>
        <w:t>后的第〖1〗个</w:t>
      </w:r>
      <w:r>
        <w:rPr>
          <w:rFonts w:hint="eastAsia" w:ascii="宋体" w:hAnsi="宋体" w:cs="宋体"/>
          <w:bCs/>
          <w:sz w:val="24"/>
          <w:highlight w:val="none"/>
          <w:lang w:val="en-US" w:eastAsia="zh-CN"/>
        </w:rPr>
        <w:t>交易</w:t>
      </w:r>
      <w:r>
        <w:rPr>
          <w:rFonts w:hint="eastAsia" w:ascii="宋体" w:hAnsi="宋体" w:cs="宋体"/>
          <w:bCs/>
          <w:sz w:val="24"/>
          <w:highlight w:val="none"/>
        </w:rPr>
        <w:t>日进行确认。</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满足赎回条件后，</w:t>
      </w:r>
      <w:r>
        <w:rPr>
          <w:rFonts w:hint="eastAsia" w:ascii="宋体" w:hAnsi="宋体" w:cs="宋体"/>
          <w:bCs/>
          <w:sz w:val="24"/>
          <w:highlight w:val="none"/>
        </w:rPr>
        <w:t>本理财计划在每个开放期的工作时间可进行赎回</w:t>
      </w:r>
      <w:r>
        <w:rPr>
          <w:rFonts w:hint="eastAsia" w:ascii="宋体" w:hAnsi="宋体" w:cs="宋体"/>
          <w:bCs/>
          <w:sz w:val="24"/>
          <w:highlight w:val="none"/>
          <w:lang w:val="en-US" w:eastAsia="zh-CN"/>
        </w:rPr>
        <w:t>和撤单</w:t>
      </w:r>
      <w:r>
        <w:rPr>
          <w:rFonts w:hint="eastAsia" w:ascii="宋体" w:hAnsi="宋体" w:cs="宋体"/>
          <w:bCs/>
          <w:sz w:val="24"/>
          <w:highlight w:val="none"/>
        </w:rPr>
        <w:t>，赎回申请将在确认日进行确认，即赎回</w:t>
      </w:r>
      <w:r>
        <w:rPr>
          <w:rFonts w:hint="eastAsia" w:ascii="宋体" w:hAnsi="宋体" w:cs="宋体"/>
          <w:bCs/>
          <w:sz w:val="24"/>
          <w:highlight w:val="none"/>
          <w:lang w:val="en-US" w:eastAsia="zh-CN"/>
        </w:rPr>
        <w:t>申请日</w:t>
      </w:r>
      <w:r>
        <w:rPr>
          <w:rFonts w:hint="eastAsia" w:ascii="宋体" w:hAnsi="宋体" w:cs="宋体"/>
          <w:bCs/>
          <w:sz w:val="24"/>
          <w:highlight w:val="none"/>
        </w:rPr>
        <w:t>后的第〖1〗个</w:t>
      </w:r>
      <w:r>
        <w:rPr>
          <w:rFonts w:hint="eastAsia" w:ascii="宋体" w:hAnsi="宋体" w:cs="宋体"/>
          <w:bCs/>
          <w:sz w:val="24"/>
          <w:highlight w:val="none"/>
          <w:lang w:val="en-US" w:eastAsia="zh-CN"/>
        </w:rPr>
        <w:t>交易</w:t>
      </w:r>
      <w:r>
        <w:rPr>
          <w:rFonts w:hint="eastAsia" w:ascii="宋体" w:hAnsi="宋体" w:cs="宋体"/>
          <w:bCs/>
          <w:sz w:val="24"/>
          <w:highlight w:val="none"/>
        </w:rPr>
        <w:t>日进行确认。</w:t>
      </w:r>
    </w:p>
    <w:p>
      <w:pPr>
        <w:numPr>
          <w:ilvl w:val="0"/>
          <w:numId w:val="51"/>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在交易日的17:00之前提交的申购和赎回申请，申请日为提出申请当日；在交易日17:00之后及非交易日提交的申购和赎回申请，申请日为提出申请日的下一交易日。</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w:t>
      </w:r>
      <w:r>
        <w:rPr>
          <w:rFonts w:hint="eastAsia" w:ascii="宋体" w:hAnsi="宋体" w:cs="宋体"/>
          <w:bCs/>
          <w:sz w:val="24"/>
          <w:highlight w:val="none"/>
          <w:lang w:val="en-US" w:eastAsia="zh-CN"/>
        </w:rPr>
        <w:t>交易</w:t>
      </w:r>
      <w:r>
        <w:rPr>
          <w:rFonts w:hint="eastAsia" w:ascii="宋体" w:hAnsi="宋体" w:cs="宋体"/>
          <w:bCs/>
          <w:sz w:val="24"/>
          <w:highlight w:val="none"/>
        </w:rPr>
        <w:t>日上午〖9:00〗至下午〖</w:t>
      </w:r>
      <w:r>
        <w:rPr>
          <w:rFonts w:hint="eastAsia" w:ascii="宋体" w:hAnsi="宋体" w:cs="宋体"/>
          <w:bCs/>
          <w:sz w:val="24"/>
          <w:highlight w:val="none"/>
          <w:lang w:eastAsia="zh-CN"/>
        </w:rPr>
        <w:t>17:00</w:t>
      </w:r>
      <w:r>
        <w:rPr>
          <w:rFonts w:hint="eastAsia" w:ascii="宋体" w:hAnsi="宋体" w:cs="宋体"/>
          <w:bCs/>
          <w:sz w:val="24"/>
          <w:highlight w:val="none"/>
        </w:rPr>
        <w:t>〗。</w:t>
      </w:r>
      <w:r>
        <w:rPr>
          <w:rFonts w:hint="eastAsia" w:ascii="宋体" w:hAnsi="宋体" w:cs="宋体"/>
          <w:color w:val="000000"/>
          <w:kern w:val="0"/>
          <w:sz w:val="24"/>
          <w:szCs w:val="24"/>
          <w:highlight w:val="none"/>
        </w:rPr>
        <w:t>（具体以销售机构规定为准）</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于确认日当</w:t>
      </w:r>
      <w:r>
        <w:rPr>
          <w:rFonts w:hint="eastAsia" w:ascii="宋体" w:hAnsi="宋体" w:cs="宋体"/>
          <w:bCs/>
          <w:sz w:val="24"/>
          <w:highlight w:val="none"/>
        </w:rPr>
        <w:t>日，最晚</w:t>
      </w:r>
      <w:r>
        <w:rPr>
          <w:rFonts w:hint="eastAsia" w:ascii="宋体" w:hAnsi="宋体" w:cs="宋体"/>
          <w:bCs/>
          <w:sz w:val="24"/>
          <w:highlight w:val="none"/>
          <w:lang w:val="en-US" w:eastAsia="zh-CN"/>
        </w:rPr>
        <w:t>于确认日后</w:t>
      </w:r>
      <w:r>
        <w:rPr>
          <w:rFonts w:hint="eastAsia" w:ascii="宋体" w:hAnsi="宋体" w:cs="宋体"/>
          <w:bCs/>
          <w:sz w:val="24"/>
          <w:highlight w:val="none"/>
        </w:rPr>
        <w:t>〖</w:t>
      </w:r>
      <w:r>
        <w:rPr>
          <w:rFonts w:hint="eastAsia" w:ascii="宋体" w:hAnsi="宋体" w:cs="宋体"/>
          <w:bCs/>
          <w:sz w:val="24"/>
          <w:highlight w:val="none"/>
          <w:lang w:val="en-US" w:eastAsia="zh-CN"/>
        </w:rPr>
        <w:t>2</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如连续2日（含）以上开放日发生巨额赎回，对于已经接受的赎回申请，管理人可以延缓支付赎回款项，但延缓期限不得超过20个工作日。</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7"/>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于到期日后</w:t>
      </w:r>
      <w:r>
        <w:rPr>
          <w:rFonts w:hint="eastAsia" w:ascii="宋体" w:hAnsi="宋体" w:cs="宋体"/>
          <w:bCs/>
          <w:sz w:val="24"/>
          <w:highlight w:val="none"/>
        </w:rPr>
        <w:t>〖</w:t>
      </w:r>
      <w:r>
        <w:rPr>
          <w:rFonts w:hint="eastAsia" w:ascii="宋体" w:hAnsi="宋体" w:cs="宋体"/>
          <w:bCs/>
          <w:sz w:val="24"/>
          <w:highlight w:val="none"/>
          <w:lang w:val="en-US" w:eastAsia="zh-CN"/>
        </w:rPr>
        <w:t>1</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日、最晚</w:t>
      </w:r>
      <w:r>
        <w:rPr>
          <w:rFonts w:hint="eastAsia" w:ascii="宋体" w:hAnsi="宋体" w:cs="宋体"/>
          <w:bCs/>
          <w:sz w:val="24"/>
          <w:highlight w:val="none"/>
          <w:lang w:val="en-US" w:eastAsia="zh-CN"/>
        </w:rPr>
        <w:t>于到期日后</w:t>
      </w:r>
      <w:r>
        <w:rPr>
          <w:rFonts w:hint="eastAsia" w:ascii="宋体" w:hAnsi="宋体" w:cs="宋体"/>
          <w:bCs/>
          <w:sz w:val="24"/>
          <w:highlight w:val="none"/>
        </w:rPr>
        <w:t>〖</w:t>
      </w:r>
      <w:r>
        <w:rPr>
          <w:rFonts w:hint="eastAsia" w:ascii="宋体" w:hAnsi="宋体" w:cs="宋体"/>
          <w:bCs/>
          <w:sz w:val="24"/>
          <w:highlight w:val="none"/>
          <w:lang w:val="en-US" w:eastAsia="zh-CN"/>
        </w:rPr>
        <w:t>3</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7"/>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7"/>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30"/>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信息披露</w:t>
      </w:r>
    </w:p>
    <w:p>
      <w:pPr>
        <w:numPr>
          <w:ilvl w:val="0"/>
          <w:numId w:val="58"/>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6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5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6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6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numPr>
          <w:ilvl w:val="0"/>
          <w:numId w:val="0"/>
        </w:numPr>
        <w:spacing w:line="360" w:lineRule="auto"/>
        <w:ind w:firstLine="0" w:firstLineChars="0"/>
        <w:rPr>
          <w:rFonts w:hint="eastAsia" w:ascii="宋体" w:hAnsi="宋体" w:cs="宋体"/>
          <w:b/>
          <w:sz w:val="24"/>
          <w:highlight w:val="none"/>
          <w:u w:val="none"/>
        </w:rPr>
      </w:pPr>
      <w:r>
        <w:rPr>
          <w:rFonts w:hint="eastAsia" w:ascii="宋体" w:hAnsi="宋体" w:cs="宋体"/>
          <w:bCs/>
          <w:color w:val="000000"/>
          <w:sz w:val="24"/>
          <w:highlight w:val="none"/>
          <w:u w:val="none"/>
          <w:lang w:eastAsia="zh-CN"/>
        </w:rPr>
        <w:t>如本理财计划成立不足</w:t>
      </w:r>
      <w:r>
        <w:rPr>
          <w:rFonts w:hint="eastAsia" w:ascii="宋体" w:hAnsi="宋体" w:cs="宋体"/>
          <w:bCs/>
          <w:color w:val="000000"/>
          <w:sz w:val="24"/>
          <w:highlight w:val="none"/>
          <w:u w:val="none"/>
          <w:lang w:val="en-US" w:eastAsia="zh-CN"/>
        </w:rPr>
        <w:t>90个工作日或剩余存续期不超过90个工作日的，管理人可不编制当期的季度、半年和年度报告等运行报告。</w:t>
      </w:r>
    </w:p>
    <w:p>
      <w:pPr>
        <w:numPr>
          <w:ilvl w:val="0"/>
          <w:numId w:val="6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2"/>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8"/>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30"/>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其他</w:t>
      </w:r>
    </w:p>
    <w:p>
      <w:pPr>
        <w:numPr>
          <w:ilvl w:val="0"/>
          <w:numId w:val="63"/>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3"/>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3"/>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3"/>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202201</w:t>
      </w:r>
      <w:r>
        <w:rPr>
          <w:rFonts w:hint="eastAsia" w:ascii="宋体" w:hAnsi="宋体" w:cs="宋体"/>
          <w:sz w:val="28"/>
          <w:szCs w:val="28"/>
          <w:highlight w:val="none"/>
        </w:rPr>
        <w:t>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4"/>
        </w:numPr>
        <w:spacing w:line="360" w:lineRule="auto"/>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5"/>
        </w:numPr>
        <w:spacing w:line="360" w:lineRule="auto"/>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5"/>
        </w:numPr>
        <w:spacing w:line="360" w:lineRule="auto"/>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r>
        <w:rPr>
          <w:rFonts w:hint="eastAsia" w:ascii="宋体" w:hAnsi="宋体" w:cs="宋体"/>
          <w:kern w:val="0"/>
          <w:sz w:val="24"/>
          <w:highlight w:val="none"/>
          <w:lang w:val="en-US" w:eastAsia="zh-CN"/>
        </w:rPr>
        <w:t>如销售机构对于机构投资者的风险承受能力评估有要求的，则参照销售机构相关评估标准或代理销售协议书执行。</w:t>
      </w:r>
    </w:p>
    <w:p>
      <w:pPr>
        <w:numPr>
          <w:ilvl w:val="0"/>
          <w:numId w:val="65"/>
        </w:numPr>
        <w:spacing w:line="360" w:lineRule="auto"/>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bCs/>
          <w:sz w:val="24"/>
          <w:highlight w:val="none"/>
        </w:rPr>
        <w:t>理财计划</w:t>
      </w:r>
      <w:r>
        <w:rPr>
          <w:rFonts w:hint="eastAsia" w:ascii="宋体" w:hAnsi="宋体" w:cs="宋体"/>
          <w:kern w:val="0"/>
          <w:sz w:val="24"/>
          <w:highlight w:val="none"/>
        </w:rPr>
        <w:t>风险揭示书、理财计划产品说明书、投资者权益须知、理财计划投资协议书和</w:t>
      </w:r>
      <w:r>
        <w:rPr>
          <w:rFonts w:hint="eastAsia" w:ascii="宋体" w:hAnsi="宋体" w:cs="宋体"/>
          <w:bCs/>
          <w:sz w:val="24"/>
          <w:highlight w:val="none"/>
        </w:rPr>
        <w:t>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5"/>
        </w:numPr>
        <w:spacing w:line="360" w:lineRule="auto"/>
        <w:ind w:firstLine="480" w:firstLineChars="200"/>
        <w:outlineLvl w:val="9"/>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5"/>
        </w:numPr>
        <w:spacing w:line="360" w:lineRule="auto"/>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5"/>
        </w:numPr>
        <w:spacing w:line="360" w:lineRule="auto"/>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6"/>
        </w:numPr>
        <w:spacing w:line="360" w:lineRule="auto"/>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w:t>
      </w:r>
      <w:r>
        <w:rPr>
          <w:rFonts w:hint="eastAsia" w:ascii="宋体" w:hAnsi="宋体" w:cs="宋体"/>
          <w:kern w:val="0"/>
          <w:sz w:val="24"/>
          <w:highlight w:val="none"/>
          <w:lang w:eastAsia="zh-CN"/>
        </w:rPr>
        <w:t>中风险</w:t>
      </w:r>
      <w:r>
        <w:rPr>
          <w:rFonts w:hint="eastAsia" w:ascii="宋体" w:hAnsi="宋体" w:cs="宋体"/>
          <w:kern w:val="0"/>
          <w:sz w:val="24"/>
          <w:highlight w:val="none"/>
        </w:rPr>
        <w:t>（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firstLine="480" w:firstLineChars="200"/>
        <w:rPr>
          <w:rFonts w:hint="eastAsia" w:ascii="宋体" w:hAnsi="宋体" w:cs="宋体"/>
          <w:b w:val="0"/>
          <w:kern w:val="0"/>
          <w:sz w:val="24"/>
          <w:highlight w:val="none"/>
        </w:rPr>
      </w:pPr>
      <w:r>
        <w:rPr>
          <w:rFonts w:hint="eastAsia" w:ascii="宋体" w:hAnsi="宋体" w:cs="宋体"/>
          <w:bCs w:val="0"/>
          <w:kern w:val="0"/>
          <w:sz w:val="24"/>
          <w:highlight w:val="none"/>
        </w:rPr>
        <w:t>投资者风险承受能力评级水平以销售机构评估为准。</w:t>
      </w:r>
    </w:p>
    <w:p>
      <w:pPr>
        <w:numPr>
          <w:ilvl w:val="0"/>
          <w:numId w:val="66"/>
        </w:numPr>
        <w:spacing w:line="360" w:lineRule="auto"/>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7"/>
        </w:numPr>
        <w:spacing w:line="360" w:lineRule="auto"/>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7"/>
        </w:numPr>
        <w:spacing w:line="360" w:lineRule="auto"/>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7"/>
        </w:numPr>
        <w:spacing w:line="360" w:lineRule="auto"/>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8"/>
        </w:numPr>
        <w:spacing w:line="360" w:lineRule="auto"/>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8"/>
        </w:numPr>
        <w:spacing w:line="360" w:lineRule="auto"/>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8"/>
        </w:numPr>
        <w:spacing w:line="360" w:lineRule="auto"/>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8"/>
        </w:numPr>
        <w:spacing w:line="360" w:lineRule="auto"/>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9"/>
        </w:numPr>
        <w:spacing w:line="360" w:lineRule="auto"/>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9"/>
        </w:numPr>
        <w:spacing w:line="360" w:lineRule="auto"/>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9"/>
        </w:num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r>
        <w:rPr>
          <w:rFonts w:hint="eastAsia" w:ascii="宋体" w:hAnsi="宋体" w:cs="宋体"/>
          <w:kern w:val="0"/>
          <w:sz w:val="24"/>
          <w:highlight w:val="none"/>
          <w:lang w:val="en-US" w:eastAsia="zh-CN"/>
        </w:rPr>
        <w:t>如销售机构对于机构投资者的风险承受能力评估有要求的，则参照销售机构相关评估标准或代理销售协议书执行。</w:t>
      </w:r>
    </w:p>
    <w:p>
      <w:pPr>
        <w:spacing w:line="360" w:lineRule="auto"/>
        <w:ind w:firstLine="482" w:firstLineChars="200"/>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70"/>
        </w:numPr>
        <w:spacing w:line="360" w:lineRule="auto"/>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70"/>
        </w:numPr>
        <w:spacing w:line="360" w:lineRule="auto"/>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default"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u w:val="single"/>
          <w:lang w:val="en-US" w:eastAsia="zh-CN"/>
        </w:rPr>
        <w:fldChar w:fldCharType="begin"/>
      </w:r>
      <w:r>
        <w:rPr>
          <w:rFonts w:hint="eastAsia" w:ascii="宋体" w:hAnsi="宋体" w:cs="宋体"/>
          <w:kern w:val="0"/>
          <w:sz w:val="24"/>
          <w:highlight w:val="none"/>
          <w:u w:val="single"/>
          <w:lang w:val="en-US" w:eastAsia="zh-CN"/>
        </w:rPr>
        <w:instrText xml:space="preserve"> HYPERLINK "http://www.hzbankwealth.cn" </w:instrText>
      </w:r>
      <w:r>
        <w:rPr>
          <w:rFonts w:hint="eastAsia" w:ascii="宋体" w:hAnsi="宋体" w:cs="宋体"/>
          <w:kern w:val="0"/>
          <w:sz w:val="24"/>
          <w:highlight w:val="none"/>
          <w:u w:val="single"/>
          <w:lang w:val="en-US" w:eastAsia="zh-CN"/>
        </w:rPr>
        <w:fldChar w:fldCharType="separate"/>
      </w:r>
      <w:r>
        <w:rPr>
          <w:rStyle w:val="12"/>
          <w:rFonts w:hint="eastAsia" w:ascii="宋体" w:hAnsi="宋体" w:cs="宋体"/>
          <w:kern w:val="0"/>
          <w:sz w:val="24"/>
          <w:highlight w:val="none"/>
          <w:lang w:val="en-US" w:eastAsia="zh-CN"/>
        </w:rPr>
        <w:t>www.hzbankwealth.co</w:t>
      </w:r>
      <w:r>
        <w:rPr>
          <w:rFonts w:hint="eastAsia" w:ascii="宋体" w:hAnsi="宋体" w:cs="宋体"/>
          <w:kern w:val="0"/>
          <w:sz w:val="24"/>
          <w:highlight w:val="none"/>
          <w:u w:val="single"/>
          <w:lang w:val="en-US" w:eastAsia="zh-CN"/>
        </w:rPr>
        <w:fldChar w:fldCharType="end"/>
      </w:r>
      <w:r>
        <w:rPr>
          <w:rStyle w:val="12"/>
          <w:rFonts w:hint="eastAsia" w:ascii="宋体" w:hAnsi="宋体" w:cs="宋体"/>
          <w:kern w:val="0"/>
          <w:sz w:val="24"/>
          <w:highlight w:val="none"/>
          <w:lang w:val="en-US" w:eastAsia="zh-CN"/>
        </w:rPr>
        <w:t>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u w:val="single"/>
          <w:lang w:val="en-US" w:eastAsia="zh-CN"/>
        </w:rPr>
        <w:fldChar w:fldCharType="begin"/>
      </w:r>
      <w:r>
        <w:rPr>
          <w:rFonts w:hint="eastAsia" w:ascii="宋体" w:hAnsi="宋体" w:cs="宋体"/>
          <w:kern w:val="0"/>
          <w:sz w:val="24"/>
          <w:highlight w:val="none"/>
          <w:u w:val="single"/>
          <w:lang w:val="en-US" w:eastAsia="zh-CN"/>
        </w:rPr>
        <w:instrText xml:space="preserve"> HYPERLINK "http://www.hzbankwealth.cn" </w:instrText>
      </w:r>
      <w:r>
        <w:rPr>
          <w:rFonts w:hint="eastAsia" w:ascii="宋体" w:hAnsi="宋体" w:cs="宋体"/>
          <w:kern w:val="0"/>
          <w:sz w:val="24"/>
          <w:highlight w:val="none"/>
          <w:u w:val="single"/>
          <w:lang w:val="en-US" w:eastAsia="zh-CN"/>
        </w:rPr>
        <w:fldChar w:fldCharType="separate"/>
      </w:r>
      <w:r>
        <w:rPr>
          <w:rStyle w:val="12"/>
          <w:rFonts w:hint="eastAsia" w:ascii="宋体" w:hAnsi="宋体" w:cs="宋体"/>
          <w:kern w:val="0"/>
          <w:sz w:val="24"/>
          <w:highlight w:val="none"/>
          <w:lang w:val="en-US" w:eastAsia="zh-CN"/>
        </w:rPr>
        <w:t>www.hzbank.com.cn</w:t>
      </w:r>
      <w:r>
        <w:rPr>
          <w:rFonts w:hint="eastAsia" w:ascii="宋体" w:hAnsi="宋体" w:cs="宋体"/>
          <w:kern w:val="0"/>
          <w:sz w:val="24"/>
          <w:highlight w:val="none"/>
          <w:u w:val="singl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jc w:val="center"/>
        <w:rPr>
          <w:rFonts w:hint="eastAsia"/>
          <w:b/>
          <w:sz w:val="44"/>
          <w:szCs w:val="44"/>
          <w:highlight w:val="none"/>
        </w:rPr>
      </w:pPr>
      <w:r>
        <w:rPr>
          <w:rFonts w:hint="eastAsia" w:ascii="宋体" w:hAnsi="宋体" w:cs="宋体"/>
          <w:bCs/>
          <w:color w:val="000000"/>
          <w:sz w:val="2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202201</w:t>
      </w:r>
      <w:r>
        <w:rPr>
          <w:rFonts w:hint="eastAsia" w:ascii="宋体" w:hAnsi="宋体" w:cs="宋体"/>
          <w:sz w:val="28"/>
          <w:szCs w:val="28"/>
          <w:highlight w:val="none"/>
        </w:rPr>
        <w:t>版）</w:t>
      </w:r>
    </w:p>
    <w:p>
      <w:pPr>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rPr>
        <w:t>理财计划</w:t>
      </w:r>
      <w:r>
        <w:rPr>
          <w:rFonts w:hint="eastAsia"/>
          <w:b/>
          <w:bCs/>
          <w:sz w:val="24"/>
          <w:highlight w:val="none"/>
        </w:rPr>
        <w:t>风险揭示书、理财计划</w:t>
      </w:r>
      <w:r>
        <w:rPr>
          <w:rFonts w:hint="eastAsia"/>
          <w:b/>
          <w:bCs/>
          <w:sz w:val="24"/>
          <w:highlight w:val="none"/>
          <w:lang w:val="en-US" w:eastAsia="zh-CN"/>
        </w:rPr>
        <w:t>产品</w:t>
      </w:r>
      <w:r>
        <w:rPr>
          <w:rFonts w:hint="eastAsia"/>
          <w:b/>
          <w:bCs/>
          <w:sz w:val="24"/>
          <w:highlight w:val="none"/>
        </w:rPr>
        <w:t>说明书、投资者权益须知及</w:t>
      </w:r>
      <w:r>
        <w:rPr>
          <w:rFonts w:hint="eastAsia" w:ascii="宋体" w:hAnsi="宋体" w:cs="宋体"/>
          <w:b/>
          <w:bCs/>
          <w:sz w:val="24"/>
          <w:highlight w:val="none"/>
        </w:rPr>
        <w:t>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numPr>
          <w:ilvl w:val="0"/>
          <w:numId w:val="72"/>
        </w:numPr>
        <w:spacing w:line="360" w:lineRule="auto"/>
        <w:ind w:firstLine="482" w:firstLineChars="200"/>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numPr>
          <w:ilvl w:val="0"/>
          <w:numId w:val="72"/>
        </w:numPr>
        <w:spacing w:line="360" w:lineRule="auto"/>
        <w:ind w:firstLine="482" w:firstLineChars="200"/>
        <w:rPr>
          <w:rFonts w:hint="eastAsia"/>
          <w:b/>
          <w:sz w:val="24"/>
          <w:highlight w:val="none"/>
        </w:rPr>
      </w:pPr>
      <w:r>
        <w:rPr>
          <w:rFonts w:hint="eastAsia"/>
          <w:b/>
          <w:sz w:val="24"/>
          <w:highlight w:val="none"/>
        </w:rPr>
        <w:t>投资者权利与义务</w:t>
      </w:r>
    </w:p>
    <w:p>
      <w:pPr>
        <w:widowControl/>
        <w:numPr>
          <w:ilvl w:val="0"/>
          <w:numId w:val="73"/>
        </w:numPr>
        <w:spacing w:line="360" w:lineRule="auto"/>
        <w:contextualSpacing/>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3"/>
        </w:numPr>
        <w:spacing w:line="360" w:lineRule="auto"/>
        <w:contextualSpacing/>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3"/>
        </w:numPr>
        <w:spacing w:line="360" w:lineRule="auto"/>
        <w:contextualSpacing/>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3"/>
        </w:numPr>
        <w:spacing w:line="360" w:lineRule="auto"/>
        <w:contextualSpacing/>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3"/>
        </w:numPr>
        <w:spacing w:line="360" w:lineRule="auto"/>
        <w:contextualSpacing/>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3"/>
        </w:numPr>
        <w:spacing w:line="360" w:lineRule="auto"/>
        <w:contextualSpacing/>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3"/>
        </w:numPr>
        <w:spacing w:line="360" w:lineRule="auto"/>
        <w:contextualSpacing/>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3"/>
        </w:numPr>
        <w:spacing w:line="360" w:lineRule="auto"/>
        <w:contextualSpacing/>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3"/>
        </w:numPr>
        <w:spacing w:line="360" w:lineRule="auto"/>
        <w:contextualSpacing/>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2"/>
        </w:numPr>
        <w:spacing w:line="360" w:lineRule="auto"/>
        <w:ind w:firstLine="482" w:firstLineChars="200"/>
        <w:rPr>
          <w:rFonts w:hint="eastAsia"/>
          <w:b/>
          <w:sz w:val="24"/>
          <w:highlight w:val="none"/>
        </w:rPr>
      </w:pPr>
      <w:r>
        <w:rPr>
          <w:rFonts w:hint="eastAsia"/>
          <w:b/>
          <w:sz w:val="24"/>
          <w:highlight w:val="none"/>
        </w:rPr>
        <w:t>管理人权利与义务</w:t>
      </w:r>
    </w:p>
    <w:p>
      <w:pPr>
        <w:widowControl/>
        <w:numPr>
          <w:ilvl w:val="0"/>
          <w:numId w:val="74"/>
        </w:numPr>
        <w:spacing w:line="360" w:lineRule="auto"/>
        <w:contextualSpacing/>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4"/>
        </w:numPr>
        <w:spacing w:line="360" w:lineRule="auto"/>
        <w:contextualSpacing/>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4"/>
        </w:numPr>
        <w:spacing w:line="360" w:lineRule="auto"/>
        <w:contextualSpacing/>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4"/>
        </w:numPr>
        <w:spacing w:line="360" w:lineRule="auto"/>
        <w:contextualSpacing/>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4"/>
        </w:numPr>
        <w:spacing w:line="360" w:lineRule="auto"/>
        <w:contextualSpacing/>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4"/>
        </w:numPr>
        <w:spacing w:line="360" w:lineRule="auto"/>
        <w:contextualSpacing/>
        <w:rPr>
          <w:rFonts w:ascii="宋体" w:hAnsi="宋体"/>
          <w:sz w:val="24"/>
          <w:highlight w:val="none"/>
        </w:rPr>
      </w:pPr>
      <w:r>
        <w:rPr>
          <w:rFonts w:hint="eastAsia" w:ascii="宋体" w:hAnsi="宋体"/>
          <w:sz w:val="24"/>
          <w:highlight w:val="none"/>
        </w:rPr>
        <w:t>管理人应当选择具有证券投资基金托管业务资格的金融机构、银行业理财登记托管机构或者</w:t>
      </w:r>
      <w:r>
        <w:rPr>
          <w:rFonts w:hint="eastAsia" w:ascii="宋体" w:hAnsi="宋体" w:cs="宋体"/>
          <w:bCs/>
          <w:sz w:val="24"/>
          <w:highlight w:val="none"/>
        </w:rPr>
        <w:t>国务院银行业监督管理</w:t>
      </w:r>
      <w:r>
        <w:rPr>
          <w:rFonts w:hint="eastAsia" w:ascii="宋体" w:hAnsi="宋体" w:cs="宋体"/>
          <w:bCs/>
          <w:sz w:val="24"/>
          <w:highlight w:val="none"/>
          <w:lang w:val="en-US" w:eastAsia="zh-CN"/>
        </w:rPr>
        <w:t>机构</w:t>
      </w:r>
      <w:r>
        <w:rPr>
          <w:rFonts w:hint="eastAsia" w:ascii="宋体" w:hAnsi="宋体" w:cs="宋体"/>
          <w:bCs/>
          <w:sz w:val="24"/>
          <w:highlight w:val="none"/>
        </w:rPr>
        <w:t>认可</w:t>
      </w:r>
      <w:r>
        <w:rPr>
          <w:rFonts w:hint="eastAsia" w:ascii="宋体" w:hAnsi="宋体"/>
          <w:sz w:val="24"/>
          <w:highlight w:val="none"/>
        </w:rPr>
        <w:t xml:space="preserve">的其他机构托管理财计划。 </w:t>
      </w:r>
    </w:p>
    <w:p>
      <w:pPr>
        <w:widowControl/>
        <w:numPr>
          <w:ilvl w:val="0"/>
          <w:numId w:val="74"/>
        </w:numPr>
        <w:spacing w:line="360" w:lineRule="auto"/>
        <w:contextualSpacing/>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4"/>
        </w:numPr>
        <w:spacing w:line="360" w:lineRule="auto"/>
        <w:contextualSpacing/>
        <w:rPr>
          <w:rFonts w:ascii="宋体" w:hAnsi="宋体"/>
          <w:sz w:val="24"/>
          <w:highlight w:val="none"/>
        </w:rPr>
      </w:pPr>
      <w:r>
        <w:rPr>
          <w:rFonts w:hint="eastAsia" w:ascii="宋体" w:hAnsi="宋体"/>
          <w:sz w:val="24"/>
          <w:highlight w:val="none"/>
        </w:rPr>
        <w:t>管理人</w:t>
      </w:r>
      <w:r>
        <w:rPr>
          <w:rFonts w:hint="eastAsia" w:ascii="宋体" w:hAnsi="宋体" w:cs="宋体"/>
          <w:bCs/>
          <w:color w:val="000000"/>
          <w:sz w:val="24"/>
          <w:highlight w:val="none"/>
        </w:rPr>
        <w:t>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4"/>
        </w:numPr>
        <w:spacing w:line="360" w:lineRule="auto"/>
        <w:contextualSpacing/>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2"/>
        </w:numPr>
        <w:spacing w:line="360" w:lineRule="auto"/>
        <w:ind w:firstLine="482" w:firstLineChars="200"/>
        <w:rPr>
          <w:rFonts w:hint="eastAsia"/>
          <w:b/>
          <w:sz w:val="24"/>
          <w:highlight w:val="none"/>
        </w:rPr>
      </w:pPr>
      <w:r>
        <w:rPr>
          <w:rFonts w:hint="eastAsia"/>
          <w:b/>
          <w:sz w:val="24"/>
          <w:highlight w:val="none"/>
        </w:rPr>
        <w:t>理财计划认（申）购、赎回及终止</w:t>
      </w:r>
    </w:p>
    <w:p>
      <w:pPr>
        <w:widowControl/>
        <w:numPr>
          <w:ilvl w:val="0"/>
          <w:numId w:val="75"/>
        </w:numPr>
        <w:spacing w:line="360" w:lineRule="auto"/>
        <w:contextualSpacing/>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5"/>
        </w:numPr>
        <w:spacing w:line="360" w:lineRule="auto"/>
        <w:contextualSpacing/>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5"/>
        </w:numPr>
        <w:spacing w:line="360" w:lineRule="auto"/>
        <w:contextualSpacing/>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5"/>
        </w:numPr>
        <w:spacing w:line="360" w:lineRule="auto"/>
        <w:contextualSpacing/>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5"/>
        </w:numPr>
        <w:spacing w:line="360" w:lineRule="auto"/>
        <w:contextualSpacing/>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5"/>
        </w:numPr>
        <w:spacing w:line="360" w:lineRule="auto"/>
        <w:contextualSpacing/>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2"/>
        </w:numPr>
        <w:spacing w:line="360" w:lineRule="auto"/>
        <w:ind w:firstLine="482" w:firstLineChars="200"/>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2"/>
        </w:numPr>
        <w:spacing w:line="360" w:lineRule="auto"/>
        <w:ind w:firstLine="482" w:firstLineChars="200"/>
        <w:rPr>
          <w:rFonts w:hint="eastAsia"/>
          <w:b/>
          <w:sz w:val="24"/>
          <w:highlight w:val="none"/>
        </w:rPr>
      </w:pPr>
      <w:r>
        <w:rPr>
          <w:rFonts w:hint="eastAsia"/>
          <w:b/>
          <w:sz w:val="24"/>
          <w:highlight w:val="none"/>
        </w:rPr>
        <w:t>违约责任及免责条款</w:t>
      </w:r>
    </w:p>
    <w:p>
      <w:pPr>
        <w:widowControl/>
        <w:numPr>
          <w:ilvl w:val="0"/>
          <w:numId w:val="76"/>
        </w:numPr>
        <w:spacing w:line="360" w:lineRule="auto"/>
        <w:contextualSpacing/>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val="en-US"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val="en-US" w:eastAsia="zh-CN"/>
        </w:rPr>
        <w:t>赎回</w:t>
      </w:r>
      <w:r>
        <w:rPr>
          <w:rFonts w:hint="eastAsia" w:ascii="宋体" w:hAnsi="宋体"/>
          <w:sz w:val="24"/>
          <w:highlight w:val="none"/>
        </w:rPr>
        <w:t>日前的理财收益，也不计付存款利息。</w:t>
      </w:r>
    </w:p>
    <w:p>
      <w:pPr>
        <w:widowControl/>
        <w:numPr>
          <w:ilvl w:val="0"/>
          <w:numId w:val="76"/>
        </w:numPr>
        <w:spacing w:line="360" w:lineRule="auto"/>
        <w:contextualSpacing/>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6"/>
        </w:numPr>
        <w:spacing w:line="360" w:lineRule="auto"/>
        <w:contextualSpacing/>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6"/>
        </w:numPr>
        <w:spacing w:line="360" w:lineRule="auto"/>
        <w:contextualSpacing/>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6"/>
        </w:numPr>
        <w:spacing w:line="360" w:lineRule="auto"/>
        <w:contextualSpacing/>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6"/>
        </w:numPr>
        <w:spacing w:line="360" w:lineRule="auto"/>
        <w:contextualSpacing/>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2"/>
        </w:numPr>
        <w:spacing w:line="360" w:lineRule="auto"/>
        <w:ind w:firstLine="482" w:firstLineChars="200"/>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w:t>
      </w:r>
      <w:r>
        <w:rPr>
          <w:rFonts w:hint="eastAsia" w:ascii="宋体" w:hAnsi="宋体"/>
          <w:sz w:val="24"/>
          <w:highlight w:val="none"/>
          <w:lang w:val="en-US" w:eastAsia="zh-CN"/>
        </w:rPr>
        <w:t>需</w:t>
      </w:r>
      <w:r>
        <w:rPr>
          <w:rFonts w:hint="eastAsia" w:ascii="宋体" w:hAnsi="宋体"/>
          <w:sz w:val="24"/>
          <w:highlight w:val="none"/>
        </w:rPr>
        <w:t>继续履行。</w:t>
      </w:r>
    </w:p>
    <w:p>
      <w:pPr>
        <w:spacing w:line="360" w:lineRule="auto"/>
        <w:ind w:left="482"/>
        <w:rPr>
          <w:b/>
          <w:sz w:val="24"/>
          <w:highlight w:val="none"/>
        </w:rPr>
      </w:pPr>
    </w:p>
    <w:p>
      <w:pPr>
        <w:numPr>
          <w:ilvl w:val="0"/>
          <w:numId w:val="72"/>
        </w:numPr>
        <w:spacing w:line="360" w:lineRule="auto"/>
        <w:ind w:firstLine="482" w:firstLineChars="200"/>
        <w:rPr>
          <w:rFonts w:hint="eastAsia"/>
          <w:b/>
          <w:sz w:val="24"/>
          <w:highlight w:val="none"/>
        </w:rPr>
      </w:pPr>
      <w:r>
        <w:rPr>
          <w:rFonts w:hint="eastAsia"/>
          <w:b/>
          <w:sz w:val="24"/>
          <w:highlight w:val="none"/>
        </w:rPr>
        <w:t>协议生效和终止</w:t>
      </w:r>
    </w:p>
    <w:p>
      <w:pPr>
        <w:widowControl/>
        <w:numPr>
          <w:ilvl w:val="0"/>
          <w:numId w:val="77"/>
        </w:numPr>
        <w:spacing w:line="360" w:lineRule="auto"/>
        <w:contextualSpacing/>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7"/>
        </w:numPr>
        <w:spacing w:line="360" w:lineRule="auto"/>
        <w:contextualSpacing/>
        <w:rPr>
          <w:rFonts w:hint="eastAsia" w:ascii="宋体" w:hAnsi="宋体"/>
          <w:sz w:val="24"/>
          <w:highlight w:val="none"/>
        </w:rPr>
      </w:pPr>
      <w:r>
        <w:rPr>
          <w:rFonts w:hint="eastAsia" w:ascii="宋体" w:hAnsi="宋体"/>
          <w:sz w:val="24"/>
          <w:highlight w:val="none"/>
        </w:rPr>
        <w:t>本协议书以纸质书面形式订立的，自投资者</w:t>
      </w:r>
      <w:r>
        <w:rPr>
          <w:rFonts w:hint="eastAsia" w:ascii="宋体" w:hAnsi="宋体"/>
          <w:sz w:val="24"/>
          <w:highlight w:val="none"/>
          <w:lang w:val="en-US" w:eastAsia="zh-CN"/>
        </w:rPr>
        <w:t>签署（如投资者为个人，应签字；如投资者为机构，应法定代表人或授权代理人签字或盖章并加盖公章或有效授权印章）并经管理人系统确认购买理财计划份额</w:t>
      </w:r>
      <w:r>
        <w:rPr>
          <w:rFonts w:hint="eastAsia" w:ascii="宋体" w:hAnsi="宋体"/>
          <w:sz w:val="24"/>
          <w:highlight w:val="none"/>
        </w:rPr>
        <w:t>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7"/>
        </w:numPr>
        <w:spacing w:line="360" w:lineRule="auto"/>
        <w:contextualSpacing/>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7"/>
        </w:numPr>
        <w:spacing w:line="360" w:lineRule="auto"/>
        <w:contextualSpacing/>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2"/>
        </w:numPr>
        <w:spacing w:line="360" w:lineRule="auto"/>
        <w:ind w:firstLine="482" w:firstLineChars="200"/>
        <w:rPr>
          <w:b/>
          <w:sz w:val="24"/>
          <w:highlight w:val="none"/>
        </w:rPr>
      </w:pPr>
      <w:r>
        <w:rPr>
          <w:rFonts w:hint="eastAsia"/>
          <w:b/>
          <w:sz w:val="24"/>
          <w:highlight w:val="none"/>
        </w:rPr>
        <w:t>附则</w:t>
      </w:r>
    </w:p>
    <w:p>
      <w:pPr>
        <w:widowControl/>
        <w:numPr>
          <w:ilvl w:val="0"/>
          <w:numId w:val="78"/>
        </w:numPr>
        <w:spacing w:line="360" w:lineRule="auto"/>
        <w:contextualSpacing/>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8"/>
        </w:numPr>
        <w:spacing w:line="360" w:lineRule="auto"/>
        <w:contextualSpacing/>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8"/>
        </w:numPr>
        <w:spacing w:line="360" w:lineRule="auto"/>
        <w:contextualSpacing/>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7"/>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spacing w:line="360" w:lineRule="auto"/>
        <w:rPr>
          <w:rFonts w:ascii="宋体" w:hAnsi="宋体"/>
          <w:sz w:val="24"/>
          <w:highlight w:val="none"/>
        </w:rPr>
      </w:pPr>
      <w:r>
        <w:rPr>
          <w:rFonts w:hint="eastAsia" w:ascii="宋体" w:hAnsi="宋体"/>
          <w:sz w:val="24"/>
          <w:highlight w:val="none"/>
        </w:rPr>
        <w:t>本页为纸质形式（如有）</w:t>
      </w:r>
      <w:r>
        <w:rPr>
          <w:rFonts w:hint="eastAsia" w:ascii="宋体" w:hAnsi="宋体"/>
          <w:sz w:val="24"/>
          <w:highlight w:val="none"/>
          <w:lang w:val="en-US" w:eastAsia="zh-CN"/>
        </w:rPr>
        <w:t>投资</w:t>
      </w:r>
      <w:r>
        <w:rPr>
          <w:rFonts w:hint="eastAsia" w:ascii="宋体" w:hAnsi="宋体"/>
          <w:sz w:val="24"/>
          <w:highlight w:val="none"/>
        </w:rPr>
        <w:t>协议书签章页</w:t>
      </w: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rFonts w:hint="eastAsia" w:ascii="宋体" w:hAnsi="宋体"/>
          <w:b/>
          <w:bCs/>
          <w:sz w:val="24"/>
          <w:highlight w:val="none"/>
        </w:rPr>
      </w:pPr>
      <w:r>
        <w:rPr>
          <w:rFonts w:hint="eastAsia" w:ascii="宋体" w:hAnsi="宋体"/>
          <w:b/>
          <w:bCs/>
          <w:sz w:val="24"/>
          <w:highlight w:val="none"/>
        </w:rPr>
        <w:t>投资者（签字</w:t>
      </w:r>
      <w:r>
        <w:rPr>
          <w:rFonts w:hint="eastAsia" w:ascii="宋体" w:hAnsi="宋体" w:eastAsia="宋体" w:cs="黑体"/>
          <w:b/>
          <w:bCs/>
          <w:sz w:val="24"/>
          <w:highlight w:val="none"/>
          <w:lang w:eastAsia="zh-CN"/>
        </w:rPr>
        <w:t>或签章</w:t>
      </w:r>
      <w:r>
        <w:rPr>
          <w:rFonts w:hint="eastAsia" w:ascii="宋体" w:hAnsi="宋体"/>
          <w:b/>
          <w:bCs/>
          <w:sz w:val="24"/>
          <w:highlight w:val="none"/>
        </w:rPr>
        <w:t>）：</w:t>
      </w: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line="360" w:lineRule="auto"/>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jc w:val="center"/>
        <w:rPr>
          <w:rFonts w:hint="eastAsia"/>
          <w:b/>
          <w:sz w:val="44"/>
          <w:szCs w:val="44"/>
          <w:highlight w:val="none"/>
        </w:rPr>
      </w:pPr>
    </w:p>
    <w:p>
      <w:pPr>
        <w:jc w:val="center"/>
        <w:rPr>
          <w:rFonts w:hint="eastAsia"/>
          <w:b/>
          <w:sz w:val="44"/>
          <w:szCs w:val="44"/>
          <w:highlight w:val="none"/>
        </w:rPr>
      </w:pPr>
    </w:p>
    <w:p>
      <w:pPr>
        <w:jc w:val="center"/>
        <w:rPr>
          <w:rFonts w:hint="eastAsia"/>
          <w:b/>
          <w:sz w:val="44"/>
          <w:szCs w:val="44"/>
          <w:highlight w:val="none"/>
        </w:rPr>
      </w:pPr>
    </w:p>
    <w:p>
      <w:pPr>
        <w:jc w:val="center"/>
        <w:rPr>
          <w:rFonts w:hint="eastAsia"/>
          <w:b/>
          <w:sz w:val="44"/>
          <w:szCs w:val="44"/>
          <w:highlight w:val="none"/>
        </w:rPr>
      </w:pPr>
    </w:p>
    <w:p>
      <w:pPr>
        <w:jc w:val="center"/>
        <w:rPr>
          <w:rFonts w:hint="eastAsia"/>
          <w:b/>
          <w:sz w:val="44"/>
          <w:szCs w:val="44"/>
          <w:highlight w:val="none"/>
        </w:rPr>
      </w:pPr>
    </w:p>
    <w:p>
      <w:pPr>
        <w:jc w:val="center"/>
        <w:rPr>
          <w:rFonts w:hint="eastAsia"/>
          <w:b/>
          <w:sz w:val="44"/>
          <w:szCs w:val="44"/>
          <w:highlight w:val="none"/>
        </w:rPr>
      </w:pPr>
    </w:p>
    <w:p>
      <w:pPr>
        <w:jc w:val="both"/>
        <w:rPr>
          <w:rFonts w:hint="eastAsia"/>
          <w:b/>
          <w:sz w:val="44"/>
          <w:szCs w:val="44"/>
          <w:highlight w:val="none"/>
        </w:rPr>
      </w:pPr>
    </w:p>
    <w:p>
      <w:pPr>
        <w:jc w:val="center"/>
        <w:rPr>
          <w:rFonts w:hint="eastAsia"/>
          <w:b/>
          <w:sz w:val="44"/>
          <w:szCs w:val="44"/>
          <w:highlight w:val="none"/>
        </w:rPr>
      </w:pPr>
      <w:bookmarkStart w:id="0" w:name="_GoBack"/>
      <w:bookmarkEnd w:id="0"/>
      <w:r>
        <w:rPr>
          <w:rFonts w:hint="eastAsia"/>
          <w:b/>
          <w:sz w:val="44"/>
          <w:szCs w:val="44"/>
          <w:highlight w:val="none"/>
        </w:rPr>
        <w:t>杭银理财理财计划销售协议书</w:t>
      </w:r>
    </w:p>
    <w:p>
      <w:pPr>
        <w:jc w:val="center"/>
        <w:rPr>
          <w:rFonts w:hint="eastAsia" w:ascii="宋体" w:hAnsi="宋体" w:cs="宋体"/>
          <w:sz w:val="28"/>
          <w:szCs w:val="28"/>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202201</w:t>
      </w:r>
      <w:r>
        <w:rPr>
          <w:rFonts w:hint="eastAsia" w:ascii="宋体" w:hAnsi="宋体" w:cs="宋体"/>
          <w:sz w:val="28"/>
          <w:szCs w:val="28"/>
          <w:highlight w:val="none"/>
        </w:rPr>
        <w:t>版）</w:t>
      </w:r>
    </w:p>
    <w:p>
      <w:pPr>
        <w:spacing w:line="360" w:lineRule="auto"/>
        <w:jc w:val="center"/>
        <w:rPr>
          <w:sz w:val="32"/>
          <w:szCs w:val="40"/>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特别提示：《杭银理财理财计划销售协议书</w:t>
      </w:r>
      <w:r>
        <w:rPr>
          <w:rFonts w:hint="eastAsia" w:ascii="宋体" w:hAnsi="宋体" w:cs="宋体"/>
          <w:b/>
          <w:bCs/>
          <w:sz w:val="24"/>
          <w:highlight w:val="none"/>
        </w:rPr>
        <w:t>（</w:t>
      </w:r>
      <w:r>
        <w:rPr>
          <w:rFonts w:hint="eastAsia" w:ascii="宋体" w:hAnsi="宋体" w:cs="宋体"/>
          <w:b/>
          <w:bCs/>
          <w:sz w:val="24"/>
          <w:highlight w:val="none"/>
          <w:lang w:eastAsia="zh-CN"/>
        </w:rPr>
        <w:t>202201</w:t>
      </w:r>
      <w:r>
        <w:rPr>
          <w:rFonts w:hint="eastAsia" w:ascii="宋体" w:hAnsi="宋体" w:cs="宋体"/>
          <w:b/>
          <w:bCs/>
          <w:sz w:val="24"/>
          <w:highlight w:val="none"/>
        </w:rPr>
        <w:t>版）</w:t>
      </w:r>
      <w:r>
        <w:rPr>
          <w:rFonts w:hint="eastAsia"/>
          <w:b/>
          <w:bCs/>
          <w:sz w:val="24"/>
          <w:highlight w:val="none"/>
        </w:rPr>
        <w:t>》与对应期次的</w:t>
      </w:r>
      <w:r>
        <w:rPr>
          <w:rFonts w:hint="eastAsia"/>
          <w:b/>
          <w:bCs/>
          <w:sz w:val="24"/>
          <w:highlight w:val="none"/>
        </w:rPr>
        <w:t>理财计划</w:t>
      </w:r>
      <w:r>
        <w:rPr>
          <w:rFonts w:hint="eastAsia"/>
          <w:b/>
          <w:bCs/>
          <w:sz w:val="24"/>
          <w:highlight w:val="none"/>
        </w:rPr>
        <w:t>风险揭示书、理财计划产品说明书、投资者权益须知及理财计划投资协议书共同构成完整且不可分割的理财计划合同。杭银理财有限责任公司（以下简称“杭银理财”）建议投资者在购买理财计划前认真阅读全套理财计划合同，投资者签署本协议书（含电子渠道签署）即视为已详细阅读理财计划合同并知悉相关风险，自愿投资购买理财计划、遵守合同约定并承担相应风险。</w:t>
      </w:r>
    </w:p>
    <w:p>
      <w:pPr>
        <w:spacing w:line="360" w:lineRule="auto"/>
        <w:ind w:firstLine="482" w:firstLineChars="200"/>
        <w:rPr>
          <w:b/>
          <w:bCs/>
          <w:sz w:val="24"/>
          <w:highlight w:val="none"/>
        </w:rPr>
      </w:pPr>
      <w:r>
        <w:rPr>
          <w:rFonts w:hint="eastAsia"/>
          <w:b/>
          <w:bCs/>
          <w:sz w:val="24"/>
          <w:highlight w:val="none"/>
        </w:rPr>
        <w:t>理财非存款、产品有风险、投资须谨慎，理财计划过往业绩不代表其未来表现，不等于理财计划实际收益。</w:t>
      </w:r>
    </w:p>
    <w:p>
      <w:pPr>
        <w:widowControl/>
        <w:spacing w:line="360" w:lineRule="auto"/>
        <w:ind w:firstLine="480" w:firstLineChars="200"/>
        <w:rPr>
          <w:rFonts w:hint="eastAsia"/>
          <w:sz w:val="24"/>
          <w:highlight w:val="none"/>
        </w:rPr>
      </w:pPr>
      <w:r>
        <w:rPr>
          <w:rFonts w:hint="eastAsia"/>
          <w:sz w:val="24"/>
          <w:highlight w:val="none"/>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sz w:val="24"/>
          <w:highlight w:val="none"/>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sz w:val="24"/>
          <w:highlight w:val="none"/>
        </w:rPr>
        <w:t>销售机构面向投资者实施销售行为，两方共同承担理财计划的合规销售和投资者合法权益保护义务。</w:t>
      </w:r>
    </w:p>
    <w:p>
      <w:pPr>
        <w:widowControl/>
        <w:spacing w:line="360" w:lineRule="auto"/>
        <w:ind w:firstLine="480" w:firstLineChars="200"/>
        <w:rPr>
          <w:rFonts w:hint="eastAsia"/>
          <w:sz w:val="24"/>
          <w:highlight w:val="none"/>
        </w:rPr>
      </w:pPr>
      <w:r>
        <w:rPr>
          <w:rFonts w:hint="eastAsia"/>
          <w:sz w:val="24"/>
          <w:highlight w:val="none"/>
        </w:rPr>
        <w:t>投资者与销售机构经平等友好协商，本着自愿、诚实信用原则，就投资者购买销售机构代理销售的理财计划有关事宜达成如下协议（以下简称“本协议”）：</w:t>
      </w:r>
    </w:p>
    <w:p>
      <w:pPr>
        <w:widowControl/>
        <w:spacing w:line="360" w:lineRule="auto"/>
        <w:ind w:firstLine="480" w:firstLineChars="200"/>
        <w:rPr>
          <w:rFonts w:hint="eastAsia"/>
          <w:sz w:val="24"/>
          <w:highlight w:val="none"/>
        </w:rPr>
      </w:pPr>
    </w:p>
    <w:p>
      <w:pPr>
        <w:widowControl/>
        <w:spacing w:line="360" w:lineRule="auto"/>
        <w:rPr>
          <w:rFonts w:hint="eastAsia"/>
          <w:b/>
          <w:bCs/>
          <w:sz w:val="24"/>
          <w:highlight w:val="none"/>
        </w:rPr>
      </w:pPr>
      <w:r>
        <w:rPr>
          <w:rFonts w:hint="eastAsia"/>
          <w:b/>
          <w:bCs/>
          <w:sz w:val="24"/>
          <w:highlight w:val="none"/>
        </w:rPr>
        <w:t xml:space="preserve">    第一条 名词释义</w:t>
      </w:r>
    </w:p>
    <w:p>
      <w:pPr>
        <w:widowControl/>
        <w:spacing w:line="360" w:lineRule="auto"/>
        <w:ind w:firstLine="480" w:firstLineChars="200"/>
        <w:jc w:val="left"/>
        <w:rPr>
          <w:rFonts w:hint="eastAsia"/>
          <w:bCs/>
          <w:sz w:val="24"/>
          <w:highlight w:val="none"/>
        </w:rPr>
      </w:pPr>
      <w:r>
        <w:rPr>
          <w:rFonts w:hint="eastAsia"/>
          <w:bCs/>
          <w:sz w:val="24"/>
          <w:highlight w:val="none"/>
        </w:rPr>
        <w:t>详见对应期次的理财计划产品说明书“释义”部分。</w:t>
      </w:r>
    </w:p>
    <w:p>
      <w:pPr>
        <w:widowControl/>
        <w:spacing w:line="360" w:lineRule="auto"/>
        <w:ind w:firstLine="480" w:firstLineChars="200"/>
        <w:jc w:val="left"/>
        <w:rPr>
          <w:rFonts w:hint="eastAsia"/>
          <w:bCs/>
          <w:sz w:val="24"/>
          <w:highlight w:val="none"/>
        </w:rPr>
      </w:pPr>
    </w:p>
    <w:p>
      <w:pPr>
        <w:widowControl/>
        <w:spacing w:line="360" w:lineRule="auto"/>
        <w:ind w:firstLine="482" w:firstLineChars="200"/>
        <w:jc w:val="left"/>
        <w:rPr>
          <w:rFonts w:hint="eastAsia"/>
          <w:b/>
          <w:bCs/>
          <w:sz w:val="24"/>
          <w:highlight w:val="none"/>
        </w:rPr>
      </w:pPr>
      <w:r>
        <w:rPr>
          <w:rFonts w:hint="eastAsia"/>
          <w:b/>
          <w:bCs/>
          <w:sz w:val="24"/>
          <w:highlight w:val="none"/>
        </w:rPr>
        <w:t>第二条 投资者权利与义务</w:t>
      </w:r>
    </w:p>
    <w:p>
      <w:pPr>
        <w:widowControl/>
        <w:numPr>
          <w:ilvl w:val="0"/>
          <w:numId w:val="79"/>
        </w:numPr>
        <w:spacing w:line="360" w:lineRule="auto"/>
        <w:contextualSpacing/>
        <w:rPr>
          <w:rFonts w:hint="eastAsia"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olor w:val="00000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9"/>
        </w:numPr>
        <w:spacing w:line="360" w:lineRule="auto"/>
        <w:contextualSpacing/>
        <w:rPr>
          <w:rFonts w:hint="eastAsia"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9"/>
        </w:numPr>
        <w:spacing w:line="360" w:lineRule="auto"/>
        <w:contextualSpacing/>
        <w:rPr>
          <w:rFonts w:hint="eastAsia" w:ascii="宋体" w:hAnsi="宋体"/>
          <w:sz w:val="24"/>
          <w:highlight w:val="none"/>
        </w:rPr>
      </w:pPr>
      <w:r>
        <w:rPr>
          <w:rFonts w:hint="eastAsia" w:ascii="宋体" w:hAnsi="宋体"/>
          <w:b/>
          <w:bCs/>
          <w:sz w:val="24"/>
          <w:highlight w:val="none"/>
        </w:rPr>
        <w:t>投资者购买销售机构代理销售的私募理财计划后，可以享有24 小时的投资冷静期，在投资冷静期内，如投资者改变投资决定，应提出解除相应理财计划合同文件申请，销售机构将及时退还投资者的全部投资款项。</w:t>
      </w:r>
      <w:r>
        <w:rPr>
          <w:rFonts w:hint="eastAsia" w:ascii="宋体" w:hAnsi="宋体"/>
          <w:sz w:val="24"/>
          <w:highlight w:val="none"/>
        </w:rPr>
        <w:t>投资冷静期相关约定详见理财计划产品说明书。</w:t>
      </w:r>
    </w:p>
    <w:p>
      <w:pPr>
        <w:widowControl/>
        <w:numPr>
          <w:ilvl w:val="0"/>
          <w:numId w:val="79"/>
        </w:numPr>
        <w:spacing w:line="360" w:lineRule="auto"/>
        <w:contextualSpacing/>
        <w:rPr>
          <w:rFonts w:hint="eastAsia"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9"/>
        </w:numPr>
        <w:spacing w:line="360" w:lineRule="auto"/>
        <w:contextualSpacing/>
        <w:rPr>
          <w:rFonts w:hint="eastAsia"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不会违反任何法院或政府机关所作出的适用于投资者或投资者任何资产的判决或指令；不会违反对投资者或投资者任何资产有约束力的任何重大协议条款。投资者应在签署本协议的同时在其授权指定的账户中（以下简称“授权指定账户”）存入足额的资金以确保账户余额大于或等于认/申购金额。</w:t>
      </w:r>
    </w:p>
    <w:p>
      <w:pPr>
        <w:widowControl/>
        <w:numPr>
          <w:ilvl w:val="0"/>
          <w:numId w:val="79"/>
        </w:numPr>
        <w:spacing w:line="360" w:lineRule="auto"/>
        <w:contextualSpacing/>
        <w:rPr>
          <w:rFonts w:hint="eastAsia" w:ascii="宋体" w:hAnsi="宋体"/>
          <w:sz w:val="24"/>
          <w:highlight w:val="none"/>
        </w:rPr>
      </w:pPr>
      <w:r>
        <w:rPr>
          <w:rFonts w:hint="eastAsia" w:ascii="宋体" w:hAnsi="宋体"/>
          <w:b/>
          <w:bCs/>
          <w:sz w:val="24"/>
          <w:highlight w:val="none"/>
        </w:rPr>
        <w:t>投资者在此确认销售机构的系统记录以及录音、录像构成对投资者操作行为（包括但不限于购买、赎回、撤单）的有效证据，并且在双方发生争议时可以作为合法有效的证据使用</w:t>
      </w:r>
      <w:r>
        <w:rPr>
          <w:rFonts w:hint="eastAsia" w:ascii="宋体" w:hAnsi="宋体"/>
          <w:sz w:val="24"/>
          <w:highlight w:val="none"/>
        </w:rPr>
        <w:t>。</w:t>
      </w:r>
    </w:p>
    <w:p>
      <w:pPr>
        <w:widowControl/>
        <w:numPr>
          <w:ilvl w:val="0"/>
          <w:numId w:val="79"/>
        </w:numPr>
        <w:spacing w:line="360" w:lineRule="auto"/>
        <w:contextualSpacing/>
        <w:rPr>
          <w:rFonts w:hint="eastAsia" w:ascii="宋体" w:hAnsi="宋体"/>
          <w:sz w:val="24"/>
          <w:highlight w:val="none"/>
        </w:rPr>
      </w:pPr>
      <w:r>
        <w:rPr>
          <w:rFonts w:hint="eastAsia" w:ascii="宋体" w:hAnsi="宋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sz w:val="24"/>
          <w:highlight w:val="none"/>
          <w:lang w:eastAsia="zh-CN"/>
        </w:rPr>
        <w:t>销售机构</w:t>
      </w:r>
      <w:r>
        <w:rPr>
          <w:rFonts w:hint="eastAsia" w:ascii="宋体" w:hAnsi="宋体"/>
          <w:sz w:val="24"/>
          <w:highlight w:val="none"/>
        </w:rPr>
        <w:t xml:space="preserve">对此不承担任何责任。 </w:t>
      </w:r>
    </w:p>
    <w:p>
      <w:pPr>
        <w:widowControl/>
        <w:numPr>
          <w:ilvl w:val="0"/>
          <w:numId w:val="79"/>
        </w:numPr>
        <w:spacing w:line="360" w:lineRule="auto"/>
        <w:contextualSpacing/>
        <w:rPr>
          <w:rFonts w:hint="eastAsia" w:ascii="宋体" w:hAnsi="宋体"/>
          <w:sz w:val="24"/>
          <w:highlight w:val="none"/>
        </w:rPr>
      </w:pPr>
      <w:r>
        <w:rPr>
          <w:rFonts w:hint="eastAsia" w:ascii="宋体" w:hAnsi="宋体"/>
          <w:sz w:val="24"/>
          <w:highlight w:val="none"/>
        </w:rPr>
        <w:t>在本理财计划存续期内，如有权机关要求</w:t>
      </w:r>
      <w:r>
        <w:rPr>
          <w:rFonts w:hint="eastAsia" w:ascii="宋体" w:hAnsi="宋体"/>
          <w:sz w:val="24"/>
          <w:highlight w:val="none"/>
          <w:lang w:eastAsia="zh-CN"/>
        </w:rPr>
        <w:t>销售机构</w:t>
      </w:r>
      <w:r>
        <w:rPr>
          <w:rFonts w:hint="eastAsia" w:ascii="宋体" w:hAnsi="宋体"/>
          <w:sz w:val="24"/>
          <w:highlight w:val="none"/>
        </w:rPr>
        <w:t>配合对投资者理财份额、理财账户、授权指定账户进行查封、冻结或扣划的，</w:t>
      </w:r>
      <w:r>
        <w:rPr>
          <w:rFonts w:hint="eastAsia" w:ascii="宋体" w:hAnsi="宋体"/>
          <w:sz w:val="24"/>
          <w:highlight w:val="none"/>
          <w:lang w:eastAsia="zh-CN"/>
        </w:rPr>
        <w:t>销售机构</w:t>
      </w:r>
      <w:r>
        <w:rPr>
          <w:rFonts w:hint="eastAsia" w:ascii="宋体" w:hAnsi="宋体"/>
          <w:sz w:val="24"/>
          <w:highlight w:val="none"/>
        </w:rPr>
        <w:t>有权根据实际情况采取相应措施。</w:t>
      </w:r>
      <w:r>
        <w:rPr>
          <w:rFonts w:hint="eastAsia" w:ascii="宋体" w:hAnsi="宋体"/>
          <w:sz w:val="24"/>
          <w:highlight w:val="none"/>
          <w:lang w:eastAsia="zh-CN"/>
        </w:rPr>
        <w:t>销售机构</w:t>
      </w:r>
      <w:r>
        <w:rPr>
          <w:rFonts w:hint="eastAsia" w:ascii="宋体" w:hAnsi="宋体"/>
          <w:sz w:val="24"/>
          <w:highlight w:val="none"/>
        </w:rPr>
        <w:t xml:space="preserve">对上述后果不承担任何责任。 </w:t>
      </w:r>
    </w:p>
    <w:p>
      <w:pPr>
        <w:widowControl/>
        <w:numPr>
          <w:ilvl w:val="0"/>
          <w:numId w:val="79"/>
        </w:numPr>
        <w:spacing w:line="360" w:lineRule="auto"/>
        <w:ind w:left="0" w:firstLine="0"/>
        <w:contextualSpacing/>
        <w:rPr>
          <w:rFonts w:hint="eastAsia"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w:t>
      </w:r>
      <w:r>
        <w:rPr>
          <w:rFonts w:hint="eastAsia" w:ascii="宋体" w:hAnsi="宋体"/>
          <w:sz w:val="24"/>
          <w:highlight w:val="none"/>
          <w:lang w:eastAsia="zh-CN"/>
        </w:rPr>
        <w:t>销售机构</w:t>
      </w:r>
      <w:r>
        <w:rPr>
          <w:rFonts w:hint="eastAsia" w:ascii="宋体" w:hAnsi="宋体"/>
          <w:sz w:val="24"/>
          <w:highlight w:val="none"/>
        </w:rPr>
        <w:t>不承担任何责任。</w:t>
      </w:r>
    </w:p>
    <w:p>
      <w:pPr>
        <w:widowControl/>
        <w:numPr>
          <w:ilvl w:val="0"/>
          <w:numId w:val="73"/>
        </w:numPr>
        <w:spacing w:line="360" w:lineRule="auto"/>
        <w:contextualSpacing/>
        <w:rPr>
          <w:rFonts w:hint="eastAsia" w:ascii="宋体" w:hAnsi="宋体"/>
          <w:sz w:val="24"/>
          <w:highlight w:val="none"/>
        </w:rPr>
      </w:pPr>
      <w:r>
        <w:rPr>
          <w:rFonts w:hint="eastAsia" w:ascii="宋体" w:hAnsi="宋体"/>
          <w:sz w:val="24"/>
          <w:highlight w:val="none"/>
        </w:rPr>
        <w:t>投资者应确保其提供的所有资料真实、完整、合法、有效，如果有任何变更，投资者应及时通知</w:t>
      </w:r>
      <w:r>
        <w:rPr>
          <w:rFonts w:hint="eastAsia" w:ascii="宋体" w:hAnsi="宋体"/>
          <w:sz w:val="24"/>
          <w:highlight w:val="none"/>
          <w:lang w:eastAsia="zh-CN"/>
        </w:rPr>
        <w:t>销售机构</w:t>
      </w:r>
      <w:r>
        <w:rPr>
          <w:rFonts w:hint="eastAsia" w:ascii="宋体" w:hAnsi="宋体"/>
          <w:sz w:val="24"/>
          <w:highlight w:val="none"/>
        </w:rPr>
        <w:t>并办理变更手续。如因投资者未及时通知</w:t>
      </w:r>
      <w:r>
        <w:rPr>
          <w:rFonts w:hint="eastAsia" w:ascii="宋体" w:hAnsi="宋体"/>
          <w:sz w:val="24"/>
          <w:highlight w:val="none"/>
          <w:lang w:eastAsia="zh-CN"/>
        </w:rPr>
        <w:t>销售机构</w:t>
      </w:r>
      <w:r>
        <w:rPr>
          <w:rFonts w:hint="eastAsia" w:ascii="宋体" w:hAnsi="宋体"/>
          <w:sz w:val="24"/>
          <w:highlight w:val="none"/>
        </w:rPr>
        <w:t>并办理相应的变更手续，由此导致的一切后果由投资者自行承担，</w:t>
      </w:r>
      <w:r>
        <w:rPr>
          <w:rFonts w:hint="eastAsia" w:ascii="宋体" w:hAnsi="宋体"/>
          <w:sz w:val="24"/>
          <w:highlight w:val="none"/>
          <w:lang w:eastAsia="zh-CN"/>
        </w:rPr>
        <w:t>销售机构</w:t>
      </w:r>
      <w:r>
        <w:rPr>
          <w:rFonts w:hint="eastAsia" w:ascii="宋体" w:hAnsi="宋体"/>
          <w:sz w:val="24"/>
          <w:highlight w:val="none"/>
        </w:rPr>
        <w:t xml:space="preserve">对此不承担任何责任。 </w:t>
      </w:r>
    </w:p>
    <w:p>
      <w:pPr>
        <w:widowControl/>
        <w:numPr>
          <w:ilvl w:val="0"/>
          <w:numId w:val="73"/>
        </w:numPr>
        <w:spacing w:line="360" w:lineRule="auto"/>
        <w:contextualSpacing/>
        <w:rPr>
          <w:rFonts w:hint="eastAsia" w:ascii="宋体" w:hAnsi="宋体"/>
          <w:sz w:val="24"/>
          <w:highlight w:val="none"/>
        </w:rPr>
      </w:pPr>
      <w:r>
        <w:rPr>
          <w:rFonts w:hint="eastAsia" w:ascii="宋体" w:hAnsi="宋体"/>
          <w:sz w:val="24"/>
          <w:highlight w:val="none"/>
        </w:rPr>
        <w:t>投资者对本协议及其条款负有保密义务，未经</w:t>
      </w:r>
      <w:r>
        <w:rPr>
          <w:rFonts w:hint="eastAsia" w:ascii="宋体" w:hAnsi="宋体"/>
          <w:sz w:val="24"/>
          <w:highlight w:val="none"/>
          <w:lang w:eastAsia="zh-CN"/>
        </w:rPr>
        <w:t>销售机构</w:t>
      </w:r>
      <w:r>
        <w:rPr>
          <w:rFonts w:hint="eastAsia" w:ascii="宋体" w:hAnsi="宋体"/>
          <w:sz w:val="24"/>
          <w:highlight w:val="none"/>
        </w:rPr>
        <w:t>书面许可，不得向任何组织、个人提供或泄露与</w:t>
      </w:r>
      <w:r>
        <w:rPr>
          <w:rFonts w:hint="eastAsia" w:ascii="宋体" w:hAnsi="宋体"/>
          <w:sz w:val="24"/>
          <w:highlight w:val="none"/>
          <w:lang w:eastAsia="zh-CN"/>
        </w:rPr>
        <w:t>销售机构</w:t>
      </w:r>
      <w:r>
        <w:rPr>
          <w:rFonts w:hint="eastAsia" w:ascii="宋体" w:hAnsi="宋体"/>
          <w:sz w:val="24"/>
          <w:highlight w:val="none"/>
        </w:rPr>
        <w:t>有关的业务资料及信息，但法律、法规另有规定的除外。</w:t>
      </w:r>
    </w:p>
    <w:p>
      <w:pPr>
        <w:widowControl/>
        <w:numPr>
          <w:ilvl w:val="0"/>
          <w:numId w:val="73"/>
        </w:numPr>
        <w:spacing w:line="360" w:lineRule="auto"/>
        <w:contextualSpacing/>
        <w:rPr>
          <w:rFonts w:hint="eastAsia" w:ascii="宋体" w:hAnsi="宋体"/>
          <w:sz w:val="24"/>
          <w:highlight w:val="none"/>
        </w:rPr>
      </w:pPr>
      <w:r>
        <w:rPr>
          <w:rFonts w:hint="eastAsia" w:ascii="宋体" w:hAnsi="宋体"/>
          <w:sz w:val="24"/>
          <w:highlight w:val="none"/>
        </w:rPr>
        <w:t>投资者进行投资时，应严格遵守反洗钱相关法规的规定，切实履行反洗钱及反恐怖融资义务。</w:t>
      </w:r>
    </w:p>
    <w:p>
      <w:pPr>
        <w:widowControl/>
        <w:numPr>
          <w:ilvl w:val="0"/>
          <w:numId w:val="73"/>
        </w:numPr>
        <w:spacing w:line="360" w:lineRule="auto"/>
        <w:contextualSpacing/>
        <w:rPr>
          <w:rFonts w:hint="eastAsia" w:ascii="宋体" w:hAnsi="宋体"/>
          <w:b/>
          <w:bCs/>
          <w:sz w:val="24"/>
          <w:highlight w:val="none"/>
        </w:rPr>
      </w:pPr>
      <w:r>
        <w:rPr>
          <w:rFonts w:hint="eastAsia" w:ascii="宋体" w:hAnsi="宋体"/>
          <w:b/>
          <w:bCs/>
          <w:sz w:val="24"/>
          <w:highlight w:val="none"/>
        </w:rPr>
        <w:t>投资者个人信息授权</w:t>
      </w:r>
    </w:p>
    <w:p>
      <w:pPr>
        <w:widowControl/>
        <w:spacing w:line="360" w:lineRule="auto"/>
        <w:ind w:firstLine="482" w:firstLineChars="200"/>
        <w:contextualSpacing/>
        <w:rPr>
          <w:rFonts w:hint="eastAsia" w:ascii="宋体" w:hAnsi="宋体"/>
          <w:b/>
          <w:bCs/>
          <w:sz w:val="24"/>
          <w:highlight w:val="none"/>
        </w:rPr>
      </w:pPr>
      <w:r>
        <w:rPr>
          <w:rFonts w:hint="eastAsia" w:ascii="宋体" w:hAnsi="宋体"/>
          <w:b/>
          <w:bCs/>
          <w:sz w:val="24"/>
          <w:highlight w:val="none"/>
        </w:rPr>
        <w:t>基于</w:t>
      </w:r>
      <w:r>
        <w:rPr>
          <w:rFonts w:hint="eastAsia" w:ascii="宋体" w:hAnsi="宋体"/>
          <w:b/>
          <w:bCs/>
          <w:sz w:val="24"/>
          <w:highlight w:val="none"/>
          <w:lang w:eastAsia="zh-CN"/>
        </w:rPr>
        <w:t>销售机构</w:t>
      </w:r>
      <w:r>
        <w:rPr>
          <w:rFonts w:hint="eastAsia" w:ascii="宋体" w:hAnsi="宋体"/>
          <w:b/>
          <w:bCs/>
          <w:sz w:val="24"/>
          <w:highlight w:val="none"/>
        </w:rPr>
        <w:t>履行本协议、进行服务管理和风险管理、报送监管信息等需要，履行反洗钱、投资者资质审核和销售适当性等法律法规和监管要求的义务，投资者在此同意并授权</w:t>
      </w:r>
      <w:r>
        <w:rPr>
          <w:rFonts w:hint="eastAsia" w:ascii="宋体" w:hAnsi="宋体"/>
          <w:b/>
          <w:bCs/>
          <w:sz w:val="24"/>
          <w:highlight w:val="none"/>
          <w:lang w:eastAsia="zh-CN"/>
        </w:rPr>
        <w:t>销售机构</w:t>
      </w:r>
      <w:r>
        <w:rPr>
          <w:rFonts w:hint="eastAsia" w:ascii="宋体" w:hAnsi="宋体"/>
          <w:b/>
          <w:bCs/>
          <w:sz w:val="24"/>
          <w:highlight w:val="none"/>
        </w:rPr>
        <w:t>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spacing w:line="360" w:lineRule="auto"/>
        <w:ind w:firstLine="482" w:firstLineChars="200"/>
        <w:contextualSpacing/>
        <w:rPr>
          <w:rFonts w:hint="eastAsia" w:ascii="宋体" w:hAnsi="宋体"/>
          <w:b/>
          <w:bCs/>
          <w:sz w:val="24"/>
          <w:highlight w:val="none"/>
        </w:rPr>
      </w:pPr>
      <w:r>
        <w:rPr>
          <w:rFonts w:hint="eastAsia" w:ascii="宋体" w:hAnsi="宋体" w:eastAsia="宋体"/>
          <w:b/>
          <w:bCs/>
          <w:sz w:val="24"/>
          <w:highlight w:val="none"/>
          <w:lang w:eastAsia="zh-CN"/>
        </w:rPr>
        <w:t>（</w:t>
      </w:r>
      <w:r>
        <w:rPr>
          <w:rFonts w:hint="eastAsia" w:ascii="宋体" w:hAnsi="宋体" w:eastAsia="宋体"/>
          <w:b/>
          <w:bCs/>
          <w:sz w:val="24"/>
          <w:highlight w:val="none"/>
          <w:lang w:val="en-US" w:eastAsia="zh-CN"/>
        </w:rPr>
        <w:t>十四</w:t>
      </w:r>
      <w:r>
        <w:rPr>
          <w:rFonts w:hint="eastAsia" w:ascii="宋体" w:hAnsi="宋体" w:eastAsia="宋体"/>
          <w:b/>
          <w:bCs/>
          <w:sz w:val="24"/>
          <w:highlight w:val="none"/>
          <w:lang w:eastAsia="zh-CN"/>
        </w:rPr>
        <w:t>）</w:t>
      </w: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spacing w:line="360" w:lineRule="auto"/>
        <w:ind w:firstLine="482" w:firstLineChars="200"/>
        <w:contextualSpacing/>
        <w:rPr>
          <w:rFonts w:ascii="宋体" w:hAnsi="宋体"/>
          <w:b/>
          <w:bCs/>
          <w:sz w:val="24"/>
          <w:highlight w:val="none"/>
        </w:rPr>
      </w:pPr>
    </w:p>
    <w:p>
      <w:pPr>
        <w:widowControl/>
        <w:spacing w:line="360" w:lineRule="auto"/>
        <w:rPr>
          <w:rFonts w:hint="eastAsia"/>
          <w:b/>
          <w:bCs/>
          <w:sz w:val="24"/>
          <w:highlight w:val="none"/>
        </w:rPr>
      </w:pPr>
      <w:r>
        <w:rPr>
          <w:rFonts w:hint="eastAsia"/>
          <w:b/>
          <w:bCs/>
          <w:sz w:val="24"/>
          <w:highlight w:val="none"/>
        </w:rPr>
        <w:t xml:space="preserve">    第三条 </w:t>
      </w:r>
      <w:r>
        <w:rPr>
          <w:rFonts w:hint="eastAsia"/>
          <w:b/>
          <w:bCs/>
          <w:sz w:val="24"/>
          <w:highlight w:val="none"/>
          <w:lang w:eastAsia="zh-CN"/>
        </w:rPr>
        <w:t>销售机构</w:t>
      </w:r>
      <w:r>
        <w:rPr>
          <w:rFonts w:hint="eastAsia"/>
          <w:b/>
          <w:bCs/>
          <w:sz w:val="24"/>
          <w:highlight w:val="none"/>
        </w:rPr>
        <w:t>的权利与义务</w:t>
      </w:r>
    </w:p>
    <w:p>
      <w:pPr>
        <w:widowControl/>
        <w:numPr>
          <w:ilvl w:val="0"/>
          <w:numId w:val="80"/>
        </w:numPr>
        <w:spacing w:line="360" w:lineRule="auto"/>
        <w:contextualSpacing/>
        <w:jc w:val="left"/>
        <w:rPr>
          <w:rFonts w:hint="eastAsia" w:ascii="宋体" w:hAnsi="宋体"/>
          <w:sz w:val="24"/>
          <w:highlight w:val="none"/>
        </w:rPr>
      </w:pPr>
      <w:r>
        <w:rPr>
          <w:rFonts w:hint="eastAsia" w:ascii="宋体" w:hAnsi="宋体"/>
          <w:sz w:val="24"/>
          <w:highlight w:val="none"/>
          <w:lang w:eastAsia="zh-CN"/>
        </w:rPr>
        <w:t>销售机构</w:t>
      </w:r>
      <w:r>
        <w:rPr>
          <w:rFonts w:hint="eastAsia" w:ascii="宋体" w:hAnsi="宋体"/>
          <w:sz w:val="24"/>
          <w:highlight w:val="none"/>
        </w:rPr>
        <w:t>应对拟销售的理财计划开展尽职调查，承担审批职责，并纳入本机构统一专门名单管理，不得仅以管理人相关产品资料或其出具意见作为审批依据。</w:t>
      </w:r>
      <w:r>
        <w:rPr>
          <w:rFonts w:hint="eastAsia" w:ascii="宋体" w:hAnsi="宋体"/>
          <w:sz w:val="24"/>
          <w:highlight w:val="none"/>
          <w:lang w:eastAsia="zh-CN"/>
        </w:rPr>
        <w:t>销售机构</w:t>
      </w:r>
      <w:r>
        <w:rPr>
          <w:rFonts w:hint="eastAsia" w:ascii="宋体" w:hAnsi="宋体"/>
          <w:sz w:val="24"/>
          <w:highlight w:val="none"/>
        </w:rPr>
        <w:t>应当根据本机构的方式和方法，独立、审慎地对代理销售的理财计划进行销售评级。销售评级与管理人产品评级结果不一致的，</w:t>
      </w:r>
      <w:r>
        <w:rPr>
          <w:rFonts w:hint="eastAsia" w:ascii="宋体" w:hAnsi="宋体"/>
          <w:sz w:val="24"/>
          <w:highlight w:val="none"/>
          <w:lang w:eastAsia="zh-CN"/>
        </w:rPr>
        <w:t>销售机构</w:t>
      </w:r>
      <w:r>
        <w:rPr>
          <w:rFonts w:hint="eastAsia" w:ascii="宋体" w:hAnsi="宋体"/>
          <w:sz w:val="24"/>
          <w:highlight w:val="none"/>
        </w:rPr>
        <w:t>应当采用对应较高风险等级的评级结果并予以披露。</w:t>
      </w:r>
    </w:p>
    <w:p>
      <w:pPr>
        <w:widowControl/>
        <w:numPr>
          <w:ilvl w:val="0"/>
          <w:numId w:val="80"/>
        </w:numPr>
        <w:spacing w:line="360" w:lineRule="auto"/>
        <w:contextualSpacing/>
        <w:jc w:val="left"/>
        <w:rPr>
          <w:rFonts w:hint="eastAsia" w:ascii="宋体" w:hAnsi="宋体"/>
          <w:sz w:val="24"/>
          <w:highlight w:val="none"/>
        </w:rPr>
      </w:pPr>
      <w:r>
        <w:rPr>
          <w:rFonts w:hint="eastAsia" w:ascii="宋体" w:hAnsi="宋体"/>
          <w:b/>
          <w:bCs/>
          <w:sz w:val="24"/>
          <w:highlight w:val="none"/>
        </w:rPr>
        <w:t>代理销售机构非本计划的发行、管理机构，对本计划的业绩不承担任何保证和其他经济责任，不承担本计划的投资、兑付和风险管理责任</w:t>
      </w:r>
      <w:r>
        <w:rPr>
          <w:rFonts w:hint="eastAsia" w:ascii="宋体" w:hAnsi="宋体"/>
          <w:sz w:val="24"/>
          <w:highlight w:val="none"/>
        </w:rPr>
        <w:t>。</w:t>
      </w:r>
    </w:p>
    <w:p>
      <w:pPr>
        <w:widowControl/>
        <w:numPr>
          <w:ilvl w:val="0"/>
          <w:numId w:val="80"/>
        </w:numPr>
        <w:spacing w:line="360" w:lineRule="auto"/>
        <w:contextualSpacing/>
        <w:rPr>
          <w:rFonts w:hint="eastAsia" w:ascii="宋体" w:hAnsi="宋体"/>
          <w:sz w:val="24"/>
          <w:highlight w:val="none"/>
        </w:rPr>
      </w:pPr>
      <w:r>
        <w:rPr>
          <w:rFonts w:hint="eastAsia" w:ascii="宋体" w:hAnsi="宋体"/>
          <w:sz w:val="24"/>
          <w:highlight w:val="none"/>
          <w:lang w:eastAsia="zh-CN"/>
        </w:rPr>
        <w:t>销售机构</w:t>
      </w:r>
      <w:r>
        <w:rPr>
          <w:rFonts w:hint="eastAsia" w:ascii="宋体" w:hAnsi="宋体"/>
          <w:sz w:val="24"/>
          <w:highlight w:val="none"/>
        </w:rPr>
        <w:t>应定期对购买其代理销售的理财计划的非机构投资者进行有效风险承受能力评估，并保证向投资者推介及销售与其风险承受能力匹配的产品。</w:t>
      </w:r>
    </w:p>
    <w:p>
      <w:pPr>
        <w:widowControl/>
        <w:numPr>
          <w:ilvl w:val="0"/>
          <w:numId w:val="80"/>
        </w:numPr>
        <w:spacing w:line="360" w:lineRule="auto"/>
        <w:contextualSpacing/>
        <w:jc w:val="left"/>
        <w:rPr>
          <w:rFonts w:hint="eastAsia" w:ascii="宋体" w:hAnsi="宋体"/>
          <w:sz w:val="24"/>
          <w:highlight w:val="none"/>
        </w:rPr>
      </w:pPr>
      <w:r>
        <w:rPr>
          <w:rFonts w:hint="eastAsia" w:ascii="宋体" w:hAnsi="宋体"/>
          <w:sz w:val="24"/>
          <w:highlight w:val="none"/>
        </w:rPr>
        <w:t>对于通过营业网点向非机构投资者销售理财计划的，</w:t>
      </w:r>
      <w:r>
        <w:rPr>
          <w:rFonts w:hint="eastAsia" w:ascii="宋体" w:hAnsi="宋体"/>
          <w:sz w:val="24"/>
          <w:highlight w:val="none"/>
          <w:lang w:eastAsia="zh-CN"/>
        </w:rPr>
        <w:t>销售机构</w:t>
      </w:r>
      <w:r>
        <w:rPr>
          <w:rFonts w:hint="eastAsia" w:ascii="宋体" w:hAnsi="宋体"/>
          <w:sz w:val="24"/>
          <w:highlight w:val="none"/>
        </w:rPr>
        <w:t>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widowControl/>
        <w:numPr>
          <w:ilvl w:val="0"/>
          <w:numId w:val="80"/>
        </w:numPr>
        <w:spacing w:line="360" w:lineRule="auto"/>
        <w:contextualSpacing/>
        <w:rPr>
          <w:rFonts w:hint="eastAsia" w:ascii="宋体" w:hAnsi="宋体"/>
          <w:sz w:val="24"/>
          <w:highlight w:val="none"/>
        </w:rPr>
      </w:pPr>
      <w:r>
        <w:rPr>
          <w:rFonts w:hint="eastAsia" w:ascii="宋体" w:hAnsi="宋体"/>
          <w:sz w:val="24"/>
          <w:highlight w:val="none"/>
          <w:lang w:eastAsia="zh-CN"/>
        </w:rPr>
        <w:t>销售机构</w:t>
      </w:r>
      <w:r>
        <w:rPr>
          <w:rFonts w:hint="eastAsia" w:ascii="宋体" w:hAnsi="宋体"/>
          <w:sz w:val="24"/>
          <w:highlight w:val="none"/>
        </w:rPr>
        <w:t>不得擅自使用未经管理人授权或审核同意的理财计划宣传推介材料，在全国银行业理财信息登记系统对理财计划进行登记并获得登记编码前，不得发布理财计划宣传推介材料或办理理财计划销售业务。</w:t>
      </w:r>
    </w:p>
    <w:p>
      <w:pPr>
        <w:widowControl/>
        <w:numPr>
          <w:ilvl w:val="0"/>
          <w:numId w:val="80"/>
        </w:numPr>
        <w:spacing w:line="360" w:lineRule="auto"/>
        <w:contextualSpacing/>
        <w:jc w:val="left"/>
        <w:rPr>
          <w:rFonts w:hint="eastAsia" w:ascii="宋体" w:hAnsi="宋体"/>
          <w:sz w:val="24"/>
          <w:highlight w:val="none"/>
        </w:rPr>
      </w:pPr>
      <w:r>
        <w:rPr>
          <w:rFonts w:hint="eastAsia" w:ascii="宋体" w:hAnsi="宋体"/>
          <w:sz w:val="24"/>
          <w:highlight w:val="none"/>
          <w:lang w:eastAsia="zh-CN"/>
        </w:rPr>
        <w:t>销售机构</w:t>
      </w:r>
      <w:r>
        <w:rPr>
          <w:rFonts w:hint="eastAsia" w:ascii="宋体" w:hAnsi="宋体"/>
          <w:sz w:val="24"/>
          <w:highlight w:val="none"/>
        </w:rPr>
        <w:t>应建立健全上岗资格、持续培训、信息公示与查询核实等制度并有效执行。未经</w:t>
      </w:r>
      <w:r>
        <w:rPr>
          <w:rFonts w:hint="eastAsia" w:ascii="宋体" w:hAnsi="宋体"/>
          <w:sz w:val="24"/>
          <w:highlight w:val="none"/>
          <w:lang w:eastAsia="zh-CN"/>
        </w:rPr>
        <w:t>销售机构</w:t>
      </w:r>
      <w:r>
        <w:rPr>
          <w:rFonts w:hint="eastAsia" w:ascii="宋体" w:hAnsi="宋体"/>
          <w:sz w:val="24"/>
          <w:highlight w:val="none"/>
        </w:rPr>
        <w:t>进行上岗资格认定并签订劳动合同，任何人员不得从事理财计划销售业务活动。</w:t>
      </w:r>
    </w:p>
    <w:p>
      <w:pPr>
        <w:widowControl/>
        <w:numPr>
          <w:ilvl w:val="0"/>
          <w:numId w:val="80"/>
        </w:numPr>
        <w:spacing w:line="360" w:lineRule="auto"/>
        <w:contextualSpacing/>
        <w:jc w:val="left"/>
        <w:rPr>
          <w:rFonts w:hint="eastAsia" w:ascii="宋体" w:hAnsi="宋体"/>
          <w:sz w:val="24"/>
          <w:highlight w:val="none"/>
        </w:rPr>
      </w:pPr>
      <w:r>
        <w:rPr>
          <w:rFonts w:hint="eastAsia" w:ascii="宋体" w:hAnsi="宋体"/>
          <w:sz w:val="24"/>
          <w:highlight w:val="none"/>
          <w:lang w:eastAsia="zh-CN"/>
        </w:rPr>
        <w:t>销售机构</w:t>
      </w:r>
      <w:r>
        <w:rPr>
          <w:rFonts w:hint="eastAsia" w:ascii="宋体" w:hAnsi="宋体"/>
          <w:sz w:val="24"/>
          <w:highlight w:val="none"/>
        </w:rPr>
        <w:t>应对所有销售人员信息进行登记和公示。销售人员在向投资者宣传销售理财计划前进行自我介绍并告知信息查询和核实渠道，便于投资者查询核实，防止伪冒身份和虚假宣传。</w:t>
      </w:r>
    </w:p>
    <w:p>
      <w:pPr>
        <w:widowControl/>
        <w:numPr>
          <w:ilvl w:val="0"/>
          <w:numId w:val="80"/>
        </w:numPr>
        <w:spacing w:line="360" w:lineRule="auto"/>
        <w:contextualSpacing/>
        <w:jc w:val="left"/>
        <w:rPr>
          <w:rFonts w:hint="eastAsia" w:ascii="宋体" w:hAnsi="宋体"/>
          <w:sz w:val="24"/>
          <w:highlight w:val="none"/>
        </w:rPr>
      </w:pPr>
      <w:r>
        <w:rPr>
          <w:rFonts w:hint="eastAsia" w:ascii="宋体" w:hAnsi="宋体"/>
          <w:sz w:val="24"/>
          <w:highlight w:val="none"/>
          <w:lang w:eastAsia="zh-CN"/>
        </w:rPr>
        <w:t>销售机构</w:t>
      </w:r>
      <w:r>
        <w:rPr>
          <w:rFonts w:hint="eastAsia" w:ascii="宋体" w:hAnsi="宋体"/>
          <w:sz w:val="24"/>
          <w:highlight w:val="none"/>
        </w:rPr>
        <w:t>对投资者负有信息保密义务，未经投资者书面许可，乙方不得向任何组织、个人提供或泄露与甲方有关的业务资料及信息，但法律、法规另有规定的除外。</w:t>
      </w:r>
    </w:p>
    <w:p>
      <w:pPr>
        <w:widowControl/>
        <w:numPr>
          <w:ilvl w:val="0"/>
          <w:numId w:val="80"/>
        </w:numPr>
        <w:spacing w:line="360" w:lineRule="auto"/>
        <w:contextualSpacing/>
        <w:jc w:val="left"/>
        <w:rPr>
          <w:rFonts w:hint="eastAsia" w:ascii="宋体" w:hAnsi="宋体"/>
          <w:sz w:val="24"/>
          <w:highlight w:val="none"/>
        </w:rPr>
      </w:pPr>
      <w:r>
        <w:rPr>
          <w:rFonts w:hint="eastAsia" w:ascii="宋体" w:hAnsi="宋体"/>
          <w:sz w:val="24"/>
          <w:highlight w:val="none"/>
          <w:lang w:eastAsia="zh-CN"/>
        </w:rPr>
        <w:t>销售机构</w:t>
      </w:r>
      <w:r>
        <w:rPr>
          <w:rFonts w:hint="eastAsia" w:ascii="宋体" w:hAnsi="宋体"/>
          <w:sz w:val="24"/>
          <w:highlight w:val="none"/>
        </w:rPr>
        <w:t>应按照法律法规、监管规定、理财计划合同的约定收取销售费用，并如实核算、记账。未经载明，不得对不同投资者适用不同费率。</w:t>
      </w:r>
    </w:p>
    <w:p>
      <w:pPr>
        <w:widowControl/>
        <w:numPr>
          <w:ilvl w:val="0"/>
          <w:numId w:val="74"/>
        </w:numPr>
        <w:spacing w:line="360" w:lineRule="auto"/>
        <w:contextualSpacing/>
        <w:jc w:val="left"/>
        <w:rPr>
          <w:rFonts w:hint="eastAsia" w:ascii="宋体" w:hAnsi="宋体"/>
          <w:sz w:val="24"/>
          <w:highlight w:val="none"/>
        </w:rPr>
      </w:pPr>
      <w:r>
        <w:rPr>
          <w:rFonts w:hint="eastAsia" w:ascii="宋体" w:hAnsi="宋体"/>
          <w:sz w:val="24"/>
          <w:highlight w:val="none"/>
        </w:rPr>
        <w:t>理财计划销售结算资金属于理财计划投资者，</w:t>
      </w:r>
      <w:r>
        <w:rPr>
          <w:rFonts w:hint="eastAsia" w:ascii="宋体" w:hAnsi="宋体"/>
          <w:sz w:val="24"/>
          <w:highlight w:val="none"/>
          <w:lang w:eastAsia="zh-CN"/>
        </w:rPr>
        <w:t>销售机构</w:t>
      </w:r>
      <w:r>
        <w:rPr>
          <w:rFonts w:hint="eastAsia" w:ascii="宋体" w:hAnsi="宋体"/>
          <w:sz w:val="24"/>
          <w:highlight w:val="none"/>
        </w:rPr>
        <w:t>不得挪用理财计划销售结算资金或将理财计划销售结算资金归入自有资产。</w:t>
      </w:r>
    </w:p>
    <w:p>
      <w:pPr>
        <w:widowControl/>
        <w:numPr>
          <w:ilvl w:val="0"/>
          <w:numId w:val="74"/>
        </w:numPr>
        <w:spacing w:line="360" w:lineRule="auto"/>
        <w:contextualSpacing/>
        <w:jc w:val="left"/>
        <w:rPr>
          <w:rFonts w:hint="eastAsia" w:ascii="宋体" w:hAnsi="宋体"/>
          <w:sz w:val="24"/>
          <w:highlight w:val="none"/>
        </w:rPr>
      </w:pPr>
      <w:r>
        <w:rPr>
          <w:rFonts w:hint="eastAsia" w:ascii="宋体" w:hAnsi="宋体"/>
          <w:sz w:val="24"/>
          <w:highlight w:val="none"/>
          <w:lang w:eastAsia="zh-CN"/>
        </w:rPr>
        <w:t>销售机构</w:t>
      </w:r>
      <w:r>
        <w:rPr>
          <w:rFonts w:hint="eastAsia" w:ascii="宋体" w:hAnsi="宋体"/>
          <w:sz w:val="24"/>
          <w:highlight w:val="none"/>
        </w:rPr>
        <w:t>应遵守相关法律、法规、监管规定及理财计划合同约定，诚实守信、勤勉尽责，向购买理财计划的投资者充分传递管理人披露的产品相关信息并进行充分的风险揭示。</w:t>
      </w:r>
    </w:p>
    <w:p>
      <w:pPr>
        <w:widowControl/>
        <w:numPr>
          <w:ilvl w:val="0"/>
          <w:numId w:val="74"/>
        </w:numPr>
        <w:spacing w:line="360" w:lineRule="auto"/>
        <w:contextualSpacing/>
        <w:jc w:val="left"/>
        <w:rPr>
          <w:rFonts w:hint="eastAsia" w:ascii="宋体" w:hAnsi="宋体"/>
          <w:sz w:val="24"/>
          <w:highlight w:val="none"/>
        </w:rPr>
      </w:pPr>
      <w:r>
        <w:rPr>
          <w:rFonts w:hint="eastAsia" w:ascii="宋体" w:hAnsi="宋体"/>
          <w:sz w:val="24"/>
          <w:highlight w:val="none"/>
          <w:lang w:eastAsia="zh-CN"/>
        </w:rPr>
        <w:t>销售机构</w:t>
      </w:r>
      <w:r>
        <w:rPr>
          <w:rFonts w:hint="eastAsia" w:ascii="宋体" w:hAnsi="宋体"/>
          <w:sz w:val="24"/>
          <w:highlight w:val="none"/>
        </w:rPr>
        <w:t>应当充分利用科技手段，加强对伪冒网站、伪冒产品等监测，有效防范各类欺诈风险。</w:t>
      </w:r>
    </w:p>
    <w:p>
      <w:pPr>
        <w:widowControl/>
        <w:spacing w:line="360" w:lineRule="auto"/>
        <w:ind w:left="482"/>
        <w:contextualSpacing/>
        <w:jc w:val="left"/>
        <w:rPr>
          <w:rFonts w:hint="eastAsia" w:ascii="宋体" w:hAnsi="宋体"/>
          <w:b/>
          <w:bCs/>
          <w:sz w:val="24"/>
          <w:highlight w:val="none"/>
        </w:rPr>
      </w:pPr>
    </w:p>
    <w:p>
      <w:pPr>
        <w:widowControl/>
        <w:spacing w:line="360" w:lineRule="auto"/>
        <w:rPr>
          <w:rFonts w:hint="eastAsia"/>
          <w:b/>
          <w:bCs/>
          <w:sz w:val="24"/>
          <w:highlight w:val="none"/>
        </w:rPr>
      </w:pPr>
      <w:r>
        <w:rPr>
          <w:rFonts w:hint="eastAsia"/>
          <w:b/>
          <w:bCs/>
          <w:sz w:val="24"/>
          <w:highlight w:val="none"/>
        </w:rPr>
        <w:t xml:space="preserve">    第四条 理财计划认（申）购、赎回及终止</w:t>
      </w:r>
    </w:p>
    <w:p>
      <w:pPr>
        <w:widowControl/>
        <w:numPr>
          <w:ilvl w:val="0"/>
          <w:numId w:val="81"/>
        </w:numPr>
        <w:spacing w:line="360" w:lineRule="auto"/>
        <w:contextualSpacing/>
        <w:rPr>
          <w:rFonts w:hint="eastAsia"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81"/>
        </w:numPr>
        <w:spacing w:line="360" w:lineRule="auto"/>
        <w:contextualSpacing/>
        <w:rPr>
          <w:rFonts w:hint="eastAsia" w:ascii="宋体" w:hAnsi="宋体"/>
          <w:sz w:val="24"/>
          <w:highlight w:val="none"/>
        </w:rPr>
      </w:pPr>
      <w:r>
        <w:rPr>
          <w:rFonts w:hint="eastAsia" w:ascii="宋体" w:hAnsi="宋体"/>
          <w:sz w:val="24"/>
          <w:highlight w:val="none"/>
        </w:rPr>
        <w:t>理财计划认/申购确认：管理人根据销售渠道提供的交易信息及资金划付对投资者相应认/申购进行确认。</w:t>
      </w:r>
    </w:p>
    <w:p>
      <w:pPr>
        <w:widowControl/>
        <w:numPr>
          <w:ilvl w:val="0"/>
          <w:numId w:val="81"/>
        </w:numPr>
        <w:spacing w:line="360" w:lineRule="auto"/>
        <w:contextualSpacing/>
        <w:rPr>
          <w:rFonts w:hint="eastAsia" w:ascii="宋体" w:hAnsi="宋体"/>
          <w:sz w:val="24"/>
          <w:highlight w:val="none"/>
        </w:rPr>
      </w:pPr>
      <w:r>
        <w:rPr>
          <w:rFonts w:hint="eastAsia" w:ascii="宋体" w:hAnsi="宋体"/>
          <w:sz w:val="24"/>
          <w:highlight w:val="none"/>
        </w:rPr>
        <w:t>理财计划不成立：若在募集期结束日，本理财计划发行规模未能达到对应期次的理财计划产品说明书规定的要求，则本理财计划不成立，</w:t>
      </w:r>
      <w:r>
        <w:rPr>
          <w:rFonts w:hint="eastAsia" w:ascii="宋体" w:hAnsi="宋体"/>
          <w:sz w:val="24"/>
          <w:highlight w:val="none"/>
          <w:lang w:eastAsia="zh-CN"/>
        </w:rPr>
        <w:t>销售机构</w:t>
      </w:r>
      <w:r>
        <w:rPr>
          <w:rFonts w:hint="eastAsia" w:ascii="宋体" w:hAnsi="宋体"/>
          <w:sz w:val="24"/>
          <w:highlight w:val="none"/>
        </w:rPr>
        <w:t xml:space="preserve">将按对应期次的理财计划产品说明书约定条款向投资者进行公告，并将及时解除对投资者授权指定账户中认购资金的冻结。 </w:t>
      </w:r>
    </w:p>
    <w:p>
      <w:pPr>
        <w:widowControl/>
        <w:numPr>
          <w:ilvl w:val="0"/>
          <w:numId w:val="81"/>
        </w:numPr>
        <w:spacing w:line="360" w:lineRule="auto"/>
        <w:contextualSpacing/>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81"/>
        </w:numPr>
        <w:spacing w:line="360" w:lineRule="auto"/>
        <w:contextualSpacing/>
        <w:rPr>
          <w:rFonts w:hint="eastAsia" w:ascii="宋体" w:hAnsi="宋体"/>
          <w:sz w:val="24"/>
          <w:highlight w:val="none"/>
        </w:rPr>
      </w:pPr>
      <w:r>
        <w:rPr>
          <w:rFonts w:hint="eastAsia" w:ascii="宋体" w:hAnsi="宋体"/>
          <w:sz w:val="24"/>
          <w:highlight w:val="none"/>
        </w:rPr>
        <w:t>理财计划赎回/终止兑付：在正常情况下，管理人和</w:t>
      </w:r>
      <w:r>
        <w:rPr>
          <w:rFonts w:hint="eastAsia" w:ascii="宋体" w:hAnsi="宋体"/>
          <w:sz w:val="24"/>
          <w:highlight w:val="none"/>
          <w:lang w:eastAsia="zh-CN"/>
        </w:rPr>
        <w:t>销售机构</w:t>
      </w:r>
      <w:r>
        <w:rPr>
          <w:rFonts w:hint="eastAsia" w:ascii="宋体" w:hAnsi="宋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理财计划产品说明书约定管理人对理财计划进行延期或转换时，</w:t>
      </w:r>
      <w:r>
        <w:rPr>
          <w:rFonts w:hint="eastAsia" w:ascii="宋体" w:hAnsi="宋体"/>
          <w:sz w:val="24"/>
          <w:highlight w:val="none"/>
          <w:lang w:eastAsia="zh-CN"/>
        </w:rPr>
        <w:t>销售机构</w:t>
      </w:r>
      <w:r>
        <w:rPr>
          <w:rFonts w:hint="eastAsia" w:ascii="宋体" w:hAnsi="宋体"/>
          <w:sz w:val="24"/>
          <w:highlight w:val="none"/>
        </w:rPr>
        <w:t>将于原约定清算日前通过信息披露途径及时通知，并根据实际情况进行后续处理。</w:t>
      </w:r>
    </w:p>
    <w:p>
      <w:pPr>
        <w:widowControl/>
        <w:numPr>
          <w:ilvl w:val="0"/>
          <w:numId w:val="81"/>
        </w:numPr>
        <w:spacing w:line="360" w:lineRule="auto"/>
        <w:contextualSpacing/>
        <w:rPr>
          <w:rFonts w:hint="eastAsia" w:ascii="宋体" w:hAnsi="宋体"/>
          <w:sz w:val="24"/>
          <w:highlight w:val="none"/>
        </w:rPr>
      </w:pPr>
      <w:r>
        <w:rPr>
          <w:rFonts w:hint="eastAsia" w:ascii="宋体" w:hAnsi="宋体"/>
          <w:sz w:val="24"/>
          <w:highlight w:val="none"/>
        </w:rPr>
        <w:t>资金清算：理财计划终止或份额赎回时，管理人按理财计划合同约定划付至</w:t>
      </w:r>
      <w:r>
        <w:rPr>
          <w:rFonts w:hint="eastAsia" w:ascii="宋体" w:hAnsi="宋体"/>
          <w:sz w:val="24"/>
          <w:highlight w:val="none"/>
          <w:lang w:eastAsia="zh-CN"/>
        </w:rPr>
        <w:t>销售机构</w:t>
      </w:r>
      <w:r>
        <w:rPr>
          <w:rFonts w:hint="eastAsia" w:ascii="宋体" w:hAnsi="宋体"/>
          <w:sz w:val="24"/>
          <w:highlight w:val="none"/>
        </w:rPr>
        <w:t>清算账户后，由</w:t>
      </w:r>
      <w:r>
        <w:rPr>
          <w:rFonts w:hint="eastAsia" w:ascii="宋体" w:hAnsi="宋体"/>
          <w:sz w:val="24"/>
          <w:highlight w:val="none"/>
          <w:lang w:eastAsia="zh-CN"/>
        </w:rPr>
        <w:t>销售机构</w:t>
      </w:r>
      <w:r>
        <w:rPr>
          <w:rFonts w:hint="eastAsia" w:ascii="宋体" w:hAnsi="宋体"/>
          <w:sz w:val="24"/>
          <w:highlight w:val="none"/>
        </w:rPr>
        <w:t>向投资者划付投资者应得资金。如因投资者清算账户余额不足，或</w:t>
      </w:r>
      <w:r>
        <w:rPr>
          <w:rFonts w:hint="eastAsia" w:ascii="宋体" w:hAnsi="宋体"/>
          <w:sz w:val="24"/>
          <w:highlight w:val="none"/>
          <w:lang w:eastAsia="zh-CN"/>
        </w:rPr>
        <w:t>销售机构</w:t>
      </w:r>
      <w:r>
        <w:rPr>
          <w:rFonts w:hint="eastAsia" w:ascii="宋体" w:hAnsi="宋体"/>
          <w:sz w:val="24"/>
          <w:highlight w:val="none"/>
        </w:rPr>
        <w:t>未及时足额划付资金，或</w:t>
      </w:r>
      <w:r>
        <w:rPr>
          <w:rFonts w:hint="eastAsia" w:ascii="宋体" w:hAnsi="宋体"/>
          <w:sz w:val="24"/>
          <w:highlight w:val="none"/>
          <w:lang w:eastAsia="zh-CN"/>
        </w:rPr>
        <w:t>销售机构</w:t>
      </w:r>
      <w:r>
        <w:rPr>
          <w:rFonts w:hint="eastAsia" w:ascii="宋体" w:hAnsi="宋体"/>
          <w:sz w:val="24"/>
          <w:highlight w:val="none"/>
        </w:rPr>
        <w:t>清算账户内资金被依法冻结或扣划，或</w:t>
      </w:r>
      <w:r>
        <w:rPr>
          <w:rFonts w:hint="eastAsia" w:ascii="宋体" w:hAnsi="宋体"/>
          <w:sz w:val="24"/>
          <w:highlight w:val="none"/>
          <w:lang w:eastAsia="zh-CN"/>
        </w:rPr>
        <w:t>销售机构</w:t>
      </w:r>
      <w:r>
        <w:rPr>
          <w:rFonts w:hint="eastAsia" w:ascii="宋体" w:hAnsi="宋体"/>
          <w:sz w:val="24"/>
          <w:highlight w:val="none"/>
        </w:rPr>
        <w:t>清算账户处于被挂失、冻结、注销或其他非正常状态等原因而导致交易失败，对于因上述原因导致的交易失败可能带来的任何损失及预期损失，投资者须自行承担或向</w:t>
      </w:r>
      <w:r>
        <w:rPr>
          <w:rFonts w:hint="eastAsia" w:ascii="宋体" w:hAnsi="宋体"/>
          <w:sz w:val="24"/>
          <w:highlight w:val="none"/>
          <w:lang w:eastAsia="zh-CN"/>
        </w:rPr>
        <w:t>销售机构</w:t>
      </w:r>
      <w:r>
        <w:rPr>
          <w:rFonts w:hint="eastAsia" w:ascii="宋体" w:hAnsi="宋体"/>
          <w:sz w:val="24"/>
          <w:highlight w:val="none"/>
        </w:rPr>
        <w:t>依法主张。</w:t>
      </w:r>
    </w:p>
    <w:p>
      <w:pPr>
        <w:widowControl/>
        <w:spacing w:line="360" w:lineRule="auto"/>
        <w:ind w:left="178" w:leftChars="85"/>
        <w:contextualSpacing/>
        <w:rPr>
          <w:rFonts w:hint="eastAsia" w:ascii="宋体" w:hAnsi="宋体"/>
          <w:b/>
          <w:bCs/>
          <w:sz w:val="24"/>
          <w:highlight w:val="none"/>
        </w:rPr>
      </w:pPr>
    </w:p>
    <w:p>
      <w:pPr>
        <w:widowControl/>
        <w:spacing w:line="360" w:lineRule="auto"/>
        <w:rPr>
          <w:rFonts w:hint="eastAsia"/>
          <w:b/>
          <w:bCs/>
          <w:sz w:val="24"/>
          <w:highlight w:val="none"/>
        </w:rPr>
      </w:pPr>
      <w:r>
        <w:rPr>
          <w:rFonts w:hint="eastAsia"/>
          <w:b/>
          <w:bCs/>
          <w:sz w:val="24"/>
          <w:highlight w:val="none"/>
        </w:rPr>
        <w:t xml:space="preserve">    第五条 违约责任及免责条款</w:t>
      </w:r>
    </w:p>
    <w:p>
      <w:pPr>
        <w:widowControl/>
        <w:numPr>
          <w:ilvl w:val="0"/>
          <w:numId w:val="82"/>
        </w:numPr>
        <w:spacing w:line="360" w:lineRule="auto"/>
        <w:contextualSpacing/>
        <w:rPr>
          <w:rFonts w:hint="eastAsia" w:ascii="宋体" w:hAnsi="宋体"/>
          <w:sz w:val="24"/>
          <w:highlight w:val="none"/>
        </w:rPr>
      </w:pPr>
      <w:r>
        <w:rPr>
          <w:rFonts w:hint="eastAsia" w:ascii="宋体" w:hAnsi="宋体"/>
          <w:sz w:val="24"/>
          <w:highlight w:val="none"/>
        </w:rPr>
        <w:t>若因投资者原因导致司法或行政等有权机关采取强制措施对其理财本金、收益进行部分或全部被扣划，均视投资者本人就全部理财本金进行了提前</w:t>
      </w:r>
      <w:r>
        <w:rPr>
          <w:rFonts w:hint="eastAsia" w:ascii="宋体" w:hAnsi="宋体"/>
          <w:sz w:val="24"/>
          <w:highlight w:val="none"/>
          <w:lang w:val="en-US" w:eastAsia="zh-CN"/>
        </w:rPr>
        <w:t>赎回</w:t>
      </w:r>
      <w:r>
        <w:rPr>
          <w:rFonts w:hint="eastAsia" w:ascii="宋体" w:hAnsi="宋体"/>
          <w:sz w:val="24"/>
          <w:highlight w:val="none"/>
        </w:rPr>
        <w:t>，本协议自动终止。因提前终止而产生的损失及相关费用由投资者承担。本协议因前述情况终止的，理财本金不计付</w:t>
      </w:r>
      <w:r>
        <w:rPr>
          <w:rFonts w:hint="eastAsia" w:ascii="宋体" w:hAnsi="宋体"/>
          <w:sz w:val="24"/>
          <w:highlight w:val="none"/>
          <w:lang w:val="en-US" w:eastAsia="zh-CN"/>
        </w:rPr>
        <w:t>赎回</w:t>
      </w:r>
      <w:r>
        <w:rPr>
          <w:rFonts w:hint="eastAsia" w:ascii="宋体" w:hAnsi="宋体"/>
          <w:sz w:val="24"/>
          <w:highlight w:val="none"/>
        </w:rPr>
        <w:t>日前的理财收益，也不计付存款利息。</w:t>
      </w:r>
    </w:p>
    <w:p>
      <w:pPr>
        <w:widowControl/>
        <w:numPr>
          <w:ilvl w:val="0"/>
          <w:numId w:val="82"/>
        </w:numPr>
        <w:spacing w:line="360" w:lineRule="auto"/>
        <w:contextualSpacing/>
        <w:rPr>
          <w:rFonts w:hint="eastAsia" w:ascii="宋体" w:hAnsi="宋体"/>
          <w:sz w:val="24"/>
          <w:highlight w:val="none"/>
        </w:rPr>
      </w:pPr>
      <w:r>
        <w:rPr>
          <w:rFonts w:hint="eastAsia" w:ascii="宋体" w:hAnsi="宋体"/>
          <w:sz w:val="24"/>
          <w:highlight w:val="none"/>
        </w:rPr>
        <w:t>投资者违反本协议第二条内容，应承担相应违约责任。</w:t>
      </w:r>
      <w:r>
        <w:rPr>
          <w:rFonts w:hint="eastAsia" w:ascii="宋体" w:hAnsi="宋体"/>
          <w:sz w:val="24"/>
          <w:highlight w:val="none"/>
          <w:lang w:eastAsia="zh-CN"/>
        </w:rPr>
        <w:t>销售机构</w:t>
      </w:r>
      <w:r>
        <w:rPr>
          <w:rFonts w:hint="eastAsia" w:ascii="宋体" w:hAnsi="宋体"/>
          <w:sz w:val="24"/>
          <w:highlight w:val="none"/>
        </w:rPr>
        <w:t>对由此导致的理财业务交易延误、中断、终止及投资者损失不承担任何责任，并有权单方终止双方理财业务关系。因投资者违反双方约定给</w:t>
      </w:r>
      <w:r>
        <w:rPr>
          <w:rFonts w:hint="eastAsia" w:ascii="宋体" w:hAnsi="宋体"/>
          <w:sz w:val="24"/>
          <w:highlight w:val="none"/>
          <w:lang w:eastAsia="zh-CN"/>
        </w:rPr>
        <w:t>销售机构</w:t>
      </w:r>
      <w:r>
        <w:rPr>
          <w:rFonts w:hint="eastAsia" w:ascii="宋体" w:hAnsi="宋体"/>
          <w:sz w:val="24"/>
          <w:highlight w:val="none"/>
        </w:rPr>
        <w:t>或全体投资者造成损失的，投资者应承担相应的赔偿责任。</w:t>
      </w:r>
    </w:p>
    <w:p>
      <w:pPr>
        <w:widowControl/>
        <w:numPr>
          <w:ilvl w:val="0"/>
          <w:numId w:val="82"/>
        </w:numPr>
        <w:spacing w:line="360" w:lineRule="auto"/>
        <w:contextualSpacing/>
        <w:rPr>
          <w:rFonts w:hint="eastAsia" w:ascii="宋体" w:hAnsi="宋体"/>
          <w:sz w:val="24"/>
          <w:highlight w:val="none"/>
        </w:rPr>
      </w:pPr>
      <w:r>
        <w:rPr>
          <w:rFonts w:hint="eastAsia" w:ascii="宋体" w:hAnsi="宋体"/>
          <w:sz w:val="24"/>
          <w:highlight w:val="none"/>
        </w:rPr>
        <w:t>若由于</w:t>
      </w:r>
      <w:r>
        <w:rPr>
          <w:rFonts w:hint="eastAsia" w:ascii="宋体" w:hAnsi="宋体"/>
          <w:sz w:val="24"/>
          <w:highlight w:val="none"/>
          <w:lang w:eastAsia="zh-CN"/>
        </w:rPr>
        <w:t>销售机构</w:t>
      </w:r>
      <w:r>
        <w:rPr>
          <w:rFonts w:hint="eastAsia" w:ascii="宋体" w:hAnsi="宋体"/>
          <w:sz w:val="24"/>
          <w:highlight w:val="none"/>
        </w:rPr>
        <w:t>过错导致理财计划资产发生损失，</w:t>
      </w:r>
      <w:r>
        <w:rPr>
          <w:rFonts w:hint="eastAsia" w:ascii="宋体" w:hAnsi="宋体"/>
          <w:sz w:val="24"/>
          <w:highlight w:val="none"/>
          <w:lang w:eastAsia="zh-CN"/>
        </w:rPr>
        <w:t>销售机构</w:t>
      </w:r>
      <w:r>
        <w:rPr>
          <w:rFonts w:hint="eastAsia" w:ascii="宋体" w:hAnsi="宋体"/>
          <w:sz w:val="24"/>
          <w:highlight w:val="none"/>
        </w:rPr>
        <w:t>应按其过错承担赔偿责任，</w:t>
      </w:r>
      <w:r>
        <w:rPr>
          <w:rFonts w:hint="eastAsia" w:ascii="宋体" w:hAnsi="宋体"/>
          <w:sz w:val="24"/>
          <w:highlight w:val="none"/>
          <w:lang w:eastAsia="zh-CN"/>
        </w:rPr>
        <w:t>销售机构</w:t>
      </w:r>
      <w:r>
        <w:rPr>
          <w:rFonts w:hint="eastAsia" w:ascii="宋体" w:hAnsi="宋体"/>
          <w:sz w:val="24"/>
          <w:highlight w:val="none"/>
        </w:rPr>
        <w:t>赔偿的款项计入理财计划的资产和收益。</w:t>
      </w:r>
    </w:p>
    <w:p>
      <w:pPr>
        <w:widowControl/>
        <w:numPr>
          <w:ilvl w:val="0"/>
          <w:numId w:val="82"/>
        </w:numPr>
        <w:spacing w:line="360" w:lineRule="auto"/>
        <w:contextualSpacing/>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sz w:val="24"/>
          <w:highlight w:val="none"/>
        </w:rPr>
        <w:t>不承担责任；但</w:t>
      </w:r>
      <w:r>
        <w:rPr>
          <w:rFonts w:hint="eastAsia" w:ascii="宋体" w:hAnsi="宋体"/>
          <w:sz w:val="24"/>
          <w:highlight w:val="none"/>
          <w:lang w:eastAsia="zh-CN"/>
        </w:rPr>
        <w:t>销售机构</w:t>
      </w:r>
      <w:r>
        <w:rPr>
          <w:rFonts w:hint="eastAsia" w:ascii="宋体" w:hAnsi="宋体"/>
          <w:sz w:val="24"/>
          <w:highlight w:val="none"/>
        </w:rPr>
        <w:t>应在上述情况发生后在条件允许时及时通知投资者并采取一切必要且可能的措施阻止损失扩大。</w:t>
      </w:r>
    </w:p>
    <w:p>
      <w:pPr>
        <w:widowControl/>
        <w:numPr>
          <w:ilvl w:val="0"/>
          <w:numId w:val="82"/>
        </w:numPr>
        <w:spacing w:line="360" w:lineRule="auto"/>
        <w:contextualSpacing/>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w:t>
      </w:r>
      <w:r>
        <w:rPr>
          <w:rFonts w:hint="eastAsia" w:ascii="宋体" w:hAnsi="宋体"/>
          <w:sz w:val="24"/>
          <w:highlight w:val="none"/>
          <w:lang w:eastAsia="zh-CN"/>
        </w:rPr>
        <w:t>销售机构</w:t>
      </w:r>
      <w:r>
        <w:rPr>
          <w:rFonts w:hint="eastAsia" w:ascii="宋体" w:hAnsi="宋体"/>
          <w:sz w:val="24"/>
          <w:highlight w:val="none"/>
        </w:rPr>
        <w:t>不承担责任。</w:t>
      </w:r>
    </w:p>
    <w:p>
      <w:pPr>
        <w:widowControl/>
        <w:spacing w:line="360" w:lineRule="auto"/>
        <w:contextualSpacing/>
        <w:rPr>
          <w:rFonts w:hint="eastAsia" w:ascii="宋体" w:hAnsi="宋体"/>
          <w:b/>
          <w:bCs/>
          <w:sz w:val="24"/>
          <w:highlight w:val="none"/>
        </w:rPr>
      </w:pPr>
    </w:p>
    <w:p>
      <w:pPr>
        <w:widowControl/>
        <w:spacing w:line="360" w:lineRule="auto"/>
        <w:rPr>
          <w:rFonts w:hint="eastAsia"/>
          <w:b/>
          <w:bCs/>
          <w:sz w:val="24"/>
          <w:highlight w:val="none"/>
        </w:rPr>
      </w:pPr>
      <w:r>
        <w:rPr>
          <w:rFonts w:hint="eastAsia"/>
          <w:b/>
          <w:bCs/>
          <w:sz w:val="24"/>
          <w:highlight w:val="none"/>
        </w:rPr>
        <w:t xml:space="preserve">    第六条 适用法律与争议解决</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本协议适用中华人民共和国（仅为明确本合同适用法律规则，不含香港特别行政区、澳门特别行政区及中国台湾地区）的法律和行政法规。本协议项下的及与之有关的一切争议，投资者与</w:t>
      </w:r>
      <w:r>
        <w:rPr>
          <w:rFonts w:hint="eastAsia" w:ascii="宋体" w:hAnsi="宋体"/>
          <w:sz w:val="24"/>
          <w:highlight w:val="none"/>
          <w:lang w:eastAsia="zh-CN"/>
        </w:rPr>
        <w:t>销售机构</w:t>
      </w:r>
      <w:r>
        <w:rPr>
          <w:rFonts w:hint="eastAsia" w:ascii="宋体" w:hAnsi="宋体"/>
          <w:sz w:val="24"/>
          <w:highlight w:val="none"/>
        </w:rPr>
        <w:t>双方应首先协商解决，协商不成的，应提交</w:t>
      </w:r>
      <w:r>
        <w:rPr>
          <w:rFonts w:hint="eastAsia" w:ascii="宋体" w:hAnsi="宋体"/>
          <w:sz w:val="24"/>
          <w:highlight w:val="none"/>
          <w:lang w:eastAsia="zh-CN"/>
        </w:rPr>
        <w:t>销售机构</w:t>
      </w:r>
      <w:r>
        <w:rPr>
          <w:rFonts w:hint="eastAsia" w:ascii="宋体" w:hAnsi="宋体" w:eastAsia="宋体" w:cs="黑体"/>
          <w:sz w:val="24"/>
          <w:highlight w:val="none"/>
          <w:lang w:val="en-US" w:eastAsia="zh-CN"/>
        </w:rPr>
        <w:t>或管理人</w:t>
      </w:r>
      <w:r>
        <w:rPr>
          <w:rFonts w:hint="eastAsia" w:ascii="宋体" w:hAnsi="宋体"/>
          <w:sz w:val="24"/>
          <w:highlight w:val="none"/>
        </w:rPr>
        <w:t>所在地人民法院诉讼解决。诉讼期间，未涉及争议的条款仍需继续履行。</w:t>
      </w:r>
    </w:p>
    <w:p>
      <w:pPr>
        <w:widowControl/>
        <w:spacing w:line="360" w:lineRule="auto"/>
        <w:ind w:firstLine="482" w:firstLineChars="200"/>
        <w:contextualSpacing/>
        <w:rPr>
          <w:rFonts w:hint="eastAsia" w:ascii="宋体" w:hAnsi="宋体"/>
          <w:b/>
          <w:bCs/>
          <w:sz w:val="24"/>
          <w:highlight w:val="none"/>
        </w:rPr>
      </w:pPr>
    </w:p>
    <w:p>
      <w:pPr>
        <w:widowControl/>
        <w:spacing w:line="360" w:lineRule="auto"/>
        <w:rPr>
          <w:rFonts w:hint="eastAsia"/>
          <w:b/>
          <w:bCs/>
          <w:sz w:val="24"/>
          <w:highlight w:val="none"/>
        </w:rPr>
      </w:pPr>
      <w:r>
        <w:rPr>
          <w:rFonts w:hint="eastAsia"/>
          <w:b/>
          <w:bCs/>
          <w:sz w:val="24"/>
          <w:highlight w:val="none"/>
        </w:rPr>
        <w:t xml:space="preserve">    第七条 协议生效和终止</w:t>
      </w:r>
    </w:p>
    <w:p>
      <w:pPr>
        <w:widowControl/>
        <w:numPr>
          <w:ilvl w:val="0"/>
          <w:numId w:val="83"/>
        </w:numPr>
        <w:spacing w:line="360" w:lineRule="auto"/>
        <w:contextualSpacing/>
        <w:rPr>
          <w:rFonts w:hint="eastAsia" w:ascii="宋体" w:hAnsi="宋体"/>
          <w:sz w:val="24"/>
          <w:highlight w:val="none"/>
        </w:rPr>
      </w:pPr>
      <w:r>
        <w:rPr>
          <w:rFonts w:hint="eastAsia" w:ascii="宋体" w:hAnsi="宋体"/>
          <w:sz w:val="24"/>
          <w:highlight w:val="none"/>
        </w:rPr>
        <w:t>投资者和</w:t>
      </w:r>
      <w:r>
        <w:rPr>
          <w:rFonts w:hint="eastAsia" w:ascii="宋体" w:hAnsi="宋体"/>
          <w:sz w:val="24"/>
          <w:highlight w:val="none"/>
          <w:lang w:eastAsia="zh-CN"/>
        </w:rPr>
        <w:t>销售机构</w:t>
      </w:r>
      <w:r>
        <w:rPr>
          <w:rFonts w:hint="eastAsia" w:ascii="宋体" w:hAnsi="宋体"/>
          <w:sz w:val="24"/>
          <w:highlight w:val="none"/>
        </w:rPr>
        <w:t xml:space="preserve">双方认可本协议可以纸质或电子数据等形式提交、订立或确认。 </w:t>
      </w:r>
    </w:p>
    <w:p>
      <w:pPr>
        <w:widowControl/>
        <w:numPr>
          <w:ilvl w:val="0"/>
          <w:numId w:val="84"/>
        </w:numPr>
        <w:spacing w:line="360" w:lineRule="auto"/>
        <w:contextualSpacing/>
        <w:rPr>
          <w:rFonts w:hint="eastAsia" w:ascii="宋体" w:hAnsi="宋体"/>
          <w:sz w:val="24"/>
          <w:highlight w:val="none"/>
        </w:rPr>
      </w:pPr>
      <w:r>
        <w:rPr>
          <w:rFonts w:hint="eastAsia" w:ascii="宋体" w:hAnsi="宋体"/>
          <w:sz w:val="24"/>
          <w:highlight w:val="none"/>
        </w:rPr>
        <w:t>本协议书以纸质书面形式订立的，自投资者签</w:t>
      </w:r>
      <w:r>
        <w:rPr>
          <w:rFonts w:hint="eastAsia" w:ascii="宋体" w:hAnsi="宋体"/>
          <w:sz w:val="24"/>
          <w:highlight w:val="none"/>
          <w:lang w:val="en-US" w:eastAsia="zh-CN"/>
        </w:rPr>
        <w:t>署（如投资者为个人，应签字；如投资者为机构，应法定代表人或授权代理人签字或盖章并加盖公章或有效授权印章）</w:t>
      </w:r>
      <w:r>
        <w:rPr>
          <w:rFonts w:hint="eastAsia" w:ascii="宋体" w:hAnsi="宋体"/>
          <w:sz w:val="24"/>
          <w:highlight w:val="none"/>
        </w:rPr>
        <w:t>和</w:t>
      </w:r>
      <w:r>
        <w:rPr>
          <w:rFonts w:hint="eastAsia" w:ascii="宋体" w:hAnsi="宋体"/>
          <w:sz w:val="24"/>
          <w:highlight w:val="none"/>
          <w:lang w:eastAsia="zh-CN"/>
        </w:rPr>
        <w:t>销售机构</w:t>
      </w:r>
      <w:r>
        <w:rPr>
          <w:rFonts w:hint="eastAsia" w:ascii="宋体" w:hAnsi="宋体"/>
          <w:sz w:val="24"/>
          <w:highlight w:val="none"/>
        </w:rPr>
        <w:t>签章之后立即生效。协议一式叁份，投资者、管理人和</w:t>
      </w:r>
      <w:r>
        <w:rPr>
          <w:rFonts w:hint="eastAsia" w:ascii="宋体" w:hAnsi="宋体"/>
          <w:sz w:val="24"/>
          <w:highlight w:val="none"/>
          <w:lang w:eastAsia="zh-CN"/>
        </w:rPr>
        <w:t>销售机构</w:t>
      </w:r>
      <w:r>
        <w:rPr>
          <w:rFonts w:hint="eastAsia" w:ascii="宋体" w:hAnsi="宋体"/>
          <w:sz w:val="24"/>
          <w:highlight w:val="none"/>
        </w:rPr>
        <w:t xml:space="preserve">各执壹份，具有同等法律效力。 </w:t>
      </w:r>
    </w:p>
    <w:p>
      <w:pPr>
        <w:widowControl/>
        <w:numPr>
          <w:ilvl w:val="0"/>
          <w:numId w:val="84"/>
        </w:numPr>
        <w:spacing w:line="360" w:lineRule="auto"/>
        <w:contextualSpacing/>
        <w:rPr>
          <w:rFonts w:hint="eastAsia" w:ascii="宋体" w:hAnsi="宋体"/>
          <w:sz w:val="24"/>
          <w:highlight w:val="none"/>
        </w:rPr>
      </w:pPr>
      <w:r>
        <w:rPr>
          <w:rFonts w:hint="eastAsia" w:ascii="宋体" w:hAnsi="宋体"/>
          <w:sz w:val="24"/>
          <w:highlight w:val="none"/>
        </w:rPr>
        <w:t>本协议书以数据电文形式订立的，投资者在</w:t>
      </w:r>
      <w:r>
        <w:rPr>
          <w:rFonts w:hint="eastAsia" w:ascii="宋体" w:hAnsi="宋体"/>
          <w:sz w:val="24"/>
          <w:highlight w:val="none"/>
          <w:lang w:eastAsia="zh-CN"/>
        </w:rPr>
        <w:t>销售机构</w:t>
      </w:r>
      <w:r>
        <w:rPr>
          <w:rFonts w:hint="eastAsia" w:ascii="宋体" w:hAnsi="宋体"/>
          <w:sz w:val="24"/>
          <w:highlight w:val="none"/>
        </w:rPr>
        <w:t>的电子银行渠道（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84"/>
        </w:numPr>
        <w:spacing w:line="360" w:lineRule="auto"/>
        <w:contextualSpacing/>
        <w:rPr>
          <w:rFonts w:hint="eastAsia" w:ascii="宋体" w:hAnsi="宋体"/>
          <w:sz w:val="24"/>
          <w:highlight w:val="none"/>
        </w:rPr>
      </w:pPr>
      <w:r>
        <w:rPr>
          <w:rFonts w:hint="eastAsia" w:ascii="宋体" w:hAnsi="宋体"/>
          <w:sz w:val="24"/>
          <w:highlight w:val="none"/>
        </w:rPr>
        <w:t>投资者和</w:t>
      </w:r>
      <w:r>
        <w:rPr>
          <w:rFonts w:hint="eastAsia" w:ascii="宋体" w:hAnsi="宋体"/>
          <w:sz w:val="24"/>
          <w:highlight w:val="none"/>
          <w:lang w:eastAsia="zh-CN"/>
        </w:rPr>
        <w:t>销售机构</w:t>
      </w:r>
      <w:r>
        <w:rPr>
          <w:rFonts w:hint="eastAsia" w:ascii="宋体" w:hAnsi="宋体"/>
          <w:sz w:val="24"/>
          <w:highlight w:val="none"/>
        </w:rPr>
        <w:t>双方在本协议及对应期次的理财计划产品说明书项下权利义务履行完毕之日，本协议自动终止。</w:t>
      </w:r>
    </w:p>
    <w:p>
      <w:pPr>
        <w:widowControl/>
        <w:spacing w:line="360" w:lineRule="auto"/>
        <w:ind w:left="420"/>
        <w:contextualSpacing/>
        <w:rPr>
          <w:rFonts w:hint="eastAsia" w:ascii="宋体" w:hAnsi="宋体"/>
          <w:sz w:val="24"/>
          <w:highlight w:val="none"/>
        </w:rPr>
      </w:pPr>
    </w:p>
    <w:p>
      <w:pPr>
        <w:widowControl/>
        <w:spacing w:line="360" w:lineRule="auto"/>
        <w:rPr>
          <w:rFonts w:hint="eastAsia"/>
          <w:b/>
          <w:sz w:val="24"/>
          <w:highlight w:val="none"/>
        </w:rPr>
      </w:pPr>
      <w:r>
        <w:rPr>
          <w:rFonts w:hint="eastAsia"/>
          <w:b/>
          <w:sz w:val="24"/>
          <w:highlight w:val="none"/>
        </w:rPr>
        <w:t xml:space="preserve">    第八条 附则 </w:t>
      </w:r>
    </w:p>
    <w:p>
      <w:pPr>
        <w:widowControl/>
        <w:numPr>
          <w:ilvl w:val="0"/>
          <w:numId w:val="85"/>
        </w:numPr>
        <w:spacing w:line="360" w:lineRule="auto"/>
        <w:contextualSpacing/>
        <w:rPr>
          <w:rFonts w:hint="eastAsia" w:ascii="宋体" w:hAnsi="宋体"/>
          <w:sz w:val="24"/>
          <w:highlight w:val="none"/>
        </w:rPr>
      </w:pPr>
      <w:r>
        <w:rPr>
          <w:rFonts w:hint="eastAsia" w:ascii="宋体" w:hAnsi="宋体"/>
          <w:sz w:val="24"/>
          <w:highlight w:val="none"/>
        </w:rPr>
        <w:t>如果投资者与</w:t>
      </w:r>
      <w:r>
        <w:rPr>
          <w:rFonts w:hint="eastAsia" w:ascii="宋体" w:hAnsi="宋体"/>
          <w:sz w:val="24"/>
          <w:highlight w:val="none"/>
          <w:lang w:eastAsia="zh-CN"/>
        </w:rPr>
        <w:t>销售机构</w:t>
      </w:r>
      <w:r>
        <w:rPr>
          <w:rFonts w:hint="eastAsia" w:ascii="宋体" w:hAnsi="宋体"/>
          <w:sz w:val="24"/>
          <w:highlight w:val="none"/>
        </w:rPr>
        <w:t>之间存在多份理财计划销售协议书，则每一协议书分别与其所对应的理财计划产品说明书等销售文本单独构成一个理财计划合同，各个合同之间互相独立，每一合同的效力及履行情况均独立于其他合同。</w:t>
      </w:r>
    </w:p>
    <w:p>
      <w:pPr>
        <w:widowControl/>
        <w:numPr>
          <w:ilvl w:val="0"/>
          <w:numId w:val="85"/>
        </w:numPr>
        <w:spacing w:line="360" w:lineRule="auto"/>
        <w:contextualSpacing/>
        <w:rPr>
          <w:rFonts w:hint="eastAsia"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85"/>
        </w:numPr>
        <w:spacing w:line="360" w:lineRule="auto"/>
        <w:contextualSpacing/>
        <w:rPr>
          <w:rFonts w:hint="eastAsia"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w:t>
      </w:r>
      <w:r>
        <w:rPr>
          <w:rFonts w:ascii="宋体" w:hAnsi="宋体"/>
          <w:sz w:val="24"/>
          <w:highlight w:val="none"/>
        </w:rPr>
        <w:t>合同</w:t>
      </w:r>
      <w:r>
        <w:rPr>
          <w:rFonts w:hint="eastAsia" w:ascii="宋体" w:hAnsi="宋体"/>
          <w:sz w:val="24"/>
          <w:highlight w:val="none"/>
        </w:rPr>
        <w:t>销售文件进行修订。</w:t>
      </w:r>
    </w:p>
    <w:p>
      <w:pPr>
        <w:widowControl/>
        <w:spacing w:line="360" w:lineRule="auto"/>
        <w:contextualSpacing/>
        <w:rPr>
          <w:rFonts w:hint="eastAsia" w:ascii="宋体" w:hAnsi="宋体"/>
          <w:sz w:val="24"/>
          <w:highlight w:val="none"/>
        </w:rPr>
      </w:pPr>
    </w:p>
    <w:p>
      <w:pPr>
        <w:spacing w:line="360" w:lineRule="auto"/>
        <w:rPr>
          <w:highlight w:val="none"/>
        </w:rPr>
      </w:pPr>
    </w:p>
    <w:p>
      <w:pPr>
        <w:spacing w:line="360" w:lineRule="auto"/>
        <w:rPr>
          <w:highlight w:val="none"/>
        </w:rPr>
      </w:pPr>
    </w:p>
    <w:p>
      <w:pPr>
        <w:widowControl/>
        <w:spacing w:line="360" w:lineRule="auto"/>
        <w:jc w:val="right"/>
        <w:rPr>
          <w:rFonts w:hint="eastAsia" w:ascii="宋体" w:hAnsi="Wingdings" w:cs="宋体"/>
          <w:color w:val="000000"/>
          <w:kern w:val="0"/>
          <w:sz w:val="24"/>
          <w:highlight w:val="none"/>
        </w:rPr>
      </w:pPr>
      <w:r>
        <w:rPr>
          <w:rFonts w:hint="eastAsia" w:ascii="宋体" w:hAnsi="宋体" w:cs="宋体"/>
          <w:kern w:val="0"/>
          <w:sz w:val="24"/>
          <w:highlight w:val="none"/>
        </w:rPr>
        <w:t>杭银理财有限责任公司</w:t>
      </w:r>
    </w:p>
    <w:p>
      <w:pPr>
        <w:spacing w:line="360" w:lineRule="auto"/>
        <w:rPr>
          <w:highlight w:val="none"/>
        </w:rPr>
      </w:pPr>
    </w:p>
    <w:p>
      <w:pPr>
        <w:spacing w:line="360" w:lineRule="auto"/>
        <w:rPr>
          <w:highlight w:val="none"/>
        </w:rPr>
      </w:pPr>
    </w:p>
    <w:p>
      <w:pPr>
        <w:spacing w:line="360" w:lineRule="auto"/>
        <w:rPr>
          <w:rFonts w:hint="eastAsia" w:ascii="宋体" w:hAnsi="宋体"/>
          <w:sz w:val="24"/>
          <w:highlight w:val="none"/>
        </w:rPr>
      </w:pPr>
    </w:p>
    <w:p>
      <w:pPr>
        <w:spacing w:line="360" w:lineRule="auto"/>
        <w:rPr>
          <w:rFonts w:ascii="宋体" w:hAnsi="宋体"/>
          <w:sz w:val="24"/>
          <w:highlight w:val="none"/>
        </w:rPr>
      </w:pPr>
      <w:r>
        <w:rPr>
          <w:rFonts w:hint="eastAsia" w:ascii="宋体" w:hAnsi="宋体"/>
          <w:sz w:val="24"/>
          <w:highlight w:val="none"/>
        </w:rPr>
        <w:t>本页为纸质形式（如有）销售协议书签章页</w:t>
      </w: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rFonts w:hint="eastAsia" w:ascii="宋体" w:hAnsi="宋体"/>
          <w:b/>
          <w:bCs/>
          <w:sz w:val="24"/>
          <w:highlight w:val="none"/>
        </w:rPr>
      </w:pPr>
      <w:r>
        <w:rPr>
          <w:rFonts w:hint="eastAsia" w:ascii="宋体" w:hAnsi="宋体"/>
          <w:b/>
          <w:bCs/>
          <w:sz w:val="24"/>
          <w:highlight w:val="none"/>
        </w:rPr>
        <w:t>投资者（签字</w:t>
      </w:r>
      <w:r>
        <w:rPr>
          <w:rFonts w:hint="eastAsia" w:ascii="宋体" w:hAnsi="宋体" w:eastAsia="宋体" w:cs="黑体"/>
          <w:b/>
          <w:bCs/>
          <w:sz w:val="24"/>
          <w:highlight w:val="none"/>
          <w:lang w:eastAsia="zh-CN"/>
        </w:rPr>
        <w:t>或签章</w:t>
      </w:r>
      <w:r>
        <w:rPr>
          <w:rFonts w:hint="eastAsia" w:ascii="宋体" w:hAnsi="宋体"/>
          <w:b/>
          <w:bCs/>
          <w:sz w:val="24"/>
          <w:highlight w:val="none"/>
        </w:rPr>
        <w:t>）：</w:t>
      </w: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r>
        <w:rPr>
          <w:rFonts w:hint="eastAsia" w:ascii="宋体" w:hAnsi="宋体"/>
          <w:b/>
          <w:bCs/>
          <w:sz w:val="24"/>
          <w:highlight w:val="none"/>
          <w:lang w:eastAsia="zh-CN"/>
        </w:rPr>
        <w:t>销售机构</w:t>
      </w:r>
      <w:r>
        <w:rPr>
          <w:rFonts w:hint="eastAsia" w:ascii="宋体" w:hAnsi="宋体"/>
          <w:b/>
          <w:bCs/>
          <w:sz w:val="24"/>
          <w:highlight w:val="none"/>
        </w:rPr>
        <w:t>签章：</w:t>
      </w: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before="156" w:beforeLines="50" w:after="156" w:afterLines="50" w:line="360" w:lineRule="auto"/>
        <w:ind w:firstLine="4800" w:firstLineChars="2000"/>
        <w:jc w:val="right"/>
        <w:rPr>
          <w:rFonts w:hint="eastAsia" w:ascii="Arial" w:hAnsi="Arial"/>
          <w:sz w:val="24"/>
        </w:rPr>
      </w:pPr>
      <w:r>
        <w:rPr>
          <w:rFonts w:hint="eastAsia" w:ascii="Arial" w:hAnsi="Arial"/>
          <w:sz w:val="24"/>
          <w:highlight w:val="none"/>
        </w:rPr>
        <w:t xml:space="preserve">   年   月   日</w:t>
      </w:r>
    </w:p>
    <w:p>
      <w:pPr>
        <w:spacing w:line="360" w:lineRule="auto"/>
        <w:ind w:firstLine="480" w:firstLineChars="200"/>
        <w:rPr>
          <w:rFonts w:ascii="宋体" w:hAnsi="宋体" w:cs="宋体"/>
          <w:bCs/>
          <w:color w:val="000000"/>
          <w:sz w:val="24"/>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32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lang/>
                            </w:rPr>
                            <w:t>51</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32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lang/>
                      </w:rPr>
                      <w:t>51</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pPr>
    <w:r>
      <w:rPr>
        <w:rFonts w:hint="eastAsia"/>
        <w:b/>
        <w:bCs/>
        <w:color w:val="auto"/>
        <w:lang w:eastAsia="zh-CN"/>
      </w:rPr>
      <w:t>理财非存款</w:t>
    </w:r>
    <w:r>
      <w:rPr>
        <w:rFonts w:hint="eastAsia"/>
        <w:b/>
        <w:bCs/>
        <w:color w:val="auto"/>
        <w:lang w:val="en-US" w:eastAsia="zh-CN"/>
      </w:rPr>
      <w:t xml:space="preserve"> 产品有风险 投资</w:t>
    </w:r>
    <w:r>
      <w:rPr>
        <w:rFonts w:hint="eastAsia"/>
        <w:b/>
        <w:bCs/>
        <w:color w:val="auto"/>
        <w:highlight w:val="none"/>
        <w:lang w:val="en-US" w:eastAsia="zh-CN"/>
      </w:rPr>
      <w:t>须</w:t>
    </w:r>
    <w:r>
      <w:rPr>
        <w:rFonts w:hint="eastAsia"/>
        <w:b/>
        <w:bCs/>
        <w:color w:val="auto"/>
        <w:lang w:val="en-US" w:eastAsia="zh-CN"/>
      </w:rPr>
      <w:t>谨慎</w:t>
    </w: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-553085</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3">
    <w:nsid w:val="85460E80"/>
    <w:multiLevelType w:val="singleLevel"/>
    <w:tmpl w:val="85460E80"/>
    <w:lvl w:ilvl="0" w:tentative="0">
      <w:start w:val="1"/>
      <w:numFmt w:val="decimal"/>
      <w:suff w:val="nothing"/>
      <w:lvlText w:val="（%1）"/>
      <w:lvlJc w:val="left"/>
      <w:rPr>
        <w:rFonts w:hint="default"/>
        <w:b w:val="0"/>
        <w:bCs w:val="0"/>
      </w:rPr>
    </w:lvl>
  </w:abstractNum>
  <w:abstractNum w:abstractNumId="4">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5">
    <w:nsid w:val="8906C252"/>
    <w:multiLevelType w:val="singleLevel"/>
    <w:tmpl w:val="8906C252"/>
    <w:lvl w:ilvl="0" w:tentative="0">
      <w:start w:val="1"/>
      <w:numFmt w:val="decimal"/>
      <w:suff w:val="nothing"/>
      <w:lvlText w:val="（%1）"/>
      <w:lvlJc w:val="left"/>
      <w:rPr>
        <w:rFonts w:hint="default"/>
        <w:b w:val="0"/>
        <w:bCs w:val="0"/>
      </w:rPr>
    </w:lvl>
  </w:abstractNum>
  <w:abstractNum w:abstractNumId="6">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7">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8">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9">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10">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1">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2">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3">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4">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5">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6">
    <w:nsid w:val="AC40BB97"/>
    <w:multiLevelType w:val="singleLevel"/>
    <w:tmpl w:val="AC40BB97"/>
    <w:lvl w:ilvl="0" w:tentative="0">
      <w:start w:val="1"/>
      <w:numFmt w:val="chineseCounting"/>
      <w:suff w:val="nothing"/>
      <w:lvlText w:val="%1、"/>
      <w:lvlJc w:val="left"/>
      <w:rPr>
        <w:rFonts w:hint="eastAsia"/>
      </w:rPr>
    </w:lvl>
  </w:abstractNum>
  <w:abstractNum w:abstractNumId="17">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8">
    <w:nsid w:val="B08226EF"/>
    <w:multiLevelType w:val="singleLevel"/>
    <w:tmpl w:val="B08226EF"/>
    <w:lvl w:ilvl="0" w:tentative="0">
      <w:start w:val="1"/>
      <w:numFmt w:val="chineseCounting"/>
      <w:suff w:val="space"/>
      <w:lvlText w:val="第%1条"/>
      <w:lvlJc w:val="left"/>
      <w:rPr>
        <w:rFonts w:hint="eastAsia"/>
      </w:rPr>
    </w:lvl>
  </w:abstractNum>
  <w:abstractNum w:abstractNumId="19">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20">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1">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2">
    <w:nsid w:val="C6B89099"/>
    <w:multiLevelType w:val="singleLevel"/>
    <w:tmpl w:val="C6B89099"/>
    <w:lvl w:ilvl="0" w:tentative="0">
      <w:start w:val="1"/>
      <w:numFmt w:val="upperLetter"/>
      <w:suff w:val="nothing"/>
      <w:lvlText w:val="%1、"/>
      <w:lvlJc w:val="left"/>
    </w:lvl>
  </w:abstractNum>
  <w:abstractNum w:abstractNumId="23">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4">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5">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6">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7">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8">
    <w:nsid w:val="D8D75090"/>
    <w:multiLevelType w:val="singleLevel"/>
    <w:tmpl w:val="D8D75090"/>
    <w:lvl w:ilvl="0" w:tentative="0">
      <w:start w:val="1"/>
      <w:numFmt w:val="decimal"/>
      <w:suff w:val="nothing"/>
      <w:lvlText w:val="（%1）"/>
      <w:lvlJc w:val="left"/>
      <w:rPr>
        <w:rFonts w:hint="default"/>
        <w:b w:val="0"/>
        <w:bCs w:val="0"/>
      </w:rPr>
    </w:lvl>
  </w:abstractNum>
  <w:abstractNum w:abstractNumId="29">
    <w:nsid w:val="DD2251DF"/>
    <w:multiLevelType w:val="singleLevel"/>
    <w:tmpl w:val="DD2251DF"/>
    <w:lvl w:ilvl="0" w:tentative="0">
      <w:start w:val="1"/>
      <w:numFmt w:val="decimal"/>
      <w:suff w:val="nothing"/>
      <w:lvlText w:val="（%1）"/>
      <w:lvlJc w:val="left"/>
      <w:rPr>
        <w:rFonts w:hint="default"/>
        <w:b w:val="0"/>
        <w:bCs w:val="0"/>
      </w:rPr>
    </w:lvl>
  </w:abstractNum>
  <w:abstractNum w:abstractNumId="30">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31">
    <w:nsid w:val="E70DF796"/>
    <w:multiLevelType w:val="singleLevel"/>
    <w:tmpl w:val="E70DF796"/>
    <w:lvl w:ilvl="0" w:tentative="0">
      <w:start w:val="1"/>
      <w:numFmt w:val="decimal"/>
      <w:suff w:val="nothing"/>
      <w:lvlText w:val="（%1）"/>
      <w:lvlJc w:val="left"/>
    </w:lvl>
  </w:abstractNum>
  <w:abstractNum w:abstractNumId="32">
    <w:nsid w:val="EFF37F09"/>
    <w:multiLevelType w:val="singleLevel"/>
    <w:tmpl w:val="EFF37F09"/>
    <w:lvl w:ilvl="0" w:tentative="0">
      <w:start w:val="1"/>
      <w:numFmt w:val="decimal"/>
      <w:suff w:val="nothing"/>
      <w:lvlText w:val="（%1）"/>
      <w:lvlJc w:val="left"/>
      <w:rPr>
        <w:rFonts w:hint="default"/>
        <w:b w:val="0"/>
        <w:bCs w:val="0"/>
      </w:rPr>
    </w:lvl>
  </w:abstractNum>
  <w:abstractNum w:abstractNumId="33">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4">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5">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6">
    <w:nsid w:val="F574F5B6"/>
    <w:multiLevelType w:val="singleLevel"/>
    <w:tmpl w:val="F574F5B6"/>
    <w:lvl w:ilvl="0" w:tentative="0">
      <w:start w:val="1"/>
      <w:numFmt w:val="decimal"/>
      <w:suff w:val="nothing"/>
      <w:lvlText w:val="（%1）"/>
      <w:lvlJc w:val="left"/>
    </w:lvl>
  </w:abstractNum>
  <w:abstractNum w:abstractNumId="37">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8">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9">
    <w:nsid w:val="084A6179"/>
    <w:multiLevelType w:val="singleLevel"/>
    <w:tmpl w:val="084A6179"/>
    <w:lvl w:ilvl="0" w:tentative="0">
      <w:start w:val="1"/>
      <w:numFmt w:val="decimal"/>
      <w:suff w:val="nothing"/>
      <w:lvlText w:val="（%1）"/>
      <w:lvlJc w:val="left"/>
    </w:lvl>
  </w:abstractNum>
  <w:abstractNum w:abstractNumId="40">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sz w:val="24"/>
        <w:szCs w:val="24"/>
      </w:rPr>
    </w:lvl>
  </w:abstractNum>
  <w:abstractNum w:abstractNumId="42">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3">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4">
    <w:nsid w:val="167B0BB4"/>
    <w:multiLevelType w:val="singleLevel"/>
    <w:tmpl w:val="167B0BB4"/>
    <w:lvl w:ilvl="0" w:tentative="0">
      <w:start w:val="1"/>
      <w:numFmt w:val="decimal"/>
      <w:suff w:val="nothing"/>
      <w:lvlText w:val="（%1）"/>
      <w:lvlJc w:val="left"/>
    </w:lvl>
  </w:abstractNum>
  <w:abstractNum w:abstractNumId="45">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6">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7">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8">
    <w:nsid w:val="2CB63BE6"/>
    <w:multiLevelType w:val="singleLevel"/>
    <w:tmpl w:val="2CB63BE6"/>
    <w:lvl w:ilvl="0" w:tentative="0">
      <w:start w:val="1"/>
      <w:numFmt w:val="decimal"/>
      <w:suff w:val="nothing"/>
      <w:lvlText w:val="（%1）"/>
      <w:lvlJc w:val="left"/>
      <w:rPr>
        <w:rFonts w:hint="default"/>
        <w:b w:val="0"/>
        <w:bCs w:val="0"/>
      </w:rPr>
    </w:lvl>
  </w:abstractNum>
  <w:abstractNum w:abstractNumId="49">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50">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1">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2">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3">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4">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5">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60">
    <w:nsid w:val="5BA91325"/>
    <w:multiLevelType w:val="singleLevel"/>
    <w:tmpl w:val="5BA91325"/>
    <w:lvl w:ilvl="0" w:tentative="0">
      <w:start w:val="1"/>
      <w:numFmt w:val="decimal"/>
      <w:suff w:val="nothing"/>
      <w:lvlText w:val="（%1）"/>
      <w:lvlJc w:val="left"/>
    </w:lvl>
  </w:abstractNum>
  <w:abstractNum w:abstractNumId="61">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2">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3">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4">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5">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6">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7">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8">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9">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7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0">
    <w:nsid w:val="61F30F62"/>
    <w:multiLevelType w:val="singleLevel"/>
    <w:tmpl w:val="61F30F62"/>
    <w:lvl w:ilvl="0" w:tentative="0">
      <w:start w:val="1"/>
      <w:numFmt w:val="decimal"/>
      <w:suff w:val="nothing"/>
      <w:lvlText w:val="（%1）"/>
      <w:lvlJc w:val="left"/>
      <w:rPr>
        <w:rFonts w:hint="default"/>
        <w:b w:val="0"/>
        <w:bCs w:val="0"/>
      </w:rPr>
    </w:lvl>
  </w:abstractNum>
  <w:abstractNum w:abstractNumId="8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3">
    <w:nsid w:val="785F49ED"/>
    <w:multiLevelType w:val="singleLevel"/>
    <w:tmpl w:val="785F49ED"/>
    <w:lvl w:ilvl="0" w:tentative="0">
      <w:start w:val="1"/>
      <w:numFmt w:val="upperLetter"/>
      <w:suff w:val="nothing"/>
      <w:lvlText w:val="%1、"/>
      <w:lvlJc w:val="left"/>
    </w:lvl>
  </w:abstractNum>
  <w:abstractNum w:abstractNumId="84">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6"/>
  </w:num>
  <w:num w:numId="2">
    <w:abstractNumId w:val="1"/>
  </w:num>
  <w:num w:numId="3">
    <w:abstractNumId w:val="53"/>
  </w:num>
  <w:num w:numId="4">
    <w:abstractNumId w:val="46"/>
  </w:num>
  <w:num w:numId="5">
    <w:abstractNumId w:val="24"/>
  </w:num>
  <w:num w:numId="6">
    <w:abstractNumId w:val="82"/>
  </w:num>
  <w:num w:numId="7">
    <w:abstractNumId w:val="40"/>
  </w:num>
  <w:num w:numId="8">
    <w:abstractNumId w:val="84"/>
  </w:num>
  <w:num w:numId="9">
    <w:abstractNumId w:val="58"/>
  </w:num>
  <w:num w:numId="10">
    <w:abstractNumId w:val="55"/>
  </w:num>
  <w:num w:numId="11">
    <w:abstractNumId w:val="37"/>
  </w:num>
  <w:num w:numId="12">
    <w:abstractNumId w:val="34"/>
  </w:num>
  <w:num w:numId="13">
    <w:abstractNumId w:val="42"/>
  </w:num>
  <w:num w:numId="14">
    <w:abstractNumId w:val="33"/>
  </w:num>
  <w:num w:numId="15">
    <w:abstractNumId w:val="25"/>
  </w:num>
  <w:num w:numId="16">
    <w:abstractNumId w:val="13"/>
  </w:num>
  <w:num w:numId="17">
    <w:abstractNumId w:val="20"/>
  </w:num>
  <w:num w:numId="18">
    <w:abstractNumId w:val="10"/>
  </w:num>
  <w:num w:numId="19">
    <w:abstractNumId w:val="83"/>
  </w:num>
  <w:num w:numId="20">
    <w:abstractNumId w:val="22"/>
  </w:num>
  <w:num w:numId="21">
    <w:abstractNumId w:val="11"/>
  </w:num>
  <w:num w:numId="22">
    <w:abstractNumId w:val="9"/>
  </w:num>
  <w:num w:numId="23">
    <w:abstractNumId w:val="41"/>
  </w:num>
  <w:num w:numId="24">
    <w:abstractNumId w:val="7"/>
  </w:num>
  <w:num w:numId="25">
    <w:abstractNumId w:val="2"/>
  </w:num>
  <w:num w:numId="26">
    <w:abstractNumId w:val="54"/>
  </w:num>
  <w:num w:numId="27">
    <w:abstractNumId w:val="36"/>
  </w:num>
  <w:num w:numId="28">
    <w:abstractNumId w:val="60"/>
  </w:num>
  <w:num w:numId="29">
    <w:abstractNumId w:val="23"/>
  </w:num>
  <w:num w:numId="30">
    <w:abstractNumId w:val="47"/>
  </w:num>
  <w:num w:numId="31">
    <w:abstractNumId w:val="27"/>
  </w:num>
  <w:num w:numId="32">
    <w:abstractNumId w:val="8"/>
  </w:num>
  <w:num w:numId="33">
    <w:abstractNumId w:val="57"/>
  </w:num>
  <w:num w:numId="34">
    <w:abstractNumId w:val="6"/>
  </w:num>
  <w:num w:numId="35">
    <w:abstractNumId w:val="39"/>
  </w:num>
  <w:num w:numId="36">
    <w:abstractNumId w:val="45"/>
  </w:num>
  <w:num w:numId="37">
    <w:abstractNumId w:val="81"/>
  </w:num>
  <w:num w:numId="38">
    <w:abstractNumId w:val="38"/>
  </w:num>
  <w:num w:numId="39">
    <w:abstractNumId w:val="26"/>
  </w:num>
  <w:num w:numId="40">
    <w:abstractNumId w:val="49"/>
  </w:num>
  <w:num w:numId="41">
    <w:abstractNumId w:val="0"/>
  </w:num>
  <w:num w:numId="42">
    <w:abstractNumId w:val="29"/>
  </w:num>
  <w:num w:numId="43">
    <w:abstractNumId w:val="52"/>
  </w:num>
  <w:num w:numId="44">
    <w:abstractNumId w:val="4"/>
  </w:num>
  <w:num w:numId="45">
    <w:abstractNumId w:val="30"/>
  </w:num>
  <w:num w:numId="46">
    <w:abstractNumId w:val="19"/>
  </w:num>
  <w:num w:numId="47">
    <w:abstractNumId w:val="56"/>
  </w:num>
  <w:num w:numId="48">
    <w:abstractNumId w:val="43"/>
  </w:num>
  <w:num w:numId="49">
    <w:abstractNumId w:val="21"/>
  </w:num>
  <w:num w:numId="50">
    <w:abstractNumId w:val="35"/>
  </w:num>
  <w:num w:numId="51">
    <w:abstractNumId w:val="31"/>
  </w:num>
  <w:num w:numId="52">
    <w:abstractNumId w:val="32"/>
  </w:num>
  <w:num w:numId="53">
    <w:abstractNumId w:val="80"/>
  </w:num>
  <w:num w:numId="54">
    <w:abstractNumId w:val="48"/>
  </w:num>
  <w:num w:numId="55">
    <w:abstractNumId w:val="3"/>
  </w:num>
  <w:num w:numId="56">
    <w:abstractNumId w:val="59"/>
  </w:num>
  <w:num w:numId="57">
    <w:abstractNumId w:val="14"/>
  </w:num>
  <w:num w:numId="58">
    <w:abstractNumId w:val="12"/>
  </w:num>
  <w:num w:numId="59">
    <w:abstractNumId w:val="15"/>
  </w:num>
  <w:num w:numId="60">
    <w:abstractNumId w:val="44"/>
  </w:num>
  <w:num w:numId="61">
    <w:abstractNumId w:val="28"/>
  </w:num>
  <w:num w:numId="62">
    <w:abstractNumId w:val="5"/>
  </w:num>
  <w:num w:numId="63">
    <w:abstractNumId w:val="51"/>
  </w:num>
  <w:num w:numId="64">
    <w:abstractNumId w:val="68"/>
  </w:num>
  <w:num w:numId="65">
    <w:abstractNumId w:val="67"/>
  </w:num>
  <w:num w:numId="66">
    <w:abstractNumId w:val="69"/>
  </w:num>
  <w:num w:numId="67">
    <w:abstractNumId w:val="70"/>
  </w:num>
  <w:num w:numId="68">
    <w:abstractNumId w:val="71"/>
  </w:num>
  <w:num w:numId="69">
    <w:abstractNumId w:val="72"/>
  </w:num>
  <w:num w:numId="70">
    <w:abstractNumId w:val="73"/>
  </w:num>
  <w:num w:numId="71">
    <w:abstractNumId w:val="50"/>
  </w:num>
  <w:num w:numId="72">
    <w:abstractNumId w:val="18"/>
  </w:num>
  <w:num w:numId="73">
    <w:abstractNumId w:val="61"/>
  </w:num>
  <w:num w:numId="74">
    <w:abstractNumId w:val="62"/>
  </w:num>
  <w:num w:numId="75">
    <w:abstractNumId w:val="63"/>
  </w:num>
  <w:num w:numId="76">
    <w:abstractNumId w:val="64"/>
  </w:num>
  <w:num w:numId="77">
    <w:abstractNumId w:val="65"/>
  </w:num>
  <w:num w:numId="78">
    <w:abstractNumId w:val="66"/>
  </w:num>
  <w:num w:numId="79">
    <w:abstractNumId w:val="74"/>
  </w:num>
  <w:num w:numId="80">
    <w:abstractNumId w:val="75"/>
  </w:num>
  <w:num w:numId="81">
    <w:abstractNumId w:val="17"/>
  </w:num>
  <w:num w:numId="82">
    <w:abstractNumId w:val="76"/>
  </w:num>
  <w:num w:numId="83">
    <w:abstractNumId w:val="77"/>
  </w:num>
  <w:num w:numId="84">
    <w:abstractNumId w:val="78"/>
  </w:num>
  <w:num w:numId="85">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5ZjUwYzE3NDdkZDY1ZTUwZTQwZTM5ODM0MmI1ZGMifQ=="/>
    <w:docVar w:name="KSO_WPS_MARK_KEY" w:val="37e384c3-4aaa-440e-934e-6eda64ea758b"/>
  </w:docVars>
  <w:rsids>
    <w:rsidRoot w:val="00172A27"/>
    <w:rsid w:val="00127EED"/>
    <w:rsid w:val="002C7EF9"/>
    <w:rsid w:val="004909B3"/>
    <w:rsid w:val="00520830"/>
    <w:rsid w:val="006E07BC"/>
    <w:rsid w:val="007B6489"/>
    <w:rsid w:val="00AB5752"/>
    <w:rsid w:val="00E06929"/>
    <w:rsid w:val="00EB712E"/>
    <w:rsid w:val="00FB0E83"/>
    <w:rsid w:val="01E330BC"/>
    <w:rsid w:val="022C266D"/>
    <w:rsid w:val="02CB4AF7"/>
    <w:rsid w:val="03170B42"/>
    <w:rsid w:val="033259D5"/>
    <w:rsid w:val="03E00C28"/>
    <w:rsid w:val="0468177F"/>
    <w:rsid w:val="04845B79"/>
    <w:rsid w:val="05424251"/>
    <w:rsid w:val="06605967"/>
    <w:rsid w:val="06920C22"/>
    <w:rsid w:val="06DF1F61"/>
    <w:rsid w:val="07F57DA4"/>
    <w:rsid w:val="0825466B"/>
    <w:rsid w:val="08C06B57"/>
    <w:rsid w:val="08F16FE5"/>
    <w:rsid w:val="0AEF3D0C"/>
    <w:rsid w:val="0B413915"/>
    <w:rsid w:val="0B8251C9"/>
    <w:rsid w:val="0B9C1C2D"/>
    <w:rsid w:val="0B9E090F"/>
    <w:rsid w:val="0CD50D95"/>
    <w:rsid w:val="0E9E528B"/>
    <w:rsid w:val="0F777231"/>
    <w:rsid w:val="0F8072BB"/>
    <w:rsid w:val="0F866D61"/>
    <w:rsid w:val="0FAD023A"/>
    <w:rsid w:val="10267CF2"/>
    <w:rsid w:val="10D07610"/>
    <w:rsid w:val="10E505B7"/>
    <w:rsid w:val="1141717E"/>
    <w:rsid w:val="116065B3"/>
    <w:rsid w:val="11C946E2"/>
    <w:rsid w:val="126D33E8"/>
    <w:rsid w:val="127D7AC5"/>
    <w:rsid w:val="132F20ED"/>
    <w:rsid w:val="14233F1C"/>
    <w:rsid w:val="14CB7308"/>
    <w:rsid w:val="15025C38"/>
    <w:rsid w:val="15507D31"/>
    <w:rsid w:val="155A68E0"/>
    <w:rsid w:val="162F2D71"/>
    <w:rsid w:val="164672A1"/>
    <w:rsid w:val="17F36337"/>
    <w:rsid w:val="18A92B8D"/>
    <w:rsid w:val="1968460F"/>
    <w:rsid w:val="1AE95F31"/>
    <w:rsid w:val="1BFC63BA"/>
    <w:rsid w:val="1C692544"/>
    <w:rsid w:val="1C79739D"/>
    <w:rsid w:val="1C8F465C"/>
    <w:rsid w:val="1CDE544D"/>
    <w:rsid w:val="1E135651"/>
    <w:rsid w:val="1E544E3F"/>
    <w:rsid w:val="1EF50B96"/>
    <w:rsid w:val="1F7D3106"/>
    <w:rsid w:val="1FDA2F63"/>
    <w:rsid w:val="21A67B64"/>
    <w:rsid w:val="22084083"/>
    <w:rsid w:val="2297514B"/>
    <w:rsid w:val="22B23AF8"/>
    <w:rsid w:val="242D0854"/>
    <w:rsid w:val="245970A1"/>
    <w:rsid w:val="247755D9"/>
    <w:rsid w:val="25D26B04"/>
    <w:rsid w:val="25DA3557"/>
    <w:rsid w:val="25F575DD"/>
    <w:rsid w:val="262303A4"/>
    <w:rsid w:val="26B7240F"/>
    <w:rsid w:val="26B84FF0"/>
    <w:rsid w:val="27505FBA"/>
    <w:rsid w:val="28036D87"/>
    <w:rsid w:val="298D1628"/>
    <w:rsid w:val="2AF05438"/>
    <w:rsid w:val="2B47610E"/>
    <w:rsid w:val="2BCD0352"/>
    <w:rsid w:val="2BFB4554"/>
    <w:rsid w:val="2C9B2A75"/>
    <w:rsid w:val="2CA02CA1"/>
    <w:rsid w:val="2CB41CDE"/>
    <w:rsid w:val="2CE66423"/>
    <w:rsid w:val="2D4B4C9F"/>
    <w:rsid w:val="2E804153"/>
    <w:rsid w:val="2F5B1280"/>
    <w:rsid w:val="2F7A6DFD"/>
    <w:rsid w:val="2FAF3B79"/>
    <w:rsid w:val="2FF60969"/>
    <w:rsid w:val="301723CA"/>
    <w:rsid w:val="31750334"/>
    <w:rsid w:val="32485F31"/>
    <w:rsid w:val="34824A12"/>
    <w:rsid w:val="35105209"/>
    <w:rsid w:val="36405DEC"/>
    <w:rsid w:val="370319F6"/>
    <w:rsid w:val="37501DF6"/>
    <w:rsid w:val="3888715E"/>
    <w:rsid w:val="389B7D8D"/>
    <w:rsid w:val="39CE7544"/>
    <w:rsid w:val="39DC1BD6"/>
    <w:rsid w:val="3AFE2EA6"/>
    <w:rsid w:val="3B5B41E5"/>
    <w:rsid w:val="3B613958"/>
    <w:rsid w:val="3B7A06B4"/>
    <w:rsid w:val="3C162EE1"/>
    <w:rsid w:val="3D803185"/>
    <w:rsid w:val="3D952002"/>
    <w:rsid w:val="3DAF1A5E"/>
    <w:rsid w:val="3E267866"/>
    <w:rsid w:val="3E446F72"/>
    <w:rsid w:val="3E6260D1"/>
    <w:rsid w:val="3F9428BE"/>
    <w:rsid w:val="401D42F0"/>
    <w:rsid w:val="40FA2D1A"/>
    <w:rsid w:val="41F97743"/>
    <w:rsid w:val="42B54DA9"/>
    <w:rsid w:val="42E329DD"/>
    <w:rsid w:val="433D378B"/>
    <w:rsid w:val="434C7FF3"/>
    <w:rsid w:val="463B593D"/>
    <w:rsid w:val="46CB2C58"/>
    <w:rsid w:val="47AE6C69"/>
    <w:rsid w:val="48402042"/>
    <w:rsid w:val="48424A1F"/>
    <w:rsid w:val="48975A3F"/>
    <w:rsid w:val="49DD0ED4"/>
    <w:rsid w:val="4A2263FF"/>
    <w:rsid w:val="4ADD3BE3"/>
    <w:rsid w:val="4B841650"/>
    <w:rsid w:val="4C5C40B1"/>
    <w:rsid w:val="4CC53366"/>
    <w:rsid w:val="4D2E049A"/>
    <w:rsid w:val="4D4238F3"/>
    <w:rsid w:val="4D693017"/>
    <w:rsid w:val="4D7F06C0"/>
    <w:rsid w:val="4D8D1273"/>
    <w:rsid w:val="4EA12571"/>
    <w:rsid w:val="4F1B6F35"/>
    <w:rsid w:val="4F20048B"/>
    <w:rsid w:val="4F212124"/>
    <w:rsid w:val="503B586A"/>
    <w:rsid w:val="508D75C7"/>
    <w:rsid w:val="51F56F6B"/>
    <w:rsid w:val="52091595"/>
    <w:rsid w:val="5221238A"/>
    <w:rsid w:val="5246747D"/>
    <w:rsid w:val="525024E8"/>
    <w:rsid w:val="526B7146"/>
    <w:rsid w:val="52D20572"/>
    <w:rsid w:val="53217CCA"/>
    <w:rsid w:val="5349716A"/>
    <w:rsid w:val="53916CC5"/>
    <w:rsid w:val="543B6C03"/>
    <w:rsid w:val="5452022E"/>
    <w:rsid w:val="550A7003"/>
    <w:rsid w:val="554B520C"/>
    <w:rsid w:val="55967810"/>
    <w:rsid w:val="55A42FA5"/>
    <w:rsid w:val="55D73C36"/>
    <w:rsid w:val="56192B5A"/>
    <w:rsid w:val="5764451A"/>
    <w:rsid w:val="58D754E3"/>
    <w:rsid w:val="58DD72C6"/>
    <w:rsid w:val="59441A38"/>
    <w:rsid w:val="5A0B1227"/>
    <w:rsid w:val="5A1E2133"/>
    <w:rsid w:val="5BFA606A"/>
    <w:rsid w:val="5C7E7C83"/>
    <w:rsid w:val="5D223C27"/>
    <w:rsid w:val="5D6E6559"/>
    <w:rsid w:val="5DF93585"/>
    <w:rsid w:val="5E531617"/>
    <w:rsid w:val="5F087411"/>
    <w:rsid w:val="5FE37D04"/>
    <w:rsid w:val="60A362BD"/>
    <w:rsid w:val="60C809E8"/>
    <w:rsid w:val="60DD604A"/>
    <w:rsid w:val="612B3563"/>
    <w:rsid w:val="61AF074A"/>
    <w:rsid w:val="62D35EDA"/>
    <w:rsid w:val="64606D9B"/>
    <w:rsid w:val="66A95B28"/>
    <w:rsid w:val="66B655AC"/>
    <w:rsid w:val="67075395"/>
    <w:rsid w:val="67B46A51"/>
    <w:rsid w:val="68982F49"/>
    <w:rsid w:val="68C43CF2"/>
    <w:rsid w:val="68E6218C"/>
    <w:rsid w:val="697836CF"/>
    <w:rsid w:val="698C75AE"/>
    <w:rsid w:val="69FF60E8"/>
    <w:rsid w:val="6C1A61DA"/>
    <w:rsid w:val="6CB00E61"/>
    <w:rsid w:val="6CD86DA7"/>
    <w:rsid w:val="6DCE5B48"/>
    <w:rsid w:val="6E822944"/>
    <w:rsid w:val="6F443EC4"/>
    <w:rsid w:val="709F5E89"/>
    <w:rsid w:val="70BF03FE"/>
    <w:rsid w:val="70DE1F58"/>
    <w:rsid w:val="723B4B2B"/>
    <w:rsid w:val="73040C29"/>
    <w:rsid w:val="73344936"/>
    <w:rsid w:val="736047B8"/>
    <w:rsid w:val="739F7200"/>
    <w:rsid w:val="74F55397"/>
    <w:rsid w:val="753F4B02"/>
    <w:rsid w:val="77173485"/>
    <w:rsid w:val="7790260C"/>
    <w:rsid w:val="779E2189"/>
    <w:rsid w:val="77B52AAE"/>
    <w:rsid w:val="789E1844"/>
    <w:rsid w:val="79C90C2C"/>
    <w:rsid w:val="7A3B2905"/>
    <w:rsid w:val="7AC953A0"/>
    <w:rsid w:val="7B0F21D0"/>
    <w:rsid w:val="7C0B400E"/>
    <w:rsid w:val="7CC17505"/>
    <w:rsid w:val="7E09751D"/>
    <w:rsid w:val="7E113679"/>
    <w:rsid w:val="7EA570C5"/>
    <w:rsid w:val="7F074098"/>
    <w:rsid w:val="7F7D20D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黑体"/>
      <w:kern w:val="2"/>
      <w:sz w:val="21"/>
      <w:szCs w:val="24"/>
      <w:lang w:val="en-US" w:eastAsia="zh-CN" w:bidi="ar-SA"/>
    </w:rPr>
  </w:style>
  <w:style w:type="paragraph" w:styleId="2">
    <w:name w:val="heading 1"/>
    <w:basedOn w:val="1"/>
    <w:next w:val="1"/>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character" w:default="1" w:styleId="11">
    <w:name w:val="Default Paragraph Font"/>
    <w:unhideWhenUsed/>
    <w:qFormat/>
    <w:uiPriority w:val="1"/>
  </w:style>
  <w:style w:type="table" w:default="1" w:styleId="9">
    <w:name w:val="Normal Table"/>
    <w:unhideWhenUsed/>
    <w:uiPriority w:val="99"/>
    <w:tblPr>
      <w:tblStyle w:val="9"/>
      <w:tblLayout w:type="fixed"/>
      <w:tblCellMar>
        <w:top w:w="0" w:type="dxa"/>
        <w:left w:w="108" w:type="dxa"/>
        <w:bottom w:w="0" w:type="dxa"/>
        <w:right w:w="108" w:type="dxa"/>
      </w:tblCellMar>
    </w:tblPr>
  </w:style>
  <w:style w:type="paragraph" w:styleId="3">
    <w:name w:val="annotation text"/>
    <w:basedOn w:val="1"/>
    <w:link w:val="18"/>
    <w:qFormat/>
    <w:uiPriority w:val="0"/>
    <w:pPr>
      <w:jc w:val="left"/>
    </w:pPr>
    <w:rPr>
      <w:rFonts w:cs="Times New Roman"/>
    </w:rPr>
  </w:style>
  <w:style w:type="paragraph" w:styleId="4">
    <w:name w:val="Balloon Text"/>
    <w:basedOn w:val="1"/>
    <w:link w:val="17"/>
    <w:qFormat/>
    <w:uiPriority w:val="0"/>
    <w:rPr>
      <w:rFonts w:cs="Times New Roman"/>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paragraph" w:styleId="8">
    <w:name w:val="annotation subject"/>
    <w:basedOn w:val="3"/>
    <w:next w:val="3"/>
    <w:link w:val="16"/>
    <w:qFormat/>
    <w:uiPriority w:val="0"/>
    <w:rPr>
      <w:rFonts w:cs="Times New Roman"/>
      <w:b/>
      <w:bCs/>
    </w:rPr>
  </w:style>
  <w:style w:type="table" w:styleId="10">
    <w:name w:val="Table Grid"/>
    <w:basedOn w:val="9"/>
    <w:unhideWhenUsed/>
    <w:qFormat/>
    <w:uiPriority w:val="99"/>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Hyperlink"/>
    <w:qFormat/>
    <w:uiPriority w:val="0"/>
    <w:rPr>
      <w:color w:val="0000FF"/>
      <w:u w:val="single"/>
    </w:rPr>
  </w:style>
  <w:style w:type="character" w:styleId="13">
    <w:name w:val="annotation reference"/>
    <w:qFormat/>
    <w:uiPriority w:val="0"/>
    <w:rPr>
      <w:sz w:val="21"/>
      <w:szCs w:val="21"/>
    </w:rPr>
  </w:style>
  <w:style w:type="paragraph" w:customStyle="1" w:styleId="14">
    <w:name w:val="List Paragraph"/>
    <w:basedOn w:val="1"/>
    <w:unhideWhenUsed/>
    <w:uiPriority w:val="99"/>
    <w:pPr>
      <w:ind w:firstLine="420" w:firstLineChars="200"/>
    </w:pPr>
  </w:style>
  <w:style w:type="paragraph" w:customStyle="1" w:styleId="15">
    <w:name w:val="Default"/>
    <w:qFormat/>
    <w:uiPriority w:val="0"/>
    <w:pPr>
      <w:widowControl w:val="0"/>
      <w:autoSpaceDE w:val="0"/>
      <w:autoSpaceDN w:val="0"/>
      <w:adjustRightInd w:val="0"/>
    </w:pPr>
    <w:rPr>
      <w:color w:val="000000"/>
      <w:sz w:val="24"/>
      <w:szCs w:val="24"/>
      <w:lang w:val="en-US" w:eastAsia="zh-CN" w:bidi="ar-SA"/>
    </w:rPr>
  </w:style>
  <w:style w:type="character" w:customStyle="1" w:styleId="16">
    <w:name w:val="批注主题 Char"/>
    <w:link w:val="8"/>
    <w:qFormat/>
    <w:uiPriority w:val="0"/>
    <w:rPr>
      <w:rFonts w:ascii="Calibri" w:hAnsi="Calibri" w:cs="黑体"/>
      <w:b/>
      <w:bCs/>
      <w:kern w:val="2"/>
      <w:sz w:val="21"/>
      <w:szCs w:val="24"/>
    </w:rPr>
  </w:style>
  <w:style w:type="character" w:customStyle="1" w:styleId="17">
    <w:name w:val="批注框文本 Char"/>
    <w:link w:val="4"/>
    <w:qFormat/>
    <w:uiPriority w:val="0"/>
    <w:rPr>
      <w:rFonts w:ascii="Calibri" w:hAnsi="Calibri" w:cs="黑体"/>
      <w:kern w:val="2"/>
      <w:sz w:val="18"/>
      <w:szCs w:val="18"/>
    </w:rPr>
  </w:style>
  <w:style w:type="character" w:customStyle="1" w:styleId="18">
    <w:name w:val="批注文字 Char"/>
    <w:link w:val="3"/>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56</Pages>
  <Words>35693</Words>
  <Characters>37461</Characters>
  <Lines>255</Lines>
  <Paragraphs>71</Paragraphs>
  <TotalTime>0</TotalTime>
  <ScaleCrop>false</ScaleCrop>
  <LinksUpToDate>false</LinksUpToDate>
  <CharactersWithSpaces>37879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2021-07-01T06:35:00Z</dcterms:created>
  <dc:creator>高玉锦</dc:creator>
  <cp:lastModifiedBy>hccb</cp:lastModifiedBy>
  <dcterms:modified xsi:type="dcterms:W3CDTF">2025-06-23T08:56:12Z</dcterms:modified>
  <dc:title>杭银理财幸福99XXXX理财计划合同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A70A2227A99B4340974191B47870DEF5</vt:lpwstr>
  </property>
</Properties>
</file>