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
    <w:p/>
    <w:p/>
    <w:p/>
    <w:p/>
    <w:p/>
    <w:p/>
    <w:p>
      <w:pPr>
        <w:jc w:val="center"/>
        <w:rPr>
          <w:rFonts w:hint="eastAsia" w:ascii="宋体" w:hAnsi="宋体" w:eastAsia="宋体" w:cs="宋体"/>
          <w:b/>
          <w:bCs/>
          <w:sz w:val="44"/>
          <w:szCs w:val="44"/>
          <w:lang w:eastAsia="zh-CN"/>
        </w:rPr>
      </w:pPr>
      <w:r>
        <w:rPr>
          <w:rFonts w:hint="eastAsia" w:ascii="宋体" w:hAnsi="宋体" w:cs="宋体"/>
          <w:b/>
          <w:bCs/>
          <w:sz w:val="44"/>
          <w:szCs w:val="44"/>
        </w:rPr>
        <w:t>杭银理财幸福99天添益（</w:t>
      </w:r>
      <w:r>
        <w:rPr>
          <w:rFonts w:hint="eastAsia" w:ascii="宋体" w:hAnsi="宋体" w:cs="宋体"/>
          <w:b/>
          <w:bCs/>
          <w:sz w:val="44"/>
          <w:szCs w:val="44"/>
          <w:lang w:eastAsia="zh-CN"/>
        </w:rPr>
        <w:t>安享优选</w:t>
      </w:r>
      <w:r>
        <w:rPr>
          <w:rFonts w:hint="eastAsia" w:ascii="宋体" w:hAnsi="宋体" w:cs="宋体"/>
          <w:b/>
          <w:bCs/>
          <w:sz w:val="44"/>
          <w:szCs w:val="44"/>
        </w:rPr>
        <w:t>）</w:t>
      </w:r>
      <w:r>
        <w:rPr>
          <w:rFonts w:hint="eastAsia" w:ascii="宋体" w:hAnsi="宋体" w:cs="宋体"/>
          <w:b/>
          <w:bCs/>
          <w:sz w:val="44"/>
          <w:szCs w:val="44"/>
          <w:lang w:val="en-US" w:eastAsia="zh-CN"/>
        </w:rPr>
        <w:t>1</w:t>
      </w:r>
      <w:r>
        <w:rPr>
          <w:rFonts w:hint="eastAsia" w:ascii="宋体" w:hAnsi="宋体" w:cs="宋体"/>
          <w:b/>
          <w:bCs/>
          <w:sz w:val="44"/>
          <w:szCs w:val="44"/>
        </w:rPr>
        <w:t>期</w:t>
      </w:r>
      <w:r>
        <w:rPr>
          <w:rFonts w:hint="eastAsia" w:ascii="宋体" w:hAnsi="宋体" w:cs="宋体"/>
          <w:b/>
          <w:bCs/>
          <w:sz w:val="44"/>
          <w:szCs w:val="44"/>
          <w:lang w:eastAsia="zh-CN"/>
        </w:rPr>
        <w:t>理财合同</w:t>
      </w: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32"/>
          <w:szCs w:val="32"/>
        </w:rPr>
      </w:pPr>
      <w:r>
        <w:rPr>
          <w:rFonts w:hint="eastAsia" w:ascii="宋体" w:hAnsi="宋体" w:cs="宋体"/>
          <w:sz w:val="32"/>
          <w:szCs w:val="32"/>
        </w:rPr>
        <w:t>理财计划管理人：杭银理财有限责任公司</w:t>
      </w:r>
    </w:p>
    <w:p>
      <w:pPr>
        <w:jc w:val="center"/>
        <w:rPr>
          <w:rFonts w:ascii="宋体" w:hAnsi="宋体" w:cs="宋体"/>
          <w:sz w:val="32"/>
          <w:szCs w:val="32"/>
        </w:rPr>
      </w:pPr>
      <w:r>
        <w:rPr>
          <w:rFonts w:hint="eastAsia" w:ascii="宋体" w:hAnsi="宋体" w:cs="宋体"/>
          <w:sz w:val="32"/>
          <w:szCs w:val="32"/>
        </w:rPr>
        <w:t>理财计划托管人：杭州银行股份有限公司</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rPr>
          <w:rFonts w:ascii="宋体" w:hAnsi="宋体" w:cs="宋体"/>
          <w:sz w:val="32"/>
          <w:szCs w:val="32"/>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pStyle w:val="2"/>
        <w:bidi w:val="0"/>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rPr>
        <w:t>杭银理财幸福99</w:t>
      </w:r>
      <w:r>
        <w:rPr>
          <w:rFonts w:hint="eastAsia" w:ascii="宋体" w:hAnsi="宋体" w:cs="宋体"/>
          <w:b/>
          <w:bCs/>
          <w:sz w:val="44"/>
          <w:szCs w:val="44"/>
          <w:lang w:eastAsia="zh-CN"/>
        </w:rPr>
        <w:t>天添益（安享优选）</w:t>
      </w:r>
      <w:r>
        <w:rPr>
          <w:rFonts w:hint="eastAsia" w:ascii="宋体" w:hAnsi="宋体" w:cs="宋体"/>
          <w:b/>
          <w:bCs/>
          <w:sz w:val="44"/>
          <w:szCs w:val="44"/>
          <w:lang w:val="en-US" w:eastAsia="zh-CN"/>
        </w:rPr>
        <w:t>1</w:t>
      </w:r>
      <w:r>
        <w:rPr>
          <w:rFonts w:hint="eastAsia" w:ascii="宋体" w:hAnsi="宋体" w:cs="宋体"/>
          <w:b/>
          <w:bCs/>
          <w:sz w:val="44"/>
          <w:szCs w:val="44"/>
          <w:lang w:eastAsia="zh-CN"/>
        </w:rPr>
        <w:t>期理财合同</w:t>
      </w:r>
      <w:r>
        <w:rPr>
          <w:rFonts w:hint="eastAsia" w:ascii="宋体" w:hAnsi="宋体" w:eastAsia="宋体" w:cs="宋体"/>
          <w:b/>
          <w:bCs/>
          <w:sz w:val="44"/>
          <w:szCs w:val="44"/>
          <w:lang w:val="en-US" w:eastAsia="zh-CN"/>
        </w:rPr>
        <w:t>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0"/>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杭银理财幸福99天添益（安享优选）1期理财风险揭示书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杭银理财幸福99天添益（安享优选）1期理财产品说明书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both"/>
        <w:rPr>
          <w:rFonts w:hint="eastAsia" w:ascii="宋体" w:hAnsi="宋体" w:cs="宋体"/>
          <w:b/>
          <w:bCs/>
          <w:sz w:val="44"/>
          <w:szCs w:val="44"/>
        </w:rPr>
      </w:pPr>
    </w:p>
    <w:p>
      <w:pPr>
        <w:jc w:val="center"/>
        <w:rPr>
          <w:rFonts w:ascii="宋体" w:hAnsi="宋体" w:cs="宋体"/>
          <w:b/>
          <w:bCs/>
          <w:sz w:val="44"/>
          <w:szCs w:val="44"/>
        </w:rPr>
      </w:pPr>
      <w:r>
        <w:rPr>
          <w:rFonts w:hint="eastAsia" w:ascii="宋体" w:hAnsi="宋体" w:cs="宋体"/>
          <w:b/>
          <w:bCs/>
          <w:sz w:val="44"/>
          <w:szCs w:val="44"/>
        </w:rPr>
        <w:t>杭银理财幸福99天添益（</w:t>
      </w:r>
      <w:r>
        <w:rPr>
          <w:rFonts w:hint="eastAsia" w:ascii="宋体" w:hAnsi="宋体" w:cs="宋体"/>
          <w:b/>
          <w:bCs/>
          <w:sz w:val="44"/>
          <w:szCs w:val="44"/>
          <w:lang w:eastAsia="zh-CN"/>
        </w:rPr>
        <w:t>安享优选</w:t>
      </w:r>
      <w:r>
        <w:rPr>
          <w:rFonts w:hint="eastAsia" w:ascii="宋体" w:hAnsi="宋体" w:cs="宋体"/>
          <w:b/>
          <w:bCs/>
          <w:sz w:val="44"/>
          <w:szCs w:val="44"/>
        </w:rPr>
        <w:t>）</w:t>
      </w:r>
      <w:r>
        <w:rPr>
          <w:rFonts w:hint="eastAsia" w:ascii="宋体" w:hAnsi="宋体" w:cs="宋体"/>
          <w:b/>
          <w:bCs/>
          <w:sz w:val="44"/>
          <w:szCs w:val="44"/>
          <w:lang w:val="en-US" w:eastAsia="zh-CN"/>
        </w:rPr>
        <w:t>1</w:t>
      </w:r>
      <w:r>
        <w:rPr>
          <w:rFonts w:hint="eastAsia" w:ascii="宋体" w:hAnsi="宋体" w:cs="宋体"/>
          <w:b/>
          <w:bCs/>
          <w:sz w:val="44"/>
          <w:szCs w:val="44"/>
        </w:rPr>
        <w:t>期理财风险揭示书</w:t>
      </w:r>
    </w:p>
    <w:p>
      <w:pPr>
        <w:jc w:val="center"/>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eastAsia="zh-CN"/>
        </w:rPr>
        <w:t>202201</w:t>
      </w:r>
      <w:r>
        <w:rPr>
          <w:rFonts w:hint="eastAsia" w:ascii="宋体" w:hAnsi="宋体" w:cs="宋体"/>
          <w:sz w:val="28"/>
          <w:szCs w:val="28"/>
        </w:rPr>
        <w:t>版）</w:t>
      </w:r>
    </w:p>
    <w:p>
      <w:pPr>
        <w:spacing w:line="360" w:lineRule="auto"/>
        <w:jc w:val="left"/>
        <w:rPr>
          <w:rFonts w:ascii="宋体" w:hAnsi="宋体" w:cs="宋体"/>
          <w:sz w:val="24"/>
        </w:rPr>
      </w:pPr>
      <w:r>
        <w:rPr>
          <w:rFonts w:hint="eastAsia" w:ascii="宋体" w:hAnsi="宋体" w:cs="宋体"/>
          <w:sz w:val="24"/>
        </w:rPr>
        <w:t>尊敬的理财投资者：</w:t>
      </w:r>
    </w:p>
    <w:p>
      <w:pPr>
        <w:spacing w:line="360" w:lineRule="auto"/>
        <w:jc w:val="center"/>
        <w:rPr>
          <w:rFonts w:ascii="宋体" w:hAnsi="宋体" w:cs="宋体"/>
          <w:b/>
          <w:bCs/>
          <w:sz w:val="24"/>
          <w:u w:val="single"/>
        </w:rPr>
      </w:pPr>
      <w:r>
        <w:rPr>
          <w:rFonts w:hint="eastAsia" w:ascii="宋体" w:hAnsi="宋体" w:cs="宋体"/>
          <w:b/>
          <w:bCs/>
          <w:sz w:val="24"/>
          <w:u w:val="single"/>
        </w:rPr>
        <w:t>理财非存款、产品有风险、投资须谨慎</w:t>
      </w:r>
    </w:p>
    <w:p>
      <w:pPr>
        <w:spacing w:line="360" w:lineRule="auto"/>
        <w:ind w:firstLine="480" w:firstLineChars="200"/>
        <w:jc w:val="left"/>
        <w:rPr>
          <w:rFonts w:ascii="宋体" w:hAnsi="宋体" w:cs="宋体"/>
          <w:b/>
          <w:sz w:val="24"/>
        </w:rPr>
      </w:pPr>
      <w:r>
        <w:rPr>
          <w:rFonts w:hint="eastAsia" w:ascii="宋体" w:hAnsi="宋体" w:cs="宋体"/>
          <w:bCs/>
          <w:sz w:val="24"/>
        </w:rPr>
        <w:t>根据中国银行保险监督管理委员会相关监督规定，杭银理财有限责任公司作为本理财计划的管理人郑重提示：在购买理财计划前，请仔细阅读本理财计划完整合同（包括但不限于</w:t>
      </w:r>
      <w:r>
        <w:rPr>
          <w:rFonts w:hint="eastAsia" w:ascii="宋体" w:hAnsi="宋体" w:cs="宋体"/>
          <w:bCs/>
          <w:sz w:val="24"/>
          <w:lang w:val="en-US" w:eastAsia="zh-CN"/>
        </w:rPr>
        <w:t>理财计划</w:t>
      </w:r>
      <w:r>
        <w:rPr>
          <w:rFonts w:hint="eastAsia" w:ascii="宋体" w:hAnsi="宋体" w:cs="宋体"/>
          <w:bCs/>
          <w:sz w:val="24"/>
        </w:rPr>
        <w:t>风险揭示书、理财计划说明书、投资者权益须知、理财计划投资协议书和理财计划销售协议书，若通过电子渠道购买的，成功交易后视同为投资者与管理人已完成理财计划交易合同的签订），了解理财计划相关具体情况，并确保已评估自身的风险承受能力和理财计划相关风险后，谨慎投资。</w:t>
      </w:r>
      <w:r>
        <w:rPr>
          <w:rFonts w:hint="eastAsia" w:ascii="宋体" w:hAnsi="宋体" w:cs="宋体"/>
          <w:b/>
          <w:sz w:val="24"/>
        </w:rPr>
        <w:t>如影响您风险承受能力的因素发生变化，请及时更新风险承受能力评估。</w:t>
      </w:r>
    </w:p>
    <w:p>
      <w:pPr>
        <w:spacing w:line="360" w:lineRule="auto"/>
        <w:ind w:firstLine="480" w:firstLineChars="200"/>
        <w:jc w:val="left"/>
        <w:rPr>
          <w:rFonts w:ascii="宋体" w:hAnsi="宋体" w:cs="宋体"/>
          <w:bCs/>
          <w:sz w:val="24"/>
        </w:rPr>
      </w:pPr>
      <w:r>
        <w:rPr>
          <w:rFonts w:hint="eastAsia" w:ascii="宋体" w:hAnsi="宋体" w:cs="宋体"/>
          <w:bCs/>
          <w:sz w:val="24"/>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rPr>
          <w:rFonts w:ascii="宋体" w:hAnsi="宋体" w:cs="宋体"/>
          <w:b/>
          <w:sz w:val="24"/>
        </w:rPr>
      </w:pPr>
      <w:r>
        <w:rPr>
          <w:rFonts w:hint="eastAsia" w:ascii="宋体" w:hAnsi="宋体" w:cs="宋体"/>
          <w:b/>
          <w:sz w:val="24"/>
        </w:rPr>
        <w:t>理财计划共性风险</w:t>
      </w:r>
    </w:p>
    <w:p>
      <w:pPr>
        <w:numPr>
          <w:ilvl w:val="0"/>
          <w:numId w:val="2"/>
        </w:numPr>
        <w:spacing w:line="360" w:lineRule="auto"/>
        <w:jc w:val="left"/>
        <w:rPr>
          <w:rFonts w:ascii="宋体" w:hAnsi="宋体" w:cs="宋体"/>
          <w:b/>
          <w:sz w:val="24"/>
        </w:rPr>
      </w:pPr>
      <w:r>
        <w:rPr>
          <w:rFonts w:hint="eastAsia" w:ascii="宋体" w:hAnsi="宋体" w:cs="宋体"/>
          <w:b/>
          <w:sz w:val="24"/>
        </w:rPr>
        <w:t>信用风险：理财计划所投资产的相关义务人信用状况恶化，出现信用违约情形，则理财计划本金或收益蒙受部分或全部损失的风险。</w:t>
      </w:r>
    </w:p>
    <w:p>
      <w:pPr>
        <w:numPr>
          <w:ilvl w:val="0"/>
          <w:numId w:val="2"/>
        </w:numPr>
        <w:spacing w:line="360" w:lineRule="auto"/>
        <w:jc w:val="left"/>
        <w:rPr>
          <w:rFonts w:ascii="宋体" w:hAnsi="宋体" w:cs="宋体"/>
          <w:b/>
          <w:sz w:val="24"/>
        </w:rPr>
      </w:pPr>
      <w:r>
        <w:rPr>
          <w:rFonts w:hint="eastAsia" w:ascii="宋体" w:hAnsi="宋体" w:cs="宋体"/>
          <w:b/>
          <w:sz w:val="24"/>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rPr>
      </w:pPr>
      <w:r>
        <w:rPr>
          <w:rFonts w:hint="eastAsia" w:ascii="宋体" w:hAnsi="宋体" w:cs="宋体"/>
          <w:b/>
          <w:sz w:val="24"/>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rPr>
      </w:pPr>
      <w:r>
        <w:rPr>
          <w:rFonts w:hint="eastAsia" w:ascii="宋体" w:hAnsi="宋体" w:cs="宋体"/>
          <w:b/>
          <w:sz w:val="24"/>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rPr>
      </w:pPr>
      <w:r>
        <w:rPr>
          <w:rFonts w:hint="eastAsia" w:ascii="宋体" w:hAnsi="宋体" w:cs="宋体"/>
          <w:b/>
          <w:sz w:val="24"/>
        </w:rPr>
        <w:t>购买力风险：如发生通货膨胀，则所投资产的收益可能会被通货膨胀抵消，从而对理财计划收益的实际购买力产生影响。</w:t>
      </w:r>
    </w:p>
    <w:p>
      <w:pPr>
        <w:numPr>
          <w:ilvl w:val="0"/>
          <w:numId w:val="3"/>
        </w:numPr>
        <w:spacing w:line="360" w:lineRule="auto"/>
        <w:jc w:val="left"/>
        <w:rPr>
          <w:rFonts w:ascii="宋体" w:hAnsi="宋体" w:cs="宋体"/>
          <w:b/>
          <w:sz w:val="24"/>
        </w:rPr>
      </w:pPr>
      <w:r>
        <w:rPr>
          <w:rFonts w:hint="eastAsia" w:ascii="宋体" w:hAnsi="宋体" w:cs="宋体"/>
          <w:b/>
          <w:sz w:val="24"/>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rPr>
      </w:pPr>
      <w:r>
        <w:rPr>
          <w:rFonts w:hint="eastAsia" w:ascii="宋体" w:hAnsi="宋体" w:cs="宋体"/>
          <w:b/>
          <w:sz w:val="24"/>
        </w:rPr>
        <w:t>汇率风险：理财计划如投资涉及非本国货币，则外汇市场可能会出现汇率波动，从而对理财计划收益产生影响。</w:t>
      </w:r>
    </w:p>
    <w:p>
      <w:pPr>
        <w:numPr>
          <w:ilvl w:val="0"/>
          <w:numId w:val="4"/>
        </w:numPr>
        <w:spacing w:line="360" w:lineRule="auto"/>
        <w:jc w:val="left"/>
        <w:rPr>
          <w:rFonts w:ascii="宋体" w:hAnsi="宋体" w:cs="宋体"/>
          <w:b/>
          <w:sz w:val="24"/>
        </w:rPr>
      </w:pPr>
      <w:r>
        <w:rPr>
          <w:rFonts w:hint="eastAsia" w:ascii="宋体" w:hAnsi="宋体" w:cs="宋体"/>
          <w:b/>
          <w:sz w:val="24"/>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rPr>
          <w:rFonts w:ascii="宋体" w:hAnsi="宋体" w:cs="宋体"/>
          <w:b/>
          <w:sz w:val="24"/>
        </w:rPr>
      </w:pPr>
      <w:r>
        <w:rPr>
          <w:rFonts w:hint="eastAsia" w:ascii="宋体" w:hAnsi="宋体" w:cs="宋体"/>
          <w:b/>
          <w:sz w:val="24"/>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numPr>
          <w:ilvl w:val="0"/>
          <w:numId w:val="4"/>
        </w:numPr>
        <w:spacing w:line="360" w:lineRule="auto"/>
        <w:jc w:val="left"/>
        <w:rPr>
          <w:rFonts w:ascii="宋体" w:hAnsi="宋体" w:cs="宋体"/>
          <w:b/>
          <w:sz w:val="24"/>
        </w:rPr>
      </w:pPr>
      <w:r>
        <w:rPr>
          <w:rFonts w:hint="eastAsia" w:ascii="宋体" w:hAnsi="宋体" w:cs="宋体"/>
          <w:b/>
          <w:sz w:val="24"/>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rPr>
          <w:rFonts w:ascii="宋体" w:hAnsi="宋体" w:cs="宋体"/>
          <w:b/>
          <w:sz w:val="24"/>
        </w:rPr>
      </w:pPr>
      <w:r>
        <w:rPr>
          <w:rFonts w:hint="eastAsia" w:ascii="宋体" w:hAnsi="宋体" w:cs="宋体"/>
          <w:b/>
          <w:sz w:val="24"/>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rPr>
          <w:rFonts w:ascii="宋体" w:hAnsi="宋体" w:cs="宋体"/>
          <w:b/>
          <w:sz w:val="24"/>
        </w:rPr>
      </w:pPr>
      <w:r>
        <w:rPr>
          <w:rFonts w:hint="eastAsia" w:ascii="宋体" w:hAnsi="宋体" w:cs="宋体"/>
          <w:b/>
          <w:sz w:val="24"/>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rPr>
          <w:rFonts w:ascii="宋体" w:hAnsi="宋体" w:cs="宋体"/>
          <w:b/>
          <w:sz w:val="24"/>
        </w:rPr>
      </w:pPr>
      <w:r>
        <w:rPr>
          <w:rFonts w:hint="eastAsia" w:ascii="宋体" w:hAnsi="宋体" w:cs="宋体"/>
          <w:b/>
          <w:sz w:val="24"/>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rPr>
          <w:rFonts w:ascii="宋体" w:hAnsi="宋体" w:cs="宋体"/>
          <w:b/>
          <w:sz w:val="24"/>
        </w:rPr>
      </w:pPr>
      <w:r>
        <w:rPr>
          <w:rFonts w:hint="eastAsia" w:ascii="宋体" w:hAnsi="宋体" w:cs="宋体"/>
          <w:b/>
          <w:sz w:val="24"/>
        </w:rPr>
        <w:t>提前</w:t>
      </w:r>
      <w:r>
        <w:rPr>
          <w:rFonts w:hint="eastAsia" w:ascii="宋体" w:hAnsi="宋体" w:cs="宋体"/>
          <w:b/>
          <w:sz w:val="24"/>
          <w:highlight w:val="none"/>
          <w:lang w:eastAsia="zh-CN"/>
        </w:rPr>
        <w:t>或延期</w:t>
      </w:r>
      <w:r>
        <w:rPr>
          <w:rFonts w:hint="eastAsia" w:ascii="宋体" w:hAnsi="宋体" w:cs="宋体"/>
          <w:b/>
          <w:sz w:val="24"/>
          <w:highlight w:val="none"/>
          <w:lang w:val="en-US" w:eastAsia="zh-CN"/>
        </w:rPr>
        <w:t>终止</w:t>
      </w:r>
      <w:r>
        <w:rPr>
          <w:rFonts w:hint="eastAsia" w:ascii="宋体" w:hAnsi="宋体" w:cs="宋体"/>
          <w:b/>
          <w:sz w:val="24"/>
        </w:rPr>
        <w:t>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rPr>
        <w:t>终止，则投资者将面临提前终止再投资</w:t>
      </w:r>
      <w:r>
        <w:rPr>
          <w:rFonts w:hint="eastAsia" w:ascii="宋体" w:hAnsi="宋体" w:cs="宋体"/>
          <w:b/>
          <w:sz w:val="24"/>
          <w:highlight w:val="none"/>
          <w:lang w:eastAsia="zh-CN"/>
        </w:rPr>
        <w:t>或延期</w:t>
      </w:r>
      <w:r>
        <w:rPr>
          <w:rFonts w:hint="eastAsia" w:ascii="宋体" w:hAnsi="宋体" w:cs="宋体"/>
          <w:b/>
          <w:sz w:val="24"/>
          <w:highlight w:val="none"/>
          <w:lang w:val="en-US" w:eastAsia="zh-CN"/>
        </w:rPr>
        <w:t>兑付</w:t>
      </w:r>
      <w:r>
        <w:rPr>
          <w:rFonts w:hint="eastAsia" w:ascii="宋体" w:hAnsi="宋体" w:cs="宋体"/>
          <w:b/>
          <w:sz w:val="24"/>
        </w:rPr>
        <w:t>的风险。</w:t>
      </w:r>
    </w:p>
    <w:p>
      <w:pPr>
        <w:numPr>
          <w:ilvl w:val="0"/>
          <w:numId w:val="4"/>
        </w:numPr>
        <w:spacing w:line="360" w:lineRule="auto"/>
        <w:jc w:val="left"/>
        <w:rPr>
          <w:rFonts w:ascii="宋体" w:hAnsi="宋体" w:cs="宋体"/>
          <w:b/>
          <w:sz w:val="24"/>
        </w:rPr>
      </w:pPr>
      <w:r>
        <w:rPr>
          <w:rFonts w:hint="eastAsia" w:ascii="宋体" w:hAnsi="宋体" w:cs="宋体"/>
          <w:b/>
          <w:sz w:val="24"/>
        </w:rPr>
        <w:t>信息传递风险：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numPr>
          <w:ilvl w:val="0"/>
          <w:numId w:val="4"/>
        </w:numPr>
        <w:spacing w:line="360" w:lineRule="auto"/>
        <w:jc w:val="left"/>
        <w:rPr>
          <w:rFonts w:ascii="宋体" w:hAnsi="宋体" w:cs="宋体"/>
          <w:b/>
          <w:sz w:val="24"/>
        </w:rPr>
      </w:pPr>
      <w:r>
        <w:rPr>
          <w:rFonts w:hint="eastAsia" w:ascii="宋体" w:hAnsi="宋体" w:cs="宋体"/>
          <w:b/>
          <w:sz w:val="24"/>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ascii="宋体" w:hAnsi="宋体" w:cs="宋体"/>
          <w:b/>
          <w:sz w:val="24"/>
          <w:lang w:val="en-US" w:eastAsia="zh-CN"/>
        </w:rPr>
        <w:t>理</w:t>
      </w:r>
      <w:r>
        <w:rPr>
          <w:rFonts w:hint="eastAsia" w:ascii="宋体" w:hAnsi="宋体" w:cs="宋体"/>
          <w:b/>
          <w:sz w:val="24"/>
        </w:rPr>
        <w:t>财计划本金或收益蒙受部分或全部损失的风险。</w:t>
      </w:r>
    </w:p>
    <w:p>
      <w:pPr>
        <w:numPr>
          <w:ilvl w:val="0"/>
          <w:numId w:val="4"/>
        </w:numPr>
        <w:spacing w:line="360" w:lineRule="auto"/>
        <w:jc w:val="left"/>
        <w:rPr>
          <w:rFonts w:ascii="宋体" w:hAnsi="宋体" w:cs="宋体"/>
          <w:b/>
          <w:sz w:val="24"/>
        </w:rPr>
      </w:pPr>
      <w:r>
        <w:rPr>
          <w:rFonts w:hint="eastAsia" w:ascii="宋体" w:hAnsi="宋体" w:cs="宋体"/>
          <w:b/>
          <w:sz w:val="24"/>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rPr>
          <w:rFonts w:ascii="宋体" w:hAnsi="宋体" w:cs="宋体"/>
          <w:b/>
          <w:sz w:val="24"/>
        </w:rPr>
      </w:pPr>
      <w:r>
        <w:rPr>
          <w:rFonts w:hint="eastAsia" w:ascii="宋体" w:hAnsi="宋体" w:cs="宋体"/>
          <w:b/>
          <w:sz w:val="24"/>
        </w:rPr>
        <w:t>建仓期风险：如理财计划设置建仓期，则在建仓期内理财计划的投资比例可能无法满足约定的投资比例限制，从而影响对理财计划收益产生影响。</w:t>
      </w:r>
    </w:p>
    <w:p>
      <w:pPr>
        <w:numPr>
          <w:ilvl w:val="0"/>
          <w:numId w:val="4"/>
        </w:numPr>
        <w:spacing w:line="360" w:lineRule="auto"/>
        <w:jc w:val="left"/>
        <w:rPr>
          <w:rFonts w:ascii="宋体" w:hAnsi="宋体" w:cs="宋体"/>
          <w:b/>
          <w:sz w:val="24"/>
        </w:rPr>
      </w:pPr>
      <w:r>
        <w:rPr>
          <w:rFonts w:hint="eastAsia" w:ascii="宋体" w:hAnsi="宋体" w:cs="宋体"/>
          <w:b/>
          <w:sz w:val="24"/>
        </w:rPr>
        <w:t>代销风险：本理财计划通过代销渠道销售，投资者认/申购理财计划的资金由销售机构从投资者资金账户扣收；理财计划到期/赎回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9"/>
        <w:rPr>
          <w:rFonts w:ascii="宋体" w:hAnsi="宋体" w:cs="宋体"/>
          <w:b/>
          <w:sz w:val="24"/>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jc w:val="left"/>
        <w:rPr>
          <w:rFonts w:ascii="宋体" w:hAnsi="宋体" w:cs="宋体"/>
          <w:b/>
          <w:sz w:val="24"/>
        </w:rPr>
      </w:pPr>
      <w:r>
        <w:rPr>
          <w:rFonts w:hint="eastAsia" w:ascii="宋体" w:hAnsi="宋体" w:cs="宋体"/>
          <w:b/>
          <w:sz w:val="24"/>
        </w:rPr>
        <w:t>理财计划特定风险</w:t>
      </w:r>
    </w:p>
    <w:p>
      <w:pPr>
        <w:numPr>
          <w:ilvl w:val="0"/>
          <w:numId w:val="5"/>
        </w:numPr>
        <w:spacing w:line="360" w:lineRule="auto"/>
        <w:jc w:val="left"/>
        <w:rPr>
          <w:rFonts w:ascii="宋体" w:hAnsi="宋体" w:cs="宋体"/>
          <w:b/>
          <w:sz w:val="24"/>
        </w:rPr>
      </w:pPr>
      <w:r>
        <w:rPr>
          <w:rFonts w:hint="eastAsia" w:ascii="宋体" w:hAnsi="宋体" w:cs="宋体"/>
          <w:b/>
          <w:sz w:val="24"/>
        </w:rPr>
        <w:t>收益不达业绩比较基准风险：本理财计划每日开放，下一交易日确认，投资收益与投资者的申购、赎回时点密切相关，收益存在一定的波动性，投资者的本金可能会出现损失。</w:t>
      </w:r>
    </w:p>
    <w:p>
      <w:pPr>
        <w:spacing w:line="360" w:lineRule="auto"/>
        <w:jc w:val="left"/>
        <w:rPr>
          <w:rFonts w:ascii="宋体" w:hAnsi="宋体" w:cs="宋体"/>
          <w:b/>
          <w:sz w:val="24"/>
        </w:rPr>
      </w:pPr>
      <w:r>
        <w:rPr>
          <w:rFonts w:hint="eastAsia" w:ascii="宋体" w:hAnsi="宋体" w:cs="宋体"/>
          <w:b/>
          <w:sz w:val="24"/>
        </w:rPr>
        <w:t xml:space="preserve">    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jc w:val="left"/>
        <w:rPr>
          <w:rFonts w:ascii="宋体" w:hAnsi="宋体" w:cs="宋体"/>
          <w:b/>
          <w:sz w:val="24"/>
        </w:rPr>
      </w:pPr>
      <w:r>
        <w:rPr>
          <w:rFonts w:hint="eastAsia" w:ascii="宋体" w:hAnsi="宋体" w:cs="宋体"/>
          <w:b/>
          <w:sz w:val="24"/>
        </w:rPr>
        <w:t>其他信息提示</w:t>
      </w:r>
    </w:p>
    <w:p>
      <w:pPr>
        <w:spacing w:line="360" w:lineRule="auto"/>
        <w:ind w:firstLine="480" w:firstLineChars="200"/>
        <w:jc w:val="left"/>
        <w:rPr>
          <w:rFonts w:ascii="宋体" w:hAnsi="宋体" w:cs="宋体"/>
          <w:b/>
          <w:sz w:val="24"/>
        </w:rPr>
      </w:pPr>
      <w:r>
        <w:rPr>
          <w:rFonts w:hint="eastAsia" w:ascii="宋体" w:hAnsi="宋体" w:cs="宋体"/>
          <w:bCs/>
          <w:sz w:val="24"/>
        </w:rPr>
        <w:t>根据现有法律法规及金融监管机构对于理财产品的相关分类，投资者还需了解以下信息：</w:t>
      </w:r>
    </w:p>
    <w:p>
      <w:pPr>
        <w:numPr>
          <w:ilvl w:val="0"/>
          <w:numId w:val="6"/>
        </w:numPr>
        <w:spacing w:line="360" w:lineRule="auto"/>
        <w:jc w:val="left"/>
        <w:rPr>
          <w:rFonts w:ascii="宋体" w:hAnsi="宋体" w:cs="宋体"/>
          <w:bCs/>
          <w:sz w:val="24"/>
        </w:rPr>
      </w:pPr>
      <w:r>
        <w:rPr>
          <w:rFonts w:hint="eastAsia" w:ascii="宋体" w:hAnsi="宋体" w:cs="宋体"/>
          <w:b/>
          <w:sz w:val="24"/>
        </w:rPr>
        <w:t>根据募集方式的不同，理财产品分为公募理财产品和私募理财产品。</w:t>
      </w:r>
      <w:r>
        <w:rPr>
          <w:rFonts w:hint="eastAsia" w:ascii="宋体" w:hAnsi="宋体" w:cs="宋体"/>
          <w:bCs/>
          <w:sz w:val="24"/>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ascii="宋体" w:hAnsi="宋体" w:cs="宋体"/>
          <w:bCs/>
          <w:sz w:val="24"/>
        </w:rPr>
      </w:pPr>
      <w:r>
        <w:rPr>
          <w:rFonts w:hint="eastAsia" w:ascii="宋体" w:hAnsi="宋体" w:cs="宋体"/>
          <w:bCs/>
          <w:sz w:val="24"/>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ascii="宋体" w:hAnsi="宋体" w:cs="宋体"/>
          <w:bCs/>
          <w:sz w:val="24"/>
        </w:rPr>
      </w:pPr>
      <w:r>
        <w:rPr>
          <w:rFonts w:hint="eastAsia" w:ascii="宋体" w:hAnsi="宋体" w:cs="宋体"/>
          <w:bCs/>
          <w:sz w:val="24"/>
        </w:rPr>
        <w:t>最近1年末净资产不低于1000万元人民币的法人或者依法成立的其他组织；</w:t>
      </w:r>
    </w:p>
    <w:p>
      <w:pPr>
        <w:numPr>
          <w:ilvl w:val="0"/>
          <w:numId w:val="7"/>
        </w:numPr>
        <w:spacing w:line="360" w:lineRule="auto"/>
        <w:jc w:val="left"/>
        <w:rPr>
          <w:rFonts w:ascii="宋体" w:hAnsi="宋体" w:cs="宋体"/>
          <w:bCs/>
          <w:sz w:val="24"/>
        </w:rPr>
      </w:pPr>
      <w:r>
        <w:rPr>
          <w:rFonts w:hint="eastAsia" w:ascii="宋体" w:hAnsi="宋体" w:cs="宋体"/>
          <w:bCs/>
          <w:sz w:val="24"/>
        </w:rPr>
        <w:t>国务院银行业监督管理机构规定的其他情形。</w:t>
      </w:r>
    </w:p>
    <w:p>
      <w:pPr>
        <w:numPr>
          <w:ilvl w:val="0"/>
          <w:numId w:val="8"/>
        </w:numPr>
        <w:spacing w:line="360" w:lineRule="auto"/>
        <w:jc w:val="left"/>
        <w:rPr>
          <w:rFonts w:ascii="宋体" w:hAnsi="宋体" w:cs="宋体"/>
          <w:bCs/>
          <w:sz w:val="24"/>
        </w:rPr>
      </w:pPr>
      <w:r>
        <w:rPr>
          <w:rFonts w:hint="eastAsia" w:ascii="宋体" w:hAnsi="宋体" w:cs="宋体"/>
          <w:b/>
          <w:sz w:val="24"/>
        </w:rPr>
        <w:t>根据投资性质的不同，理财产品分为固定收益类理财产品、权益类理财产品、商品及金融衍生品类理财产品和混合类理财产品。</w:t>
      </w:r>
      <w:r>
        <w:rPr>
          <w:rFonts w:hint="eastAsia" w:ascii="宋体" w:hAnsi="宋体" w:cs="宋体"/>
          <w:bCs/>
          <w:sz w:val="24"/>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rPr>
          <w:rFonts w:ascii="宋体" w:hAnsi="宋体" w:cs="宋体"/>
          <w:bCs/>
          <w:sz w:val="24"/>
        </w:rPr>
      </w:pPr>
      <w:r>
        <w:rPr>
          <w:rFonts w:hint="eastAsia" w:ascii="宋体" w:hAnsi="宋体" w:cs="宋体"/>
          <w:b/>
          <w:sz w:val="24"/>
        </w:rPr>
        <w:t>根据运作方式的不同，将理财产品分为封闭式理财产品和开放式理财产品。</w:t>
      </w:r>
      <w:r>
        <w:rPr>
          <w:rFonts w:hint="eastAsia" w:ascii="宋体" w:hAnsi="宋体" w:cs="宋体"/>
          <w:bCs/>
          <w:sz w:val="24"/>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240" w:firstLineChars="100"/>
        <w:jc w:val="left"/>
        <w:rPr>
          <w:rFonts w:ascii="宋体" w:hAnsi="宋体" w:cs="宋体"/>
          <w:bCs/>
          <w:sz w:val="24"/>
        </w:rPr>
      </w:pPr>
    </w:p>
    <w:p>
      <w:pPr>
        <w:spacing w:line="360" w:lineRule="auto"/>
        <w:ind w:firstLine="482" w:firstLineChars="200"/>
        <w:jc w:val="left"/>
        <w:rPr>
          <w:rFonts w:ascii="宋体" w:hAnsi="宋体" w:cs="宋体"/>
          <w:b/>
          <w:sz w:val="24"/>
        </w:rPr>
      </w:pPr>
      <w:r>
        <w:rPr>
          <w:rFonts w:hint="eastAsia" w:ascii="宋体" w:hAnsi="宋体" w:cs="宋体"/>
          <w:b/>
          <w:sz w:val="24"/>
        </w:rPr>
        <w:t>本理财计划为公募、开放式、〖固定收益类〗净值型理财计划，〖无固定期限〗，不保证本金与收益。根据本公司理财产品内部风险评级，该理财计划风险评级结果为〖R2〗,〖中低〗风险</w:t>
      </w:r>
      <w:r>
        <w:rPr>
          <w:rFonts w:hint="eastAsia" w:ascii="宋体" w:hAnsi="宋体" w:cs="宋体"/>
          <w:bCs/>
          <w:sz w:val="24"/>
        </w:rPr>
        <w:t>（本风险等级为我公司内部风险评级结果，仅供参考</w:t>
      </w:r>
      <w:r>
        <w:rPr>
          <w:rFonts w:hint="eastAsia" w:ascii="宋体" w:hAnsi="宋体" w:cs="宋体"/>
          <w:b/>
          <w:sz w:val="24"/>
        </w:rPr>
        <w:t>，</w:t>
      </w:r>
      <w:r>
        <w:rPr>
          <w:rFonts w:hint="eastAsia" w:ascii="宋体" w:hAnsi="宋体" w:cs="宋体"/>
          <w:bCs/>
          <w:sz w:val="24"/>
        </w:rPr>
        <w:t>理财计划通过代理销售机构渠道销售的，理财计划产品评级应当以代理销售机构最终披露的评级结果为准），</w:t>
      </w:r>
      <w:r>
        <w:rPr>
          <w:rFonts w:hint="eastAsia" w:ascii="宋体" w:hAnsi="宋体" w:cs="宋体"/>
          <w:b/>
          <w:sz w:val="24"/>
        </w:rPr>
        <w:t>总体风险〖程度较低，收益波动较小，虽然存在一些可能对产品本金和收益安全产生不利影响的因素，但产品本金出现损失的可能性很小〗。</w:t>
      </w:r>
    </w:p>
    <w:p>
      <w:pPr>
        <w:spacing w:line="360" w:lineRule="auto"/>
        <w:ind w:firstLine="482" w:firstLineChars="200"/>
        <w:jc w:val="left"/>
        <w:rPr>
          <w:rFonts w:ascii="宋体" w:hAnsi="宋体" w:cs="宋体"/>
          <w:bCs/>
          <w:sz w:val="24"/>
        </w:rPr>
      </w:pPr>
      <w:r>
        <w:rPr>
          <w:rFonts w:hint="eastAsia" w:ascii="宋体" w:hAnsi="宋体" w:cs="宋体"/>
          <w:b/>
          <w:sz w:val="24"/>
        </w:rPr>
        <w:t>本理财计划适合〖机构投资者〗以及〖稳健型、平衡型、成长型、进取型〗的个人投资者</w:t>
      </w:r>
      <w:r>
        <w:rPr>
          <w:rFonts w:hint="eastAsia" w:ascii="宋体" w:hAnsi="宋体" w:cs="宋体"/>
          <w:b/>
          <w:sz w:val="24"/>
          <w:lang w:eastAsia="zh-CN"/>
        </w:rPr>
        <w:t>，</w:t>
      </w:r>
      <w:r>
        <w:rPr>
          <w:rFonts w:hint="eastAsia" w:ascii="宋体" w:hAnsi="宋体" w:cs="宋体"/>
          <w:b/>
          <w:sz w:val="24"/>
          <w:highlight w:val="none"/>
        </w:rPr>
        <w:t>个人投资者的风险承受能力评估以销售机构为准。</w:t>
      </w:r>
      <w:r>
        <w:rPr>
          <w:rFonts w:hint="eastAsia" w:ascii="宋体" w:hAnsi="宋体" w:cs="宋体"/>
          <w:bCs/>
          <w:sz w:val="24"/>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rPr>
      </w:pPr>
      <w:r>
        <w:rPr>
          <w:rFonts w:hint="eastAsia" w:ascii="宋体" w:hAnsi="宋体" w:cs="宋体"/>
          <w:bCs/>
          <w:sz w:val="24"/>
        </w:rPr>
        <w:t>上述风险客观存在，敬请投资者予以充分关注！</w:t>
      </w:r>
    </w:p>
    <w:p>
      <w:pPr>
        <w:spacing w:line="360" w:lineRule="auto"/>
        <w:ind w:firstLine="480" w:firstLineChars="200"/>
        <w:jc w:val="left"/>
        <w:rPr>
          <w:rFonts w:hint="eastAsia" w:ascii="宋体" w:hAnsi="宋体" w:cs="宋体"/>
          <w:bCs/>
          <w:sz w:val="24"/>
        </w:rPr>
      </w:pPr>
    </w:p>
    <w:p>
      <w:pPr>
        <w:spacing w:line="360" w:lineRule="auto"/>
        <w:ind w:firstLine="480" w:firstLineChars="200"/>
        <w:jc w:val="left"/>
        <w:rPr>
          <w:rFonts w:hint="eastAsia" w:ascii="宋体" w:hAnsi="宋体" w:cs="宋体"/>
          <w:bCs/>
          <w:sz w:val="24"/>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ascii="宋体" w:hAnsi="宋体" w:cs="宋体"/>
          <w:bCs/>
          <w:sz w:val="24"/>
        </w:rPr>
      </w:pPr>
    </w:p>
    <w:p>
      <w:pPr>
        <w:spacing w:line="360" w:lineRule="auto"/>
        <w:ind w:firstLine="480" w:firstLineChars="200"/>
        <w:jc w:val="left"/>
        <w:rPr>
          <w:rFonts w:ascii="宋体" w:hAnsi="宋体" w:cs="宋体"/>
          <w:bCs/>
          <w:sz w:val="24"/>
        </w:rPr>
      </w:pPr>
    </w:p>
    <w:p>
      <w:pPr>
        <w:spacing w:line="360" w:lineRule="auto"/>
        <w:ind w:firstLine="480" w:firstLineChars="200"/>
        <w:jc w:val="right"/>
        <w:rPr>
          <w:rFonts w:ascii="宋体" w:hAnsi="宋体" w:cs="宋体"/>
          <w:bCs/>
          <w:sz w:val="24"/>
        </w:rPr>
      </w:pPr>
      <w:r>
        <w:rPr>
          <w:rFonts w:hint="eastAsia" w:ascii="宋体" w:hAnsi="宋体" w:cs="宋体"/>
          <w:bCs/>
          <w:sz w:val="24"/>
        </w:rPr>
        <w:t>风险提示方：杭银理财有限责任公司</w:t>
      </w:r>
    </w:p>
    <w:p>
      <w:pPr>
        <w:spacing w:line="360" w:lineRule="auto"/>
        <w:ind w:firstLine="480" w:firstLineChars="200"/>
        <w:jc w:val="right"/>
        <w:rPr>
          <w:rFonts w:ascii="宋体" w:hAnsi="宋体" w:cs="宋体"/>
          <w:bCs/>
          <w:sz w:val="24"/>
        </w:rPr>
      </w:pPr>
    </w:p>
    <w:p>
      <w:pPr>
        <w:spacing w:line="360" w:lineRule="auto"/>
        <w:ind w:firstLine="480" w:firstLineChars="200"/>
        <w:jc w:val="right"/>
        <w:rPr>
          <w:rFonts w:ascii="宋体" w:hAnsi="宋体" w:cs="宋体"/>
          <w:bCs/>
          <w:sz w:val="24"/>
        </w:rPr>
      </w:pPr>
    </w:p>
    <w:p>
      <w:pPr>
        <w:spacing w:line="360" w:lineRule="auto"/>
        <w:ind w:firstLine="480" w:firstLineChars="200"/>
        <w:jc w:val="right"/>
        <w:rPr>
          <w:rFonts w:ascii="宋体" w:hAnsi="宋体" w:cs="宋体"/>
          <w:bCs/>
          <w:sz w:val="24"/>
        </w:rPr>
      </w:pPr>
    </w:p>
    <w:p>
      <w:pPr>
        <w:spacing w:line="360" w:lineRule="auto"/>
        <w:ind w:firstLine="480" w:firstLineChars="200"/>
        <w:jc w:val="right"/>
        <w:rPr>
          <w:rFonts w:ascii="宋体" w:hAnsi="宋体" w:cs="宋体"/>
          <w:bCs/>
          <w:sz w:val="24"/>
        </w:rPr>
      </w:pPr>
    </w:p>
    <w:p>
      <w:pPr>
        <w:spacing w:line="360" w:lineRule="auto"/>
        <w:rPr>
          <w:rFonts w:ascii="宋体" w:hAnsi="宋体" w:cs="宋体"/>
          <w:bCs/>
          <w:sz w:val="24"/>
        </w:rPr>
      </w:pPr>
    </w:p>
    <w:p>
      <w:pPr>
        <w:pStyle w:val="15"/>
        <w:spacing w:line="360" w:lineRule="auto"/>
        <w:jc w:val="center"/>
        <w:rPr>
          <w:rFonts w:hint="eastAsia" w:ascii="宋体" w:hAnsi="宋体" w:cs="宋体"/>
          <w:b/>
          <w:color w:val="auto"/>
        </w:rPr>
      </w:pPr>
      <w:r>
        <w:rPr>
          <w:rFonts w:hint="eastAsia" w:ascii="宋体" w:hAnsi="宋体" w:cs="宋体"/>
          <w:b/>
          <w:color w:val="auto"/>
        </w:rPr>
        <w:t>投资者确认栏（个人投资者填写）</w:t>
      </w:r>
    </w:p>
    <w:p>
      <w:pPr>
        <w:pStyle w:val="15"/>
        <w:spacing w:line="360" w:lineRule="auto"/>
        <w:jc w:val="center"/>
        <w:rPr>
          <w:rFonts w:hint="eastAsia" w:ascii="宋体" w:hAnsi="宋体" w:cs="宋体"/>
          <w:b/>
          <w:color w:val="auto"/>
        </w:rPr>
      </w:pPr>
    </w:p>
    <w:p>
      <w:pPr>
        <w:pStyle w:val="15"/>
        <w:spacing w:line="360" w:lineRule="auto"/>
        <w:jc w:val="both"/>
        <w:rPr>
          <w:rFonts w:hint="eastAsia" w:ascii="宋体" w:hAnsi="宋体" w:cs="宋体"/>
          <w:color w:val="auto"/>
        </w:rPr>
      </w:pPr>
      <w:r>
        <w:rPr>
          <w:rFonts w:hint="eastAsia" w:ascii="宋体" w:hAnsi="宋体" w:cs="宋体"/>
          <w:color w:val="auto"/>
        </w:rPr>
        <w:t>本人经销售机构评估的风险承受能力等级为（投资者填写）：</w:t>
      </w:r>
    </w:p>
    <w:p>
      <w:pPr>
        <w:pStyle w:val="15"/>
        <w:spacing w:line="360" w:lineRule="auto"/>
        <w:jc w:val="both"/>
        <w:rPr>
          <w:rFonts w:hint="eastAsia" w:ascii="宋体" w:hAnsi="宋体" w:cs="宋体"/>
          <w:color w:val="auto"/>
          <w:u w:val="single"/>
        </w:rPr>
      </w:pPr>
      <w:r>
        <w:rPr>
          <w:rFonts w:hint="eastAsia" w:ascii="宋体" w:hAnsi="宋体" w:cs="宋体"/>
          <w:color w:val="auto"/>
          <w:u w:val="single"/>
        </w:rPr>
        <w:t xml:space="preserve">□保守型       □稳健型       □平衡型       □成长型       □进取型  </w:t>
      </w:r>
    </w:p>
    <w:p>
      <w:pPr>
        <w:pStyle w:val="15"/>
        <w:spacing w:line="360" w:lineRule="auto"/>
        <w:jc w:val="both"/>
        <w:rPr>
          <w:rFonts w:hint="eastAsia" w:ascii="宋体" w:hAnsi="宋体" w:cs="宋体"/>
          <w:color w:val="auto"/>
          <w:u w:val="single"/>
        </w:rPr>
      </w:pPr>
      <w:r>
        <w:rPr>
          <w:rFonts w:hint="eastAsia" w:ascii="宋体" w:hAnsi="宋体" w:cs="宋体"/>
          <w:color w:val="auto"/>
          <w:u w:val="single"/>
        </w:rPr>
        <w:t xml:space="preserve">    如超过一年未进行风险承受能力评估或影响本人风险承受能力的因素发生变化，本人将于再次购买理财计划时及时完成风险承受能力评估。</w:t>
      </w:r>
    </w:p>
    <w:p>
      <w:pPr>
        <w:pStyle w:val="15"/>
        <w:spacing w:line="360" w:lineRule="auto"/>
        <w:jc w:val="both"/>
        <w:rPr>
          <w:rFonts w:hint="eastAsia" w:ascii="宋体" w:hAnsi="宋体" w:cs="宋体"/>
          <w:b/>
          <w:bCs/>
          <w:color w:val="auto"/>
          <w:u w:val="single"/>
        </w:rPr>
      </w:pPr>
      <w:r>
        <w:rPr>
          <w:rFonts w:hint="eastAsia" w:ascii="宋体" w:hAnsi="宋体" w:cs="宋体"/>
          <w:b/>
          <w:bCs/>
          <w:color w:val="auto"/>
          <w:u w:val="single"/>
        </w:rPr>
        <w:t xml:space="preserve">    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5"/>
        <w:spacing w:line="360" w:lineRule="auto"/>
        <w:jc w:val="both"/>
        <w:rPr>
          <w:rFonts w:hint="eastAsia" w:ascii="宋体" w:hAnsi="宋体" w:cs="宋体"/>
          <w:b/>
          <w:bCs/>
          <w:color w:val="auto"/>
          <w:u w:val="single"/>
        </w:rPr>
      </w:pPr>
      <w:r>
        <w:rPr>
          <w:rFonts w:hint="eastAsia" w:ascii="宋体" w:hAnsi="宋体" w:cs="宋体"/>
          <w:b/>
          <w:bCs/>
          <w:color w:val="auto"/>
          <w:u w:val="single"/>
        </w:rPr>
        <w:t xml:space="preserve">    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5"/>
        <w:spacing w:line="360" w:lineRule="auto"/>
        <w:ind w:firstLine="480" w:firstLineChars="200"/>
        <w:jc w:val="both"/>
        <w:rPr>
          <w:rFonts w:hint="eastAsia" w:ascii="宋体" w:hAnsi="宋体" w:cs="宋体"/>
          <w:b/>
          <w:color w:val="auto"/>
        </w:rPr>
      </w:pPr>
      <w:r>
        <w:rPr>
          <w:rFonts w:hint="eastAsia" w:ascii="宋体" w:hAnsi="宋体" w:cs="宋体"/>
          <w:color w:val="auto"/>
        </w:rPr>
        <w:t>（投资者需全文抄录以下文字以完成确认：</w:t>
      </w:r>
      <w:r>
        <w:rPr>
          <w:rFonts w:hint="eastAsia" w:ascii="宋体" w:hAnsi="宋体" w:cs="宋体"/>
          <w:b/>
          <w:color w:val="auto"/>
        </w:rPr>
        <w:t xml:space="preserve">“本人已经阅读上述风险揭示，愿意承担投资风险。”） </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5"/>
        <w:spacing w:line="360" w:lineRule="auto"/>
        <w:jc w:val="both"/>
        <w:rPr>
          <w:rFonts w:hint="eastAsia" w:ascii="宋体" w:hAnsi="宋体" w:cs="宋体"/>
          <w:color w:val="auto"/>
          <w:u w:val="single"/>
        </w:rPr>
      </w:pPr>
      <w:r>
        <w:rPr>
          <w:rFonts w:hint="eastAsia" w:ascii="宋体" w:hAnsi="宋体" w:cs="宋体"/>
          <w:color w:val="auto"/>
        </w:rPr>
        <w:t>本人同时确认如下：</w:t>
      </w:r>
      <w:r>
        <w:rPr>
          <w:rFonts w:hint="eastAsia" w:ascii="宋体" w:hAnsi="宋体" w:cs="宋体"/>
          <w:color w:val="auto"/>
          <w:u w:val="single"/>
        </w:rPr>
        <w:t xml:space="preserve">                                                          </w:t>
      </w:r>
    </w:p>
    <w:p>
      <w:pPr>
        <w:pStyle w:val="15"/>
        <w:spacing w:line="360" w:lineRule="auto"/>
        <w:jc w:val="both"/>
        <w:rPr>
          <w:rFonts w:hint="eastAsia" w:ascii="宋体" w:hAnsi="宋体" w:cs="宋体"/>
          <w:color w:val="auto"/>
        </w:rPr>
      </w:pPr>
      <w:r>
        <w:rPr>
          <w:rFonts w:hint="eastAsia" w:ascii="宋体" w:hAnsi="宋体" w:cs="宋体"/>
          <w:color w:val="auto"/>
          <w:u w:val="single"/>
        </w:rPr>
        <w:t xml:space="preserve">                                                                                </w:t>
      </w:r>
    </w:p>
    <w:p>
      <w:pPr>
        <w:spacing w:line="360" w:lineRule="auto"/>
        <w:rPr>
          <w:rFonts w:hint="eastAsia" w:ascii="宋体" w:hAnsi="宋体" w:cs="宋体"/>
          <w:kern w:val="0"/>
          <w:sz w:val="24"/>
        </w:rPr>
      </w:pPr>
    </w:p>
    <w:p>
      <w:pPr>
        <w:spacing w:line="360" w:lineRule="auto"/>
        <w:rPr>
          <w:rFonts w:hint="eastAsia" w:ascii="宋体" w:hAnsi="宋体" w:cs="宋体"/>
          <w:kern w:val="0"/>
          <w:sz w:val="24"/>
        </w:rPr>
      </w:pPr>
      <w:r>
        <w:rPr>
          <w:rFonts w:hint="eastAsia" w:ascii="宋体" w:hAnsi="宋体" w:cs="宋体"/>
          <w:kern w:val="0"/>
          <w:sz w:val="24"/>
        </w:rPr>
        <w:t>确认人（签字）：</w:t>
      </w:r>
      <w:r>
        <w:rPr>
          <w:rFonts w:hint="eastAsia" w:ascii="宋体" w:hAnsi="宋体" w:cs="宋体"/>
          <w:kern w:val="0"/>
          <w:sz w:val="24"/>
          <w:u w:val="single"/>
        </w:rPr>
        <w:t xml:space="preserve">                    </w:t>
      </w:r>
      <w:r>
        <w:rPr>
          <w:rFonts w:hint="eastAsia" w:ascii="宋体" w:hAnsi="宋体" w:cs="宋体"/>
          <w:kern w:val="0"/>
          <w:sz w:val="24"/>
        </w:rPr>
        <w:t xml:space="preserve">           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snapToGrid w:val="0"/>
        <w:rPr>
          <w:rFonts w:hint="eastAsia" w:ascii="宋体" w:hAnsi="宋体"/>
          <w:kern w:val="0"/>
          <w:szCs w:val="21"/>
          <w:u w:val="single"/>
        </w:rPr>
      </w:pPr>
    </w:p>
    <w:p>
      <w:pPr>
        <w:autoSpaceDE w:val="0"/>
        <w:autoSpaceDN w:val="0"/>
        <w:adjustRightInd w:val="0"/>
        <w:spacing w:line="420" w:lineRule="exact"/>
        <w:jc w:val="center"/>
        <w:rPr>
          <w:rFonts w:hint="eastAsia" w:ascii="宋体" w:hAnsi="宋体"/>
          <w:b/>
          <w:kern w:val="0"/>
          <w:szCs w:val="21"/>
        </w:rPr>
      </w:pPr>
    </w:p>
    <w:p>
      <w:pPr>
        <w:autoSpaceDE w:val="0"/>
        <w:autoSpaceDN w:val="0"/>
        <w:adjustRightInd w:val="0"/>
        <w:spacing w:line="360" w:lineRule="auto"/>
        <w:jc w:val="center"/>
        <w:rPr>
          <w:rFonts w:hint="eastAsia" w:ascii="宋体" w:hAnsi="宋体"/>
          <w:b/>
          <w:kern w:val="0"/>
          <w:szCs w:val="21"/>
        </w:rPr>
      </w:pPr>
    </w:p>
    <w:p>
      <w:pPr>
        <w:pStyle w:val="15"/>
        <w:spacing w:line="360" w:lineRule="auto"/>
        <w:jc w:val="center"/>
        <w:rPr>
          <w:rFonts w:hint="eastAsia" w:ascii="宋体" w:hAnsi="宋体" w:cs="宋体"/>
          <w:b/>
          <w:color w:val="auto"/>
        </w:rPr>
      </w:pPr>
    </w:p>
    <w:p>
      <w:pPr>
        <w:pStyle w:val="15"/>
        <w:spacing w:line="360" w:lineRule="auto"/>
        <w:jc w:val="center"/>
        <w:rPr>
          <w:rFonts w:hint="eastAsia" w:ascii="宋体" w:hAnsi="宋体" w:cs="宋体"/>
          <w:b/>
          <w:color w:val="auto"/>
        </w:rPr>
      </w:pPr>
    </w:p>
    <w:p>
      <w:pPr>
        <w:pStyle w:val="15"/>
        <w:spacing w:line="360" w:lineRule="auto"/>
        <w:jc w:val="center"/>
        <w:rPr>
          <w:rFonts w:hint="eastAsia" w:ascii="宋体" w:hAnsi="宋体" w:cs="宋体"/>
          <w:b/>
        </w:rPr>
      </w:pPr>
      <w:r>
        <w:rPr>
          <w:rFonts w:hint="eastAsia" w:ascii="宋体" w:hAnsi="宋体" w:cs="宋体"/>
          <w:b/>
          <w:color w:val="auto"/>
        </w:rPr>
        <w:t>投资者确认栏（机构投资者）</w:t>
      </w:r>
    </w:p>
    <w:p>
      <w:pPr>
        <w:pStyle w:val="15"/>
        <w:spacing w:line="360" w:lineRule="auto"/>
        <w:jc w:val="center"/>
        <w:rPr>
          <w:rFonts w:hint="eastAsia" w:ascii="宋体" w:hAnsi="宋体" w:cs="宋体"/>
          <w:b/>
        </w:rPr>
      </w:pPr>
    </w:p>
    <w:p>
      <w:pPr>
        <w:widowControl/>
        <w:spacing w:line="360" w:lineRule="auto"/>
        <w:contextualSpacing/>
        <w:outlineLvl w:val="9"/>
        <w:rPr>
          <w:rFonts w:hint="eastAsia" w:ascii="宋体" w:hAnsi="宋体" w:cs="宋体"/>
          <w:b/>
          <w:bCs/>
          <w:sz w:val="24"/>
        </w:rPr>
      </w:pPr>
      <w:r>
        <w:rPr>
          <w:rFonts w:hint="eastAsia" w:ascii="宋体" w:hAnsi="宋体" w:cs="宋体"/>
          <w:b/>
          <w:bCs/>
          <w:sz w:val="24"/>
        </w:rPr>
        <w:t xml:space="preserve">    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sz w:val="24"/>
          <w:u w:val="single"/>
        </w:rPr>
        <w:t>接受本风险揭示书及《理财计划产品说明书》《投资者权益须知》《理财计划投资协议书》《理财计划销售协议书》等本理财计划合同全部内容，</w:t>
      </w:r>
      <w:r>
        <w:rPr>
          <w:rFonts w:hint="eastAsia" w:ascii="宋体" w:hAnsi="宋体" w:cs="宋体"/>
          <w:b/>
          <w:bCs/>
          <w:sz w:val="24"/>
        </w:rPr>
        <w:t>自愿且有能力承担</w:t>
      </w:r>
      <w:r>
        <w:rPr>
          <w:rFonts w:hint="eastAsia" w:ascii="宋体" w:hAnsi="宋体" w:cs="宋体"/>
          <w:b/>
          <w:bCs/>
          <w:sz w:val="24"/>
          <w:u w:val="single"/>
        </w:rPr>
        <w:t>投资本理财计划的</w:t>
      </w:r>
      <w:r>
        <w:rPr>
          <w:rFonts w:hint="eastAsia" w:ascii="宋体" w:hAnsi="宋体" w:cs="宋体"/>
          <w:b/>
          <w:bCs/>
          <w:sz w:val="24"/>
        </w:rPr>
        <w:t>风险。</w:t>
      </w:r>
    </w:p>
    <w:p>
      <w:pPr>
        <w:widowControl/>
        <w:spacing w:line="360" w:lineRule="auto"/>
        <w:contextualSpacing/>
        <w:outlineLvl w:val="9"/>
        <w:rPr>
          <w:rFonts w:ascii="宋体" w:hAnsi="宋体" w:cs="宋体"/>
          <w:sz w:val="24"/>
        </w:rPr>
      </w:pPr>
      <w:r>
        <w:rPr>
          <w:rFonts w:hint="eastAsia" w:ascii="宋体" w:hAnsi="宋体" w:cs="宋体"/>
          <w:b/>
          <w:bCs/>
          <w:sz w:val="24"/>
        </w:rPr>
        <w:t xml:space="preserve">    </w:t>
      </w:r>
      <w:r>
        <w:rPr>
          <w:rFonts w:hint="eastAsia" w:ascii="宋体" w:hAnsi="宋体" w:cs="宋体"/>
          <w:b/>
          <w:bCs/>
          <w:sz w:val="24"/>
          <w:u w:val="single"/>
        </w:rPr>
        <w:t>本公司/单位</w:t>
      </w:r>
      <w:r>
        <w:rPr>
          <w:rFonts w:hint="eastAsia" w:ascii="宋体" w:hAnsi="宋体" w:cs="宋体"/>
          <w:b/>
          <w:bCs/>
          <w:sz w:val="24"/>
          <w:u w:val="single"/>
          <w:lang w:val="en-US" w:eastAsia="zh-CN"/>
        </w:rPr>
        <w:t>购买</w:t>
      </w:r>
      <w:r>
        <w:rPr>
          <w:rFonts w:hint="eastAsia" w:ascii="宋体" w:hAnsi="宋体" w:cs="宋体"/>
          <w:b/>
          <w:bCs/>
          <w:sz w:val="24"/>
          <w:u w:val="single"/>
        </w:rPr>
        <w:t>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widowControl/>
        <w:spacing w:line="360" w:lineRule="auto"/>
        <w:contextualSpacing/>
        <w:outlineLvl w:val="9"/>
        <w:rPr>
          <w:rFonts w:hint="eastAsia" w:ascii="宋体" w:hAnsi="宋体" w:cs="宋体"/>
          <w:sz w:val="24"/>
        </w:rPr>
      </w:pPr>
    </w:p>
    <w:p>
      <w:pPr>
        <w:widowControl/>
        <w:spacing w:line="360" w:lineRule="auto"/>
        <w:contextualSpacing/>
        <w:outlineLvl w:val="9"/>
        <w:rPr>
          <w:rFonts w:hint="eastAsia" w:ascii="宋体" w:hAnsi="宋体" w:cs="宋体"/>
          <w:sz w:val="24"/>
        </w:rPr>
      </w:pPr>
    </w:p>
    <w:p>
      <w:pPr>
        <w:widowControl/>
        <w:spacing w:line="360" w:lineRule="auto"/>
        <w:contextualSpacing/>
        <w:outlineLvl w:val="9"/>
        <w:rPr>
          <w:rFonts w:hint="eastAsia" w:ascii="宋体" w:hAnsi="宋体" w:cs="宋体"/>
          <w:kern w:val="0"/>
          <w:sz w:val="24"/>
        </w:rPr>
      </w:pPr>
      <w:r>
        <w:rPr>
          <w:rFonts w:hint="eastAsia" w:ascii="宋体" w:hAnsi="宋体" w:cs="宋体"/>
          <w:kern w:val="0"/>
          <w:sz w:val="24"/>
        </w:rPr>
        <w:t>投资者（公章）                          法定代表人或授权代理人（签章）</w:t>
      </w:r>
    </w:p>
    <w:p>
      <w:pPr>
        <w:widowControl/>
        <w:spacing w:line="360" w:lineRule="auto"/>
        <w:contextualSpacing/>
        <w:outlineLvl w:val="9"/>
        <w:rPr>
          <w:rFonts w:hint="eastAsia" w:ascii="宋体" w:hAnsi="宋体" w:cs="宋体"/>
          <w:kern w:val="0"/>
          <w:sz w:val="24"/>
        </w:rPr>
      </w:pPr>
    </w:p>
    <w:p>
      <w:pPr>
        <w:widowControl/>
        <w:spacing w:line="360" w:lineRule="auto"/>
        <w:contextualSpacing/>
        <w:outlineLvl w:val="9"/>
        <w:rPr>
          <w:rFonts w:hint="eastAsia" w:ascii="宋体" w:hAnsi="宋体" w:cs="宋体"/>
          <w:kern w:val="0"/>
          <w:sz w:val="24"/>
        </w:rPr>
      </w:pPr>
    </w:p>
    <w:p>
      <w:pPr>
        <w:widowControl/>
        <w:spacing w:line="360" w:lineRule="auto"/>
        <w:contextualSpacing/>
        <w:outlineLvl w:val="9"/>
        <w:rPr>
          <w:rFonts w:hint="eastAsia" w:ascii="宋体" w:hAnsi="宋体" w:cs="宋体"/>
          <w:kern w:val="0"/>
          <w:sz w:val="24"/>
        </w:rPr>
      </w:pPr>
    </w:p>
    <w:p>
      <w:pPr>
        <w:widowControl/>
        <w:spacing w:line="360" w:lineRule="auto"/>
        <w:contextualSpacing/>
        <w:outlineLvl w:val="9"/>
        <w:rPr>
          <w:rFonts w:hint="eastAsia" w:ascii="宋体" w:hAnsi="宋体" w:cs="宋体"/>
          <w:kern w:val="0"/>
          <w:sz w:val="24"/>
        </w:rPr>
      </w:pPr>
      <w:r>
        <w:rPr>
          <w:rFonts w:hint="eastAsia" w:ascii="宋体" w:hAnsi="宋体" w:cs="宋体"/>
          <w:kern w:val="0"/>
          <w:sz w:val="24"/>
        </w:rPr>
        <w:t xml:space="preserve">                                            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spacing w:line="360" w:lineRule="auto"/>
        <w:ind w:firstLine="480" w:firstLineChars="200"/>
        <w:jc w:val="right"/>
        <w:rPr>
          <w:rFonts w:hint="eastAsia" w:ascii="宋体" w:hAnsi="宋体" w:cs="宋体"/>
          <w:bCs/>
          <w:sz w:val="24"/>
        </w:rPr>
      </w:pPr>
    </w:p>
    <w:p>
      <w:pPr>
        <w:spacing w:line="360" w:lineRule="auto"/>
        <w:ind w:firstLine="480" w:firstLineChars="200"/>
        <w:jc w:val="right"/>
        <w:rPr>
          <w:rFonts w:ascii="宋体" w:hAnsi="宋体" w:cs="宋体"/>
          <w:bCs/>
          <w:sz w:val="24"/>
        </w:rPr>
      </w:pPr>
    </w:p>
    <w:p>
      <w:pPr>
        <w:spacing w:line="360" w:lineRule="auto"/>
        <w:ind w:firstLine="480" w:firstLineChars="200"/>
        <w:jc w:val="right"/>
        <w:rPr>
          <w:rFonts w:ascii="宋体" w:hAnsi="宋体" w:cs="宋体"/>
          <w:bCs/>
          <w:sz w:val="24"/>
        </w:rPr>
      </w:pPr>
    </w:p>
    <w:p>
      <w:pPr>
        <w:spacing w:line="360" w:lineRule="auto"/>
        <w:ind w:firstLine="480" w:firstLineChars="200"/>
        <w:jc w:val="right"/>
        <w:rPr>
          <w:rFonts w:ascii="宋体" w:hAnsi="宋体" w:cs="宋体"/>
          <w:bCs/>
          <w:sz w:val="24"/>
        </w:rPr>
      </w:pPr>
    </w:p>
    <w:p>
      <w:pPr>
        <w:spacing w:line="360" w:lineRule="auto"/>
        <w:ind w:firstLine="480" w:firstLineChars="200"/>
        <w:jc w:val="right"/>
        <w:rPr>
          <w:rFonts w:ascii="宋体" w:hAnsi="宋体" w:cs="宋体"/>
          <w:bCs/>
          <w:sz w:val="24"/>
        </w:rPr>
      </w:pPr>
    </w:p>
    <w:p>
      <w:pPr>
        <w:spacing w:line="360" w:lineRule="auto"/>
        <w:ind w:firstLine="480" w:firstLineChars="200"/>
        <w:jc w:val="right"/>
        <w:rPr>
          <w:rFonts w:ascii="宋体" w:hAnsi="宋体" w:cs="宋体"/>
          <w:bCs/>
          <w:sz w:val="24"/>
        </w:rPr>
      </w:pPr>
    </w:p>
    <w:p>
      <w:pPr>
        <w:spacing w:line="360" w:lineRule="auto"/>
        <w:ind w:firstLine="480" w:firstLineChars="200"/>
        <w:jc w:val="right"/>
        <w:rPr>
          <w:rFonts w:ascii="宋体" w:hAnsi="宋体" w:cs="宋体"/>
          <w:bCs/>
          <w:sz w:val="24"/>
        </w:rPr>
      </w:pPr>
    </w:p>
    <w:p>
      <w:pPr>
        <w:spacing w:line="360" w:lineRule="auto"/>
        <w:ind w:firstLine="480" w:firstLineChars="200"/>
        <w:jc w:val="right"/>
        <w:rPr>
          <w:rFonts w:ascii="宋体" w:hAnsi="宋体" w:cs="宋体"/>
          <w:bCs/>
          <w:sz w:val="24"/>
        </w:rPr>
      </w:pPr>
    </w:p>
    <w:p>
      <w:pPr>
        <w:rPr>
          <w:rFonts w:ascii="宋体" w:hAnsi="宋体" w:cs="宋体"/>
          <w:b/>
          <w:bCs/>
          <w:sz w:val="44"/>
          <w:szCs w:val="44"/>
        </w:rPr>
      </w:pPr>
    </w:p>
    <w:p>
      <w:pPr>
        <w:jc w:val="center"/>
        <w:rPr>
          <w:rFonts w:ascii="宋体" w:hAnsi="宋体" w:cs="宋体"/>
          <w:b/>
          <w:bCs/>
          <w:sz w:val="44"/>
          <w:szCs w:val="44"/>
        </w:rPr>
      </w:pPr>
      <w:r>
        <w:rPr>
          <w:rFonts w:hint="eastAsia" w:ascii="宋体" w:hAnsi="宋体" w:cs="宋体"/>
          <w:b/>
          <w:bCs/>
          <w:sz w:val="44"/>
          <w:szCs w:val="44"/>
        </w:rPr>
        <w:t>杭银理财幸福99天添益（</w:t>
      </w:r>
      <w:r>
        <w:rPr>
          <w:rFonts w:hint="eastAsia" w:ascii="宋体" w:hAnsi="宋体" w:cs="宋体"/>
          <w:b/>
          <w:bCs/>
          <w:sz w:val="44"/>
          <w:szCs w:val="44"/>
          <w:lang w:eastAsia="zh-CN"/>
        </w:rPr>
        <w:t>安享优选</w:t>
      </w:r>
      <w:r>
        <w:rPr>
          <w:rFonts w:hint="eastAsia" w:ascii="宋体" w:hAnsi="宋体" w:cs="宋体"/>
          <w:b/>
          <w:bCs/>
          <w:sz w:val="44"/>
          <w:szCs w:val="44"/>
        </w:rPr>
        <w:t>）</w:t>
      </w:r>
      <w:r>
        <w:rPr>
          <w:rFonts w:hint="eastAsia" w:ascii="宋体" w:hAnsi="宋体" w:cs="宋体"/>
          <w:b/>
          <w:bCs/>
          <w:sz w:val="44"/>
          <w:szCs w:val="44"/>
          <w:lang w:val="en-US" w:eastAsia="zh-CN"/>
        </w:rPr>
        <w:t>1</w:t>
      </w:r>
      <w:r>
        <w:rPr>
          <w:rFonts w:hint="eastAsia" w:ascii="宋体" w:hAnsi="宋体" w:cs="宋体"/>
          <w:b/>
          <w:bCs/>
          <w:sz w:val="44"/>
          <w:szCs w:val="44"/>
        </w:rPr>
        <w:t>期理财产品说明书</w:t>
      </w:r>
    </w:p>
    <w:p>
      <w:pPr>
        <w:jc w:val="center"/>
        <w:rPr>
          <w:rFonts w:ascii="宋体" w:hAnsi="宋体" w:cs="宋体"/>
          <w:b/>
          <w:bCs/>
          <w:sz w:val="44"/>
          <w:szCs w:val="44"/>
        </w:rPr>
      </w:pPr>
      <w:r>
        <w:rPr>
          <w:rFonts w:hint="eastAsia" w:ascii="宋体" w:hAnsi="宋体" w:cs="宋体"/>
          <w:sz w:val="28"/>
          <w:szCs w:val="28"/>
        </w:rPr>
        <w:t>（</w:t>
      </w:r>
      <w:r>
        <w:rPr>
          <w:rFonts w:hint="eastAsia" w:ascii="宋体" w:hAnsi="宋体" w:cs="宋体"/>
          <w:sz w:val="28"/>
          <w:szCs w:val="28"/>
          <w:lang w:eastAsia="zh-CN"/>
        </w:rPr>
        <w:t>202201</w:t>
      </w:r>
      <w:r>
        <w:rPr>
          <w:rFonts w:hint="eastAsia" w:ascii="宋体" w:hAnsi="宋体" w:cs="宋体"/>
          <w:sz w:val="28"/>
          <w:szCs w:val="28"/>
        </w:rPr>
        <w:t>版）</w:t>
      </w:r>
    </w:p>
    <w:p>
      <w:pPr>
        <w:spacing w:line="360" w:lineRule="auto"/>
        <w:jc w:val="right"/>
        <w:rPr>
          <w:rFonts w:ascii="宋体" w:hAnsi="宋体" w:cs="宋体"/>
          <w:bCs/>
          <w:sz w:val="24"/>
        </w:rPr>
      </w:pPr>
      <w:r>
        <w:rPr>
          <w:rFonts w:hint="eastAsia" w:ascii="宋体" w:hAnsi="宋体" w:cs="宋体"/>
          <w:color w:val="000000"/>
          <w:sz w:val="24"/>
        </w:rPr>
        <w:t>备案编号:</w:t>
      </w:r>
      <w:r>
        <w:rPr>
          <w:rFonts w:hint="eastAsia" w:ascii="宋体" w:hAnsi="宋体" w:cs="宋体"/>
          <w:bCs/>
          <w:sz w:val="24"/>
        </w:rPr>
        <w:t>〖Z7002222000087〗</w:t>
      </w:r>
    </w:p>
    <w:p>
      <w:pPr>
        <w:spacing w:line="360" w:lineRule="auto"/>
        <w:jc w:val="center"/>
        <w:rPr>
          <w:rFonts w:ascii="宋体" w:hAnsi="宋体" w:cs="宋体"/>
          <w:bCs/>
          <w:sz w:val="24"/>
        </w:rPr>
      </w:pPr>
    </w:p>
    <w:p>
      <w:pPr>
        <w:numPr>
          <w:ilvl w:val="0"/>
          <w:numId w:val="9"/>
        </w:numPr>
        <w:spacing w:line="360" w:lineRule="auto"/>
        <w:jc w:val="left"/>
        <w:rPr>
          <w:rFonts w:ascii="宋体" w:hAnsi="宋体" w:cs="宋体"/>
          <w:b/>
          <w:sz w:val="24"/>
        </w:rPr>
      </w:pPr>
      <w:r>
        <w:rPr>
          <w:rFonts w:hint="eastAsia" w:ascii="宋体" w:hAnsi="宋体" w:cs="宋体"/>
          <w:b/>
          <w:sz w:val="24"/>
        </w:rPr>
        <w:t>重要须知</w:t>
      </w:r>
    </w:p>
    <w:p>
      <w:pPr>
        <w:numPr>
          <w:ilvl w:val="0"/>
          <w:numId w:val="10"/>
        </w:numPr>
        <w:spacing w:line="360" w:lineRule="auto"/>
        <w:jc w:val="left"/>
        <w:rPr>
          <w:rFonts w:ascii="宋体" w:hAnsi="宋体" w:cs="宋体"/>
          <w:bCs/>
          <w:sz w:val="24"/>
        </w:rPr>
      </w:pPr>
      <w:r>
        <w:rPr>
          <w:rFonts w:hint="eastAsia" w:ascii="宋体" w:hAnsi="宋体" w:cs="宋体"/>
          <w:bCs/>
          <w:sz w:val="24"/>
        </w:rPr>
        <w:t>本理财计划不等同于银行存款、预期收益型理财产品或其他产品。</w:t>
      </w:r>
    </w:p>
    <w:p>
      <w:pPr>
        <w:numPr>
          <w:ilvl w:val="0"/>
          <w:numId w:val="10"/>
        </w:numPr>
        <w:spacing w:line="360" w:lineRule="auto"/>
        <w:jc w:val="left"/>
        <w:rPr>
          <w:rFonts w:ascii="宋体" w:hAnsi="宋体" w:cs="宋体"/>
          <w:bCs/>
          <w:sz w:val="24"/>
        </w:rPr>
      </w:pPr>
      <w:r>
        <w:rPr>
          <w:rFonts w:hint="eastAsia" w:ascii="宋体" w:hAnsi="宋体" w:cs="宋体"/>
          <w:bCs/>
          <w:sz w:val="24"/>
        </w:rPr>
        <w:t>本理财计划仅向依据中华人民共和国有关法律法规及本理财计划产品说明书规定可以购买本理财计划的投资者发售。</w:t>
      </w:r>
    </w:p>
    <w:p>
      <w:pPr>
        <w:numPr>
          <w:ilvl w:val="0"/>
          <w:numId w:val="10"/>
        </w:numPr>
        <w:spacing w:line="360" w:lineRule="auto"/>
        <w:jc w:val="left"/>
        <w:rPr>
          <w:rFonts w:ascii="宋体" w:hAnsi="宋体" w:cs="宋体"/>
          <w:bCs/>
          <w:sz w:val="24"/>
        </w:rPr>
      </w:pPr>
      <w:r>
        <w:rPr>
          <w:rFonts w:hint="eastAsia" w:ascii="宋体" w:hAnsi="宋体" w:cs="宋体"/>
          <w:bCs/>
          <w:sz w:val="24"/>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jc w:val="left"/>
        <w:rPr>
          <w:rFonts w:ascii="宋体" w:hAnsi="宋体" w:cs="宋体"/>
          <w:bCs/>
          <w:sz w:val="24"/>
        </w:rPr>
      </w:pPr>
      <w:r>
        <w:rPr>
          <w:rFonts w:hint="eastAsia" w:ascii="宋体" w:hAnsi="宋体" w:cs="宋体"/>
          <w:b/>
          <w:sz w:val="24"/>
        </w:rPr>
        <w:t>本理财计划是非保本净值型产品。管理人对本理财计划的本金和收益不提供保证承诺。</w:t>
      </w:r>
      <w:r>
        <w:rPr>
          <w:rFonts w:hint="eastAsia" w:ascii="宋体" w:hAnsi="宋体" w:cs="宋体"/>
          <w:bCs/>
          <w:sz w:val="24"/>
        </w:rPr>
        <w:t>本理财计划主要风险为理财本金及收益风险，在极端市场情况下，投资者将损失本金，请投资者基于自身的独立判断进行投资决策。</w:t>
      </w:r>
    </w:p>
    <w:p>
      <w:pPr>
        <w:numPr>
          <w:ilvl w:val="0"/>
          <w:numId w:val="10"/>
        </w:numPr>
        <w:spacing w:line="360" w:lineRule="auto"/>
        <w:jc w:val="left"/>
        <w:rPr>
          <w:rFonts w:ascii="宋体" w:hAnsi="宋体" w:cs="宋体"/>
          <w:bCs/>
          <w:sz w:val="24"/>
        </w:rPr>
      </w:pPr>
      <w:r>
        <w:rPr>
          <w:rFonts w:hint="eastAsia" w:ascii="宋体" w:hAnsi="宋体" w:cs="宋体"/>
          <w:bCs/>
          <w:sz w:val="24"/>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lang w:val="en-US" w:eastAsia="zh-CN"/>
        </w:rPr>
        <w:t>理财计划</w:t>
      </w:r>
      <w:r>
        <w:rPr>
          <w:rFonts w:hint="eastAsia" w:ascii="宋体" w:hAnsi="宋体" w:cs="宋体"/>
          <w:bCs/>
          <w:sz w:val="24"/>
        </w:rPr>
        <w:t>风险揭示书》《投资者权益须知》《理财计划投资协议书》《理财计划销售协议书》，将共同构成投资者与管理人之间的理财计划交易合同。</w:t>
      </w:r>
    </w:p>
    <w:p>
      <w:pPr>
        <w:numPr>
          <w:ilvl w:val="0"/>
          <w:numId w:val="10"/>
        </w:numPr>
        <w:spacing w:line="360" w:lineRule="auto"/>
        <w:jc w:val="left"/>
        <w:rPr>
          <w:rFonts w:ascii="宋体" w:hAnsi="宋体" w:cs="宋体"/>
          <w:bCs/>
          <w:sz w:val="24"/>
        </w:rPr>
      </w:pPr>
      <w:r>
        <w:rPr>
          <w:rFonts w:hint="eastAsia" w:ascii="宋体" w:hAnsi="宋体" w:cs="宋体"/>
          <w:bCs/>
          <w:sz w:val="24"/>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jc w:val="left"/>
        <w:rPr>
          <w:rFonts w:ascii="宋体" w:hAnsi="宋体" w:cs="宋体"/>
          <w:bCs/>
          <w:sz w:val="24"/>
        </w:rPr>
      </w:pPr>
      <w:r>
        <w:rPr>
          <w:rFonts w:hint="eastAsia" w:ascii="宋体" w:hAnsi="宋体" w:cs="宋体"/>
          <w:bCs/>
          <w:sz w:val="24"/>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jc w:val="left"/>
        <w:rPr>
          <w:rFonts w:ascii="宋体" w:hAnsi="宋体" w:cs="宋体"/>
          <w:bCs/>
          <w:sz w:val="24"/>
        </w:rPr>
      </w:pPr>
      <w:r>
        <w:rPr>
          <w:rFonts w:hint="eastAsia" w:ascii="宋体" w:hAnsi="宋体" w:cs="宋体"/>
          <w:bCs/>
          <w:sz w:val="24"/>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jc w:val="left"/>
        <w:rPr>
          <w:rFonts w:ascii="宋体" w:hAnsi="宋体" w:cs="宋体"/>
          <w:bCs/>
          <w:sz w:val="24"/>
        </w:rPr>
      </w:pPr>
      <w:r>
        <w:rPr>
          <w:rFonts w:hint="eastAsia" w:ascii="宋体" w:hAnsi="宋体" w:cs="宋体"/>
          <w:bCs/>
          <w:sz w:val="24"/>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jc w:val="left"/>
        <w:rPr>
          <w:rFonts w:ascii="宋体" w:hAnsi="宋体" w:cs="宋体"/>
          <w:bCs/>
          <w:sz w:val="24"/>
        </w:rPr>
      </w:pPr>
      <w:r>
        <w:rPr>
          <w:rFonts w:hint="eastAsia" w:ascii="宋体" w:hAnsi="宋体" w:cs="宋体"/>
          <w:bCs/>
          <w:sz w:val="24"/>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jc w:val="left"/>
        <w:rPr>
          <w:rFonts w:ascii="宋体" w:hAnsi="宋体" w:cs="宋体"/>
          <w:bCs/>
          <w:sz w:val="24"/>
        </w:rPr>
      </w:pPr>
      <w:r>
        <w:rPr>
          <w:rFonts w:hint="eastAsia" w:ascii="宋体" w:hAnsi="宋体" w:cs="宋体"/>
          <w:bCs/>
          <w:sz w:val="24"/>
        </w:rPr>
        <w:t>在本理财计划存续期内，如因监管政策或法律法规发生变化，在不损害投资者利益的前提下，管理人有权单方对本理财计划说明书条款进行修订。</w:t>
      </w:r>
    </w:p>
    <w:p>
      <w:pPr>
        <w:numPr>
          <w:ilvl w:val="0"/>
          <w:numId w:val="10"/>
        </w:numPr>
        <w:spacing w:line="360" w:lineRule="auto"/>
        <w:jc w:val="left"/>
        <w:rPr>
          <w:rFonts w:ascii="宋体" w:hAnsi="宋体" w:cs="宋体"/>
          <w:bCs/>
          <w:sz w:val="24"/>
        </w:rPr>
      </w:pPr>
      <w:r>
        <w:rPr>
          <w:rFonts w:hint="eastAsia" w:ascii="宋体" w:hAnsi="宋体" w:cs="宋体"/>
          <w:bCs/>
          <w:sz w:val="24"/>
        </w:rPr>
        <w:t>管理人承诺以诚实守信、勤勉尽职的原则，根据本理财计划说明书所载要求管理和运用理财计划资产。</w:t>
      </w:r>
    </w:p>
    <w:p>
      <w:pPr>
        <w:numPr>
          <w:ilvl w:val="0"/>
          <w:numId w:val="10"/>
        </w:numPr>
        <w:spacing w:line="360" w:lineRule="auto"/>
        <w:jc w:val="left"/>
        <w:rPr>
          <w:rFonts w:ascii="宋体" w:hAnsi="宋体" w:cs="宋体"/>
          <w:bCs/>
          <w:sz w:val="24"/>
        </w:rPr>
      </w:pPr>
      <w:r>
        <w:rPr>
          <w:rFonts w:hint="eastAsia" w:ascii="宋体" w:hAnsi="宋体" w:cs="宋体"/>
          <w:bCs/>
          <w:sz w:val="24"/>
        </w:rPr>
        <w:t>管理人有权依法对本理财计划产品说明书进行解释。</w:t>
      </w:r>
    </w:p>
    <w:p>
      <w:pPr>
        <w:spacing w:line="360" w:lineRule="auto"/>
        <w:jc w:val="left"/>
        <w:rPr>
          <w:rFonts w:ascii="宋体" w:hAnsi="宋体" w:cs="宋体"/>
          <w:bCs/>
          <w:sz w:val="24"/>
        </w:rPr>
      </w:pPr>
    </w:p>
    <w:p>
      <w:pPr>
        <w:numPr>
          <w:ilvl w:val="0"/>
          <w:numId w:val="11"/>
        </w:numPr>
        <w:spacing w:line="360" w:lineRule="auto"/>
        <w:jc w:val="left"/>
        <w:rPr>
          <w:rFonts w:ascii="宋体" w:hAnsi="宋体" w:cs="宋体"/>
          <w:b/>
          <w:sz w:val="24"/>
        </w:rPr>
      </w:pPr>
      <w:r>
        <w:rPr>
          <w:rFonts w:hint="eastAsia" w:ascii="宋体" w:hAnsi="宋体" w:cs="宋体"/>
          <w:b/>
          <w:sz w:val="24"/>
        </w:rPr>
        <w:t>释义</w:t>
      </w:r>
    </w:p>
    <w:p>
      <w:pPr>
        <w:pStyle w:val="15"/>
        <w:adjustRightInd/>
        <w:spacing w:line="360" w:lineRule="auto"/>
        <w:ind w:firstLine="480" w:firstLineChars="200"/>
        <w:rPr>
          <w:rFonts w:ascii="宋体" w:hAnsi="宋体" w:cs="宋体"/>
          <w:bCs/>
          <w:color w:val="auto"/>
          <w:kern w:val="2"/>
        </w:rPr>
      </w:pPr>
      <w:r>
        <w:rPr>
          <w:rFonts w:hint="eastAsia" w:ascii="宋体" w:hAnsi="宋体" w:cs="宋体"/>
          <w:bCs/>
          <w:color w:val="auto"/>
          <w:kern w:val="2"/>
        </w:rPr>
        <w:t>本说明书中，除非另有明确说明，否则下列词语或简称具有如下含义：</w:t>
      </w:r>
    </w:p>
    <w:p>
      <w:pPr>
        <w:pStyle w:val="15"/>
        <w:numPr>
          <w:ilvl w:val="0"/>
          <w:numId w:val="12"/>
        </w:numPr>
        <w:adjustRightInd/>
        <w:spacing w:line="360" w:lineRule="auto"/>
        <w:rPr>
          <w:rFonts w:ascii="宋体" w:hAnsi="宋体" w:cs="宋体"/>
          <w:b/>
          <w:color w:val="auto"/>
          <w:kern w:val="2"/>
        </w:rPr>
      </w:pPr>
      <w:r>
        <w:rPr>
          <w:rFonts w:hint="eastAsia" w:ascii="宋体" w:hAnsi="宋体" w:cs="宋体"/>
          <w:b/>
          <w:color w:val="auto"/>
          <w:kern w:val="2"/>
        </w:rPr>
        <w:t>参与主体用语</w:t>
      </w:r>
    </w:p>
    <w:p>
      <w:pPr>
        <w:pStyle w:val="15"/>
        <w:numPr>
          <w:ilvl w:val="0"/>
          <w:numId w:val="13"/>
        </w:numPr>
        <w:adjustRightInd/>
        <w:spacing w:line="360" w:lineRule="auto"/>
        <w:rPr>
          <w:rFonts w:ascii="宋体" w:hAnsi="宋体" w:cs="宋体"/>
          <w:b/>
          <w:color w:val="auto"/>
          <w:kern w:val="2"/>
        </w:rPr>
      </w:pPr>
      <w:r>
        <w:rPr>
          <w:rFonts w:hint="eastAsia" w:ascii="宋体" w:hAnsi="宋体" w:cs="宋体"/>
          <w:b/>
          <w:color w:val="auto"/>
          <w:kern w:val="2"/>
        </w:rPr>
        <w:t>理财计划管理人/产品管理人/管理人/本公司：</w:t>
      </w:r>
      <w:r>
        <w:rPr>
          <w:rFonts w:hint="eastAsia" w:ascii="宋体" w:hAnsi="宋体" w:cs="宋体"/>
          <w:bCs/>
          <w:color w:val="auto"/>
          <w:kern w:val="2"/>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rPr>
        <w:t>杭银理财有限责任公司简称杭银理财，官网网站为</w:t>
      </w:r>
      <w:r>
        <w:rPr>
          <w:rFonts w:hint="eastAsia" w:ascii="宋体" w:hAnsi="宋体" w:cs="宋体"/>
          <w:bCs/>
          <w:color w:val="auto"/>
          <w:kern w:val="2"/>
          <w:u w:val="single"/>
        </w:rPr>
        <w:t>www.hzbankwealth.com.cn</w:t>
      </w:r>
      <w:r>
        <w:rPr>
          <w:rFonts w:hint="eastAsia" w:ascii="宋体" w:hAnsi="宋体" w:cs="宋体"/>
          <w:bCs/>
          <w:color w:val="auto"/>
          <w:kern w:val="2"/>
        </w:rPr>
        <w:t>。</w:t>
      </w:r>
    </w:p>
    <w:p>
      <w:pPr>
        <w:pStyle w:val="15"/>
        <w:numPr>
          <w:ilvl w:val="0"/>
          <w:numId w:val="13"/>
        </w:numPr>
        <w:adjustRightInd/>
        <w:spacing w:line="360" w:lineRule="auto"/>
        <w:rPr>
          <w:rFonts w:ascii="宋体" w:hAnsi="宋体" w:cs="宋体"/>
          <w:b/>
          <w:color w:val="auto"/>
          <w:kern w:val="2"/>
        </w:rPr>
      </w:pPr>
      <w:r>
        <w:rPr>
          <w:rFonts w:hint="eastAsia" w:ascii="宋体" w:hAnsi="宋体" w:cs="宋体"/>
          <w:b/>
          <w:color w:val="auto"/>
          <w:kern w:val="2"/>
        </w:rPr>
        <w:t>销售机构：</w:t>
      </w:r>
      <w:r>
        <w:rPr>
          <w:rFonts w:hint="eastAsia" w:ascii="宋体" w:hAnsi="宋体" w:cs="宋体"/>
          <w:bCs/>
          <w:color w:val="auto"/>
          <w:kern w:val="2"/>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instrText xml:space="preserve"> HYPERLINK "http://www.hzbank.com.cn" </w:instrText>
      </w:r>
      <w:r>
        <w:fldChar w:fldCharType="separate"/>
      </w:r>
      <w:r>
        <w:rPr>
          <w:rFonts w:hint="eastAsia" w:ascii="宋体" w:hAnsi="宋体" w:cs="宋体"/>
          <w:bCs/>
          <w:color w:val="auto"/>
          <w:kern w:val="2"/>
          <w:u w:val="single"/>
        </w:rPr>
        <w:t>www.hzbank.com.cn</w:t>
      </w:r>
      <w:r>
        <w:rPr>
          <w:rFonts w:hint="eastAsia" w:ascii="宋体" w:hAnsi="宋体" w:cs="宋体"/>
          <w:bCs/>
          <w:color w:val="auto"/>
          <w:kern w:val="2"/>
          <w:u w:val="single"/>
        </w:rPr>
        <w:fldChar w:fldCharType="end"/>
      </w:r>
      <w:r>
        <w:rPr>
          <w:rFonts w:hint="eastAsia" w:ascii="宋体" w:hAnsi="宋体" w:cs="宋体"/>
          <w:bCs/>
          <w:color w:val="auto"/>
          <w:kern w:val="2"/>
        </w:rPr>
        <w:t>，客服热线为95398。</w:t>
      </w:r>
    </w:p>
    <w:p>
      <w:pPr>
        <w:pStyle w:val="15"/>
        <w:numPr>
          <w:ilvl w:val="0"/>
          <w:numId w:val="13"/>
        </w:numPr>
        <w:adjustRightInd/>
        <w:spacing w:line="360" w:lineRule="auto"/>
        <w:rPr>
          <w:rFonts w:ascii="宋体" w:hAnsi="宋体" w:cs="宋体"/>
          <w:b/>
          <w:color w:val="auto"/>
          <w:kern w:val="2"/>
        </w:rPr>
      </w:pPr>
      <w:r>
        <w:rPr>
          <w:rFonts w:hint="eastAsia" w:ascii="宋体" w:hAnsi="宋体" w:cs="宋体"/>
          <w:b/>
          <w:color w:val="auto"/>
          <w:kern w:val="2"/>
        </w:rPr>
        <w:t>理财计划托管人/产品托管人/托管人：</w:t>
      </w:r>
      <w:r>
        <w:rPr>
          <w:rFonts w:hint="eastAsia" w:ascii="宋体" w:hAnsi="宋体" w:cs="宋体"/>
          <w:bCs/>
          <w:color w:val="auto"/>
          <w:kern w:val="2"/>
        </w:rPr>
        <w:t>指</w:t>
      </w:r>
      <w:r>
        <w:rPr>
          <w:rFonts w:hint="eastAsia" w:ascii="宋体" w:hAnsi="宋体" w:cs="宋体"/>
        </w:rPr>
        <w:t>〖</w:t>
      </w:r>
      <w:r>
        <w:rPr>
          <w:rFonts w:hint="eastAsia" w:ascii="宋体" w:hAnsi="宋体" w:cs="宋体"/>
          <w:bCs/>
          <w:color w:val="auto"/>
          <w:kern w:val="2"/>
        </w:rPr>
        <w:t>杭州银行股份有限公司</w:t>
      </w:r>
      <w:r>
        <w:rPr>
          <w:rFonts w:hint="eastAsia" w:ascii="宋体" w:hAnsi="宋体" w:cs="宋体"/>
        </w:rPr>
        <w:t>〗</w:t>
      </w:r>
      <w:r>
        <w:rPr>
          <w:rFonts w:hint="eastAsia" w:ascii="宋体" w:hAnsi="宋体" w:cs="宋体"/>
          <w:bCs/>
          <w:color w:val="auto"/>
          <w:kern w:val="2"/>
        </w:rPr>
        <w:t>。</w:t>
      </w:r>
    </w:p>
    <w:p>
      <w:pPr>
        <w:pStyle w:val="15"/>
        <w:numPr>
          <w:ilvl w:val="0"/>
          <w:numId w:val="13"/>
        </w:numPr>
        <w:adjustRightInd/>
        <w:spacing w:line="360" w:lineRule="auto"/>
        <w:rPr>
          <w:rFonts w:ascii="宋体" w:hAnsi="宋体" w:cs="宋体"/>
          <w:b/>
          <w:color w:val="auto"/>
          <w:kern w:val="2"/>
        </w:rPr>
      </w:pPr>
      <w:r>
        <w:rPr>
          <w:rFonts w:hint="eastAsia" w:ascii="宋体" w:hAnsi="宋体" w:cs="宋体"/>
          <w:b/>
          <w:color w:val="auto"/>
          <w:kern w:val="2"/>
        </w:rPr>
        <w:t>认购人：</w:t>
      </w:r>
      <w:r>
        <w:rPr>
          <w:rFonts w:hint="eastAsia" w:ascii="宋体" w:hAnsi="宋体" w:cs="宋体"/>
          <w:bCs/>
          <w:color w:val="auto"/>
          <w:kern w:val="2"/>
        </w:rPr>
        <w:t>指在理财计划认购期间签署理财计划合同并向理财计划管理人交付认购资金的个人、机构投资者。</w:t>
      </w:r>
    </w:p>
    <w:p>
      <w:pPr>
        <w:pStyle w:val="15"/>
        <w:numPr>
          <w:ilvl w:val="0"/>
          <w:numId w:val="13"/>
        </w:numPr>
        <w:adjustRightInd/>
        <w:spacing w:line="360" w:lineRule="auto"/>
        <w:rPr>
          <w:rFonts w:ascii="宋体" w:hAnsi="宋体" w:cs="宋体"/>
          <w:b/>
          <w:color w:val="auto"/>
          <w:kern w:val="2"/>
        </w:rPr>
      </w:pPr>
      <w:r>
        <w:rPr>
          <w:rFonts w:hint="eastAsia" w:ascii="宋体" w:hAnsi="宋体" w:cs="宋体"/>
          <w:b/>
          <w:color w:val="auto"/>
          <w:kern w:val="2"/>
        </w:rPr>
        <w:t>理财计划份额持有人/持有人：</w:t>
      </w:r>
      <w:r>
        <w:rPr>
          <w:rFonts w:hint="eastAsia" w:ascii="宋体" w:hAnsi="宋体" w:cs="宋体"/>
          <w:bCs/>
          <w:color w:val="auto"/>
          <w:kern w:val="2"/>
        </w:rPr>
        <w:t>指认购/申购申请后，经过管理人确认成功后，从而持有理财计划份额的投资者。</w:t>
      </w:r>
    </w:p>
    <w:p>
      <w:pPr>
        <w:pStyle w:val="15"/>
        <w:numPr>
          <w:ilvl w:val="0"/>
          <w:numId w:val="13"/>
        </w:numPr>
        <w:adjustRightInd/>
        <w:spacing w:line="360" w:lineRule="auto"/>
        <w:rPr>
          <w:rFonts w:ascii="宋体" w:hAnsi="宋体" w:cs="宋体"/>
          <w:b/>
          <w:color w:val="auto"/>
          <w:kern w:val="2"/>
        </w:rPr>
      </w:pPr>
      <w:r>
        <w:rPr>
          <w:rFonts w:hint="eastAsia" w:ascii="宋体" w:hAnsi="宋体" w:cs="宋体"/>
          <w:b/>
          <w:color w:val="auto"/>
          <w:kern w:val="2"/>
        </w:rPr>
        <w:t>监管机构：</w:t>
      </w:r>
      <w:r>
        <w:rPr>
          <w:rFonts w:hint="eastAsia" w:ascii="宋体" w:hAnsi="宋体" w:cs="宋体"/>
          <w:bCs/>
          <w:color w:val="auto"/>
          <w:kern w:val="2"/>
        </w:rPr>
        <w:t>指对管理人（包括本理财计划管理人、所投资的的信托计划/资管计划的管理人/受托人、相关投资顾问等）实施监督管理的机构，包括但不限于中国人民银行、银保监会、中国证券监督管理委员会、外汇管理局、银行业理财登记托管中心等。</w:t>
      </w:r>
    </w:p>
    <w:p>
      <w:pPr>
        <w:pStyle w:val="15"/>
        <w:numPr>
          <w:ilvl w:val="0"/>
          <w:numId w:val="12"/>
        </w:numPr>
        <w:adjustRightInd/>
        <w:spacing w:line="360" w:lineRule="auto"/>
        <w:rPr>
          <w:rFonts w:ascii="宋体" w:hAnsi="宋体" w:cs="宋体"/>
          <w:b/>
          <w:color w:val="auto"/>
          <w:kern w:val="2"/>
        </w:rPr>
      </w:pPr>
      <w:r>
        <w:rPr>
          <w:rFonts w:hint="eastAsia" w:ascii="宋体" w:hAnsi="宋体" w:cs="宋体"/>
          <w:b/>
          <w:color w:val="auto"/>
          <w:kern w:val="2"/>
        </w:rPr>
        <w:t>法律文件用语</w:t>
      </w:r>
    </w:p>
    <w:p>
      <w:pPr>
        <w:pStyle w:val="15"/>
        <w:numPr>
          <w:ilvl w:val="0"/>
          <w:numId w:val="14"/>
        </w:numPr>
        <w:adjustRightInd/>
        <w:spacing w:line="360" w:lineRule="auto"/>
        <w:rPr>
          <w:rFonts w:ascii="宋体" w:hAnsi="宋体" w:cs="宋体"/>
          <w:b/>
          <w:color w:val="auto"/>
          <w:kern w:val="2"/>
        </w:rPr>
      </w:pPr>
      <w:r>
        <w:rPr>
          <w:rFonts w:hint="eastAsia" w:ascii="宋体" w:hAnsi="宋体" w:cs="宋体"/>
          <w:b/>
          <w:color w:val="auto"/>
          <w:kern w:val="2"/>
        </w:rPr>
        <w:t>理财计划说明书/产品说明书：</w:t>
      </w:r>
      <w:r>
        <w:rPr>
          <w:rFonts w:hint="eastAsia" w:ascii="宋体" w:hAnsi="宋体" w:cs="宋体"/>
          <w:bCs/>
          <w:color w:val="auto"/>
          <w:kern w:val="2"/>
        </w:rPr>
        <w:t>指《杭银理财幸福99天添益（</w:t>
      </w:r>
      <w:r>
        <w:rPr>
          <w:rFonts w:hint="eastAsia" w:ascii="宋体" w:hAnsi="宋体" w:cs="宋体"/>
          <w:bCs/>
          <w:color w:val="auto"/>
          <w:kern w:val="2"/>
          <w:lang w:eastAsia="zh-CN"/>
        </w:rPr>
        <w:t>安享优选</w:t>
      </w:r>
      <w:r>
        <w:rPr>
          <w:rFonts w:hint="eastAsia" w:ascii="宋体" w:hAnsi="宋体" w:cs="宋体"/>
          <w:bCs/>
          <w:color w:val="auto"/>
          <w:kern w:val="2"/>
        </w:rPr>
        <w:t>）</w:t>
      </w:r>
      <w:r>
        <w:rPr>
          <w:rFonts w:hint="eastAsia" w:ascii="宋体" w:hAnsi="宋体" w:cs="宋体"/>
          <w:bCs/>
          <w:color w:val="auto"/>
          <w:kern w:val="2"/>
          <w:lang w:val="en-US" w:eastAsia="zh-CN"/>
        </w:rPr>
        <w:t>1</w:t>
      </w:r>
      <w:r>
        <w:rPr>
          <w:rFonts w:hint="eastAsia" w:ascii="宋体" w:hAnsi="宋体" w:cs="宋体"/>
          <w:bCs/>
          <w:color w:val="auto"/>
          <w:kern w:val="2"/>
        </w:rPr>
        <w:t>期理财</w:t>
      </w:r>
      <w:r>
        <w:rPr>
          <w:rFonts w:hint="eastAsia" w:ascii="宋体" w:hAnsi="宋体" w:cs="宋体"/>
          <w:bCs/>
        </w:rPr>
        <w:t>产品说明书</w:t>
      </w:r>
      <w:r>
        <w:rPr>
          <w:rFonts w:hint="eastAsia" w:ascii="宋体" w:hAnsi="宋体" w:cs="宋体"/>
          <w:bCs/>
          <w:color w:val="auto"/>
          <w:kern w:val="2"/>
        </w:rPr>
        <w:t>》，以及对该文件的有效修改与补充。</w:t>
      </w:r>
    </w:p>
    <w:p>
      <w:pPr>
        <w:pStyle w:val="15"/>
        <w:numPr>
          <w:ilvl w:val="0"/>
          <w:numId w:val="14"/>
        </w:numPr>
        <w:adjustRightInd/>
        <w:spacing w:line="360" w:lineRule="auto"/>
        <w:rPr>
          <w:rFonts w:ascii="宋体" w:hAnsi="宋体" w:cs="宋体"/>
          <w:b/>
          <w:color w:val="auto"/>
          <w:kern w:val="2"/>
        </w:rPr>
      </w:pPr>
      <w:r>
        <w:rPr>
          <w:rFonts w:hint="eastAsia" w:ascii="宋体" w:hAnsi="宋体" w:cs="宋体"/>
          <w:b/>
          <w:color w:val="auto"/>
          <w:kern w:val="2"/>
        </w:rPr>
        <w:t>风险揭示书：</w:t>
      </w:r>
      <w:r>
        <w:rPr>
          <w:rFonts w:hint="eastAsia" w:ascii="宋体" w:hAnsi="宋体" w:cs="宋体"/>
          <w:bCs/>
          <w:color w:val="auto"/>
          <w:kern w:val="2"/>
        </w:rPr>
        <w:t>指作为杭银理财幸福99天添益（</w:t>
      </w:r>
      <w:r>
        <w:rPr>
          <w:rFonts w:hint="eastAsia" w:ascii="宋体" w:hAnsi="宋体" w:cs="宋体"/>
          <w:bCs/>
          <w:color w:val="auto"/>
          <w:kern w:val="2"/>
          <w:lang w:eastAsia="zh-CN"/>
        </w:rPr>
        <w:t>安享优选</w:t>
      </w:r>
      <w:r>
        <w:rPr>
          <w:rFonts w:hint="eastAsia" w:ascii="宋体" w:hAnsi="宋体" w:cs="宋体"/>
          <w:bCs/>
          <w:color w:val="auto"/>
          <w:kern w:val="2"/>
        </w:rPr>
        <w:t>）</w:t>
      </w:r>
      <w:r>
        <w:rPr>
          <w:rFonts w:hint="eastAsia" w:ascii="宋体" w:hAnsi="宋体" w:cs="宋体"/>
          <w:bCs/>
          <w:color w:val="auto"/>
          <w:kern w:val="2"/>
          <w:lang w:val="en-US" w:eastAsia="zh-CN"/>
        </w:rPr>
        <w:t>1</w:t>
      </w:r>
      <w:r>
        <w:rPr>
          <w:rFonts w:hint="eastAsia" w:ascii="宋体" w:hAnsi="宋体" w:cs="宋体"/>
          <w:bCs/>
          <w:color w:val="auto"/>
          <w:kern w:val="2"/>
        </w:rPr>
        <w:t>期</w:t>
      </w:r>
      <w:r>
        <w:rPr>
          <w:rFonts w:hint="eastAsia" w:ascii="宋体" w:hAnsi="宋体" w:cs="宋体"/>
          <w:bCs/>
          <w:color w:val="auto"/>
          <w:kern w:val="2"/>
          <w:lang w:eastAsia="zh-CN"/>
        </w:rPr>
        <w:t>理财合同</w:t>
      </w:r>
      <w:r>
        <w:rPr>
          <w:rFonts w:hint="eastAsia" w:ascii="宋体" w:hAnsi="宋体" w:cs="宋体"/>
          <w:bCs/>
        </w:rPr>
        <w:t>不可分割组成部分的风险揭示书，</w:t>
      </w:r>
      <w:r>
        <w:rPr>
          <w:rFonts w:hint="eastAsia" w:ascii="宋体" w:hAnsi="宋体" w:cs="宋体"/>
          <w:bCs/>
          <w:color w:val="auto"/>
          <w:kern w:val="2"/>
        </w:rPr>
        <w:t>以及对该文件的有效修改与补充。</w:t>
      </w:r>
    </w:p>
    <w:p>
      <w:pPr>
        <w:pStyle w:val="15"/>
        <w:numPr>
          <w:ilvl w:val="0"/>
          <w:numId w:val="14"/>
        </w:numPr>
        <w:adjustRightInd/>
        <w:spacing w:line="360" w:lineRule="auto"/>
        <w:rPr>
          <w:rFonts w:ascii="宋体" w:hAnsi="宋体" w:cs="宋体"/>
          <w:b/>
          <w:color w:val="auto"/>
          <w:kern w:val="2"/>
        </w:rPr>
      </w:pPr>
      <w:r>
        <w:rPr>
          <w:rFonts w:hint="eastAsia" w:ascii="宋体" w:hAnsi="宋体" w:cs="宋体"/>
          <w:b/>
          <w:color w:val="auto"/>
          <w:kern w:val="2"/>
        </w:rPr>
        <w:t>投资者权益须知：</w:t>
      </w:r>
      <w:r>
        <w:rPr>
          <w:rFonts w:hint="eastAsia" w:ascii="宋体" w:hAnsi="宋体" w:cs="宋体"/>
          <w:bCs/>
          <w:color w:val="auto"/>
          <w:kern w:val="2"/>
        </w:rPr>
        <w:t>指作为杭银理财99天添益（</w:t>
      </w:r>
      <w:r>
        <w:rPr>
          <w:rFonts w:hint="eastAsia" w:ascii="宋体" w:hAnsi="宋体" w:cs="宋体"/>
          <w:bCs/>
          <w:color w:val="auto"/>
          <w:kern w:val="2"/>
          <w:lang w:eastAsia="zh-CN"/>
        </w:rPr>
        <w:t>安享优选</w:t>
      </w:r>
      <w:r>
        <w:rPr>
          <w:rFonts w:hint="eastAsia" w:ascii="宋体" w:hAnsi="宋体" w:cs="宋体"/>
          <w:bCs/>
          <w:color w:val="auto"/>
          <w:kern w:val="2"/>
        </w:rPr>
        <w:t>）</w:t>
      </w:r>
      <w:r>
        <w:rPr>
          <w:rFonts w:hint="eastAsia" w:ascii="宋体" w:hAnsi="宋体" w:cs="宋体"/>
          <w:bCs/>
          <w:color w:val="auto"/>
          <w:kern w:val="2"/>
          <w:lang w:val="en-US" w:eastAsia="zh-CN"/>
        </w:rPr>
        <w:t>1</w:t>
      </w:r>
      <w:r>
        <w:rPr>
          <w:rFonts w:hint="eastAsia" w:ascii="宋体" w:hAnsi="宋体" w:cs="宋体"/>
          <w:bCs/>
          <w:color w:val="auto"/>
          <w:kern w:val="2"/>
        </w:rPr>
        <w:t>期</w:t>
      </w:r>
      <w:r>
        <w:rPr>
          <w:rFonts w:hint="eastAsia" w:ascii="宋体" w:hAnsi="宋体" w:cs="宋体"/>
          <w:bCs/>
          <w:lang w:eastAsia="zh-CN"/>
        </w:rPr>
        <w:t>理财合同</w:t>
      </w:r>
      <w:r>
        <w:rPr>
          <w:rFonts w:hint="eastAsia" w:ascii="宋体" w:hAnsi="宋体" w:cs="宋体"/>
          <w:bCs/>
        </w:rPr>
        <w:t>不可分割组成部分的投资者权益须知，</w:t>
      </w:r>
      <w:r>
        <w:rPr>
          <w:rFonts w:hint="eastAsia" w:ascii="宋体" w:hAnsi="宋体" w:cs="宋体"/>
          <w:bCs/>
          <w:color w:val="auto"/>
          <w:kern w:val="2"/>
        </w:rPr>
        <w:t>以及对该文件的有效修改与补充。</w:t>
      </w:r>
    </w:p>
    <w:p>
      <w:pPr>
        <w:pStyle w:val="15"/>
        <w:numPr>
          <w:ilvl w:val="0"/>
          <w:numId w:val="14"/>
        </w:numPr>
        <w:adjustRightInd/>
        <w:spacing w:line="360" w:lineRule="auto"/>
        <w:rPr>
          <w:rFonts w:ascii="宋体" w:hAnsi="宋体" w:cs="宋体"/>
          <w:b/>
          <w:color w:val="auto"/>
          <w:kern w:val="2"/>
        </w:rPr>
      </w:pPr>
      <w:r>
        <w:rPr>
          <w:rFonts w:hint="eastAsia" w:ascii="宋体" w:hAnsi="宋体" w:cs="宋体"/>
          <w:b/>
          <w:color w:val="auto"/>
          <w:kern w:val="2"/>
        </w:rPr>
        <w:t>理财计划投资协议书：</w:t>
      </w:r>
      <w:r>
        <w:rPr>
          <w:rFonts w:hint="eastAsia" w:ascii="宋体" w:hAnsi="宋体" w:cs="宋体"/>
          <w:bCs/>
          <w:color w:val="auto"/>
          <w:kern w:val="2"/>
        </w:rPr>
        <w:t>指作为杭银理财幸福99天添益（</w:t>
      </w:r>
      <w:r>
        <w:rPr>
          <w:rFonts w:hint="eastAsia" w:ascii="宋体" w:hAnsi="宋体" w:cs="宋体"/>
          <w:bCs/>
          <w:color w:val="auto"/>
          <w:kern w:val="2"/>
          <w:lang w:eastAsia="zh-CN"/>
        </w:rPr>
        <w:t>安享优选</w:t>
      </w:r>
      <w:r>
        <w:rPr>
          <w:rFonts w:hint="eastAsia" w:ascii="宋体" w:hAnsi="宋体" w:cs="宋体"/>
          <w:bCs/>
          <w:color w:val="auto"/>
          <w:kern w:val="2"/>
        </w:rPr>
        <w:t>）</w:t>
      </w:r>
      <w:r>
        <w:rPr>
          <w:rFonts w:hint="eastAsia" w:ascii="宋体" w:hAnsi="宋体" w:cs="宋体"/>
          <w:bCs/>
          <w:color w:val="auto"/>
          <w:kern w:val="2"/>
          <w:lang w:val="en-US" w:eastAsia="zh-CN"/>
        </w:rPr>
        <w:t>1</w:t>
      </w:r>
      <w:r>
        <w:rPr>
          <w:rFonts w:hint="eastAsia" w:ascii="宋体" w:hAnsi="宋体" w:cs="宋体"/>
          <w:bCs/>
          <w:color w:val="auto"/>
          <w:kern w:val="2"/>
        </w:rPr>
        <w:t>期</w:t>
      </w:r>
      <w:r>
        <w:rPr>
          <w:rFonts w:hint="eastAsia" w:ascii="宋体" w:hAnsi="宋体" w:cs="宋体"/>
          <w:bCs/>
          <w:color w:val="auto"/>
          <w:kern w:val="2"/>
          <w:lang w:eastAsia="zh-CN"/>
        </w:rPr>
        <w:t>理财合同</w:t>
      </w:r>
      <w:r>
        <w:rPr>
          <w:rFonts w:hint="eastAsia" w:ascii="宋体" w:hAnsi="宋体" w:cs="宋体"/>
          <w:bCs/>
        </w:rPr>
        <w:t>不可分割组成部分的理财计划投资协议书，</w:t>
      </w:r>
      <w:r>
        <w:rPr>
          <w:rFonts w:hint="eastAsia" w:ascii="宋体" w:hAnsi="宋体" w:cs="宋体"/>
          <w:bCs/>
          <w:color w:val="auto"/>
          <w:kern w:val="2"/>
        </w:rPr>
        <w:t>以及对该文件的有效修改与补充。</w:t>
      </w:r>
    </w:p>
    <w:p>
      <w:pPr>
        <w:pStyle w:val="15"/>
        <w:numPr>
          <w:ilvl w:val="0"/>
          <w:numId w:val="14"/>
        </w:numPr>
        <w:adjustRightInd/>
        <w:spacing w:line="360" w:lineRule="auto"/>
        <w:rPr>
          <w:rFonts w:ascii="宋体" w:hAnsi="宋体" w:cs="宋体"/>
          <w:b/>
          <w:color w:val="auto"/>
          <w:kern w:val="2"/>
        </w:rPr>
      </w:pPr>
      <w:r>
        <w:rPr>
          <w:rFonts w:hint="eastAsia" w:ascii="宋体" w:hAnsi="宋体" w:cs="宋体"/>
          <w:b/>
          <w:color w:val="auto"/>
          <w:kern w:val="2"/>
        </w:rPr>
        <w:t>理财计划销售协议书：</w:t>
      </w:r>
      <w:r>
        <w:rPr>
          <w:rFonts w:hint="eastAsia" w:ascii="宋体" w:hAnsi="宋体" w:cs="宋体"/>
          <w:bCs/>
          <w:color w:val="auto"/>
          <w:kern w:val="2"/>
        </w:rPr>
        <w:t>指作为杭银理财99天添益（</w:t>
      </w:r>
      <w:r>
        <w:rPr>
          <w:rFonts w:hint="eastAsia" w:ascii="宋体" w:hAnsi="宋体" w:cs="宋体"/>
          <w:bCs/>
          <w:color w:val="auto"/>
          <w:kern w:val="2"/>
          <w:lang w:eastAsia="zh-CN"/>
        </w:rPr>
        <w:t>安享优选</w:t>
      </w:r>
      <w:r>
        <w:rPr>
          <w:rFonts w:hint="eastAsia" w:ascii="宋体" w:hAnsi="宋体" w:cs="宋体"/>
          <w:bCs/>
          <w:color w:val="auto"/>
          <w:kern w:val="2"/>
        </w:rPr>
        <w:t>）</w:t>
      </w:r>
      <w:r>
        <w:rPr>
          <w:rFonts w:hint="eastAsia" w:ascii="宋体" w:hAnsi="宋体" w:cs="宋体"/>
          <w:bCs/>
          <w:color w:val="auto"/>
          <w:kern w:val="2"/>
          <w:lang w:val="en-US" w:eastAsia="zh-CN"/>
        </w:rPr>
        <w:t>1</w:t>
      </w:r>
      <w:r>
        <w:rPr>
          <w:rFonts w:hint="eastAsia" w:ascii="宋体" w:hAnsi="宋体" w:cs="宋体"/>
          <w:bCs/>
          <w:color w:val="auto"/>
          <w:kern w:val="2"/>
        </w:rPr>
        <w:t>期</w:t>
      </w:r>
      <w:r>
        <w:rPr>
          <w:rFonts w:hint="eastAsia" w:ascii="宋体" w:hAnsi="宋体" w:cs="宋体"/>
          <w:bCs/>
          <w:color w:val="auto"/>
          <w:kern w:val="2"/>
          <w:lang w:eastAsia="zh-CN"/>
        </w:rPr>
        <w:t>理财合同</w:t>
      </w:r>
      <w:r>
        <w:rPr>
          <w:rFonts w:hint="eastAsia" w:ascii="宋体" w:hAnsi="宋体" w:cs="宋体"/>
          <w:bCs/>
          <w:color w:val="auto"/>
          <w:kern w:val="2"/>
        </w:rPr>
        <w:t>不可分割组成部分的理财计划销售协议书，以及对该文件的有效修改与补充。</w:t>
      </w:r>
    </w:p>
    <w:p>
      <w:pPr>
        <w:pStyle w:val="15"/>
        <w:numPr>
          <w:ilvl w:val="0"/>
          <w:numId w:val="14"/>
        </w:numPr>
        <w:adjustRightInd/>
        <w:spacing w:line="360" w:lineRule="auto"/>
        <w:rPr>
          <w:rFonts w:ascii="宋体" w:hAnsi="宋体" w:cs="宋体"/>
          <w:b/>
          <w:color w:val="auto"/>
          <w:kern w:val="2"/>
        </w:rPr>
      </w:pPr>
      <w:r>
        <w:rPr>
          <w:rFonts w:hint="eastAsia" w:ascii="宋体" w:hAnsi="宋体" w:cs="宋体"/>
          <w:b/>
          <w:color w:val="auto"/>
          <w:kern w:val="2"/>
        </w:rPr>
        <w:t>理财计划合同/销售文件：</w:t>
      </w:r>
      <w:r>
        <w:rPr>
          <w:rFonts w:hint="eastAsia" w:ascii="宋体" w:hAnsi="宋体" w:cs="宋体"/>
          <w:bCs/>
          <w:color w:val="auto"/>
          <w:kern w:val="2"/>
        </w:rPr>
        <w:t>指《理财计划产品说明书》《风险揭示书》《投资者权益须知》《理财计划投资协议书》《理财计划销售协议书》五个部分。</w:t>
      </w:r>
    </w:p>
    <w:p>
      <w:pPr>
        <w:pStyle w:val="15"/>
        <w:numPr>
          <w:ilvl w:val="0"/>
          <w:numId w:val="12"/>
        </w:numPr>
        <w:adjustRightInd/>
        <w:spacing w:line="360" w:lineRule="auto"/>
        <w:rPr>
          <w:rFonts w:ascii="宋体" w:hAnsi="宋体" w:cs="宋体"/>
          <w:b/>
          <w:color w:val="auto"/>
          <w:kern w:val="2"/>
        </w:rPr>
      </w:pPr>
      <w:r>
        <w:rPr>
          <w:rFonts w:hint="eastAsia" w:ascii="宋体" w:hAnsi="宋体" w:cs="宋体"/>
          <w:b/>
          <w:color w:val="auto"/>
          <w:kern w:val="2"/>
        </w:rPr>
        <w:t>理财产品用语</w:t>
      </w:r>
    </w:p>
    <w:p>
      <w:pPr>
        <w:pStyle w:val="15"/>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理财计划/理财产品/产品：</w:t>
      </w:r>
      <w:r>
        <w:rPr>
          <w:rFonts w:hint="eastAsia" w:ascii="宋体" w:hAnsi="宋体" w:cs="宋体"/>
          <w:bCs/>
          <w:color w:val="auto"/>
          <w:kern w:val="2"/>
        </w:rPr>
        <w:t>指杭银理财幸福99天添益（</w:t>
      </w:r>
      <w:r>
        <w:rPr>
          <w:rFonts w:hint="eastAsia" w:ascii="宋体" w:hAnsi="宋体" w:cs="宋体"/>
          <w:bCs/>
          <w:color w:val="auto"/>
          <w:kern w:val="2"/>
          <w:lang w:eastAsia="zh-CN"/>
        </w:rPr>
        <w:t>安享优选</w:t>
      </w:r>
      <w:r>
        <w:rPr>
          <w:rFonts w:hint="eastAsia" w:ascii="宋体" w:hAnsi="宋体" w:cs="宋体"/>
          <w:bCs/>
          <w:color w:val="auto"/>
          <w:kern w:val="2"/>
        </w:rPr>
        <w:t>）</w:t>
      </w:r>
      <w:r>
        <w:rPr>
          <w:rFonts w:hint="eastAsia" w:ascii="宋体" w:hAnsi="宋体" w:cs="宋体"/>
          <w:bCs/>
          <w:color w:val="auto"/>
          <w:kern w:val="2"/>
          <w:lang w:val="en-US" w:eastAsia="zh-CN"/>
        </w:rPr>
        <w:t>1</w:t>
      </w:r>
      <w:r>
        <w:rPr>
          <w:rFonts w:hint="eastAsia" w:ascii="宋体" w:hAnsi="宋体" w:cs="宋体"/>
          <w:bCs/>
          <w:color w:val="auto"/>
          <w:kern w:val="2"/>
        </w:rPr>
        <w:t>期理财</w:t>
      </w:r>
      <w:r>
        <w:rPr>
          <w:rFonts w:hint="eastAsia" w:ascii="宋体" w:hAnsi="宋体" w:cs="宋体"/>
          <w:bCs/>
        </w:rPr>
        <w:t>。</w:t>
      </w:r>
    </w:p>
    <w:p>
      <w:pPr>
        <w:pStyle w:val="15"/>
        <w:numPr>
          <w:ilvl w:val="0"/>
          <w:numId w:val="15"/>
        </w:numPr>
        <w:adjustRightInd/>
        <w:spacing w:line="360" w:lineRule="auto"/>
        <w:rPr>
          <w:rFonts w:ascii="宋体" w:hAnsi="宋体" w:cs="宋体"/>
          <w:b/>
          <w:color w:val="auto"/>
          <w:kern w:val="2"/>
        </w:rPr>
      </w:pPr>
      <w:r>
        <w:rPr>
          <w:rFonts w:hint="eastAsia" w:ascii="宋体" w:hAnsi="宋体" w:cs="宋体"/>
          <w:b/>
        </w:rPr>
        <w:t>理财计划份额/产品份额：</w:t>
      </w:r>
      <w:r>
        <w:rPr>
          <w:rFonts w:hint="eastAsia" w:ascii="宋体" w:hAnsi="宋体" w:cs="宋体"/>
          <w:bCs/>
        </w:rPr>
        <w:t>指管理人根据理财计划合同向投资者发行的资产收益凭证。理财计划份额持有人基于其所持有的理财计划份额享有理财计划相关利益、承担理财计划相关风险。</w:t>
      </w:r>
    </w:p>
    <w:p>
      <w:pPr>
        <w:pStyle w:val="15"/>
        <w:numPr>
          <w:ilvl w:val="0"/>
          <w:numId w:val="15"/>
        </w:numPr>
        <w:adjustRightInd/>
        <w:spacing w:line="360" w:lineRule="auto"/>
        <w:rPr>
          <w:rFonts w:ascii="宋体" w:hAnsi="宋体" w:cs="宋体"/>
          <w:b/>
          <w:color w:val="auto"/>
          <w:kern w:val="2"/>
        </w:rPr>
      </w:pPr>
      <w:r>
        <w:rPr>
          <w:rFonts w:hint="eastAsia" w:ascii="宋体" w:hAnsi="宋体" w:cs="宋体"/>
          <w:b/>
        </w:rPr>
        <w:t>理财计划份额净值/产品份额净值：</w:t>
      </w:r>
      <w:r>
        <w:rPr>
          <w:rFonts w:hint="eastAsia" w:ascii="宋体" w:hAnsi="宋体" w:cs="宋体"/>
          <w:bCs/>
        </w:rPr>
        <w:t>指理财计划份额的单位净值，即每1份理财计划份额以人民币或外币（以产品说明书交易币种为准）计价的价格。</w:t>
      </w:r>
    </w:p>
    <w:p>
      <w:pPr>
        <w:pStyle w:val="15"/>
        <w:numPr>
          <w:ilvl w:val="0"/>
          <w:numId w:val="15"/>
        </w:numPr>
        <w:adjustRightInd/>
        <w:spacing w:line="360" w:lineRule="auto"/>
        <w:rPr>
          <w:rFonts w:ascii="宋体" w:hAnsi="宋体" w:cs="宋体"/>
          <w:b/>
          <w:color w:val="auto"/>
          <w:kern w:val="2"/>
        </w:rPr>
      </w:pPr>
      <w:r>
        <w:rPr>
          <w:rFonts w:hint="eastAsia" w:ascii="宋体" w:hAnsi="宋体" w:cs="宋体"/>
          <w:b/>
        </w:rPr>
        <w:t>理财计划份额累计净值/产品份额累计净值：</w:t>
      </w:r>
      <w:r>
        <w:rPr>
          <w:rFonts w:hint="eastAsia" w:ascii="宋体" w:hAnsi="宋体" w:cs="宋体"/>
          <w:bCs/>
        </w:rPr>
        <w:t>指理财计划份额的单位净值与理财计划成立后历次累计单位收益分配的总和。</w:t>
      </w:r>
    </w:p>
    <w:p>
      <w:pPr>
        <w:pStyle w:val="15"/>
        <w:numPr>
          <w:ilvl w:val="0"/>
          <w:numId w:val="15"/>
        </w:numPr>
        <w:adjustRightInd/>
        <w:spacing w:line="360" w:lineRule="auto"/>
        <w:rPr>
          <w:rFonts w:ascii="宋体" w:hAnsi="宋体" w:cs="宋体"/>
          <w:b/>
        </w:rPr>
      </w:pPr>
      <w:r>
        <w:rPr>
          <w:rFonts w:hint="eastAsia" w:ascii="宋体" w:hAnsi="宋体" w:cs="宋体"/>
          <w:b/>
        </w:rPr>
        <w:t>工作日：</w:t>
      </w:r>
      <w:r>
        <w:rPr>
          <w:rFonts w:hint="eastAsia" w:ascii="宋体" w:hAnsi="宋体" w:cs="宋体"/>
          <w:bCs/>
        </w:rPr>
        <w:t>指除国家法定节假日和休息日外的日期。</w:t>
      </w:r>
    </w:p>
    <w:p>
      <w:pPr>
        <w:pStyle w:val="15"/>
        <w:numPr>
          <w:ilvl w:val="0"/>
          <w:numId w:val="15"/>
        </w:numPr>
        <w:adjustRightInd/>
        <w:spacing w:line="360" w:lineRule="auto"/>
        <w:rPr>
          <w:rFonts w:ascii="宋体" w:hAnsi="宋体" w:cs="宋体"/>
          <w:b/>
        </w:rPr>
      </w:pPr>
      <w:r>
        <w:rPr>
          <w:rFonts w:hint="eastAsia" w:ascii="宋体" w:hAnsi="宋体" w:cs="宋体"/>
          <w:b/>
        </w:rPr>
        <w:t>交易日：</w:t>
      </w:r>
      <w:r>
        <w:rPr>
          <w:rFonts w:hint="eastAsia" w:ascii="宋体" w:hAnsi="宋体" w:cs="宋体"/>
          <w:bCs/>
        </w:rPr>
        <w:t>指上海证券交易所、深圳证券交易所的正常交易日。</w:t>
      </w:r>
    </w:p>
    <w:p>
      <w:pPr>
        <w:pStyle w:val="15"/>
        <w:numPr>
          <w:ilvl w:val="0"/>
          <w:numId w:val="15"/>
        </w:numPr>
        <w:adjustRightInd/>
        <w:spacing w:line="360" w:lineRule="auto"/>
        <w:rPr>
          <w:rFonts w:ascii="宋体" w:hAnsi="宋体" w:cs="宋体"/>
          <w:b/>
          <w:color w:val="auto"/>
          <w:kern w:val="2"/>
        </w:rPr>
      </w:pPr>
      <w:r>
        <w:rPr>
          <w:rFonts w:hint="eastAsia" w:ascii="宋体" w:hAnsi="宋体" w:cs="宋体"/>
          <w:b/>
        </w:rPr>
        <w:t>成立日：</w:t>
      </w:r>
      <w:r>
        <w:rPr>
          <w:rFonts w:hint="eastAsia" w:ascii="宋体" w:hAnsi="宋体" w:cs="宋体"/>
          <w:bCs/>
        </w:rPr>
        <w:t>指理财计划完成首次募集发行后正式成立运作日。</w:t>
      </w:r>
    </w:p>
    <w:p>
      <w:pPr>
        <w:pStyle w:val="15"/>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认购期：</w:t>
      </w:r>
      <w:r>
        <w:rPr>
          <w:rFonts w:hint="eastAsia" w:ascii="宋体" w:hAnsi="宋体" w:cs="宋体"/>
          <w:bCs/>
          <w:color w:val="auto"/>
          <w:kern w:val="2"/>
        </w:rPr>
        <w:t>指理财计划成立前，理财计划管理人接受理财计划认购的时间。</w:t>
      </w:r>
    </w:p>
    <w:p>
      <w:pPr>
        <w:pStyle w:val="15"/>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封闭期：</w:t>
      </w:r>
      <w:r>
        <w:rPr>
          <w:rFonts w:hint="eastAsia" w:ascii="宋体" w:hAnsi="宋体" w:cs="宋体"/>
          <w:bCs/>
          <w:color w:val="auto"/>
          <w:kern w:val="2"/>
        </w:rPr>
        <w:t>指理财计划成立后，理财计划不接受投资者申购赎回的时间。</w:t>
      </w:r>
    </w:p>
    <w:p>
      <w:pPr>
        <w:pStyle w:val="15"/>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建仓期：</w:t>
      </w:r>
      <w:r>
        <w:rPr>
          <w:rFonts w:hint="eastAsia" w:ascii="宋体" w:hAnsi="宋体" w:cs="宋体"/>
          <w:bCs/>
          <w:color w:val="auto"/>
          <w:kern w:val="2"/>
        </w:rPr>
        <w:t>指理财计划成立后，在一定期限内投资比例无法满足本理财计划约定的投资比例要求。</w:t>
      </w:r>
    </w:p>
    <w:p>
      <w:pPr>
        <w:pStyle w:val="15"/>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到期日：</w:t>
      </w:r>
      <w:r>
        <w:rPr>
          <w:rFonts w:hint="eastAsia" w:ascii="宋体" w:hAnsi="宋体" w:cs="宋体"/>
          <w:bCs/>
          <w:color w:val="auto"/>
          <w:kern w:val="2"/>
        </w:rPr>
        <w:t>指理财计划终止运作的日期。</w:t>
      </w:r>
    </w:p>
    <w:p>
      <w:pPr>
        <w:pStyle w:val="15"/>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收益分配基准日：</w:t>
      </w:r>
      <w:r>
        <w:rPr>
          <w:rFonts w:hint="eastAsia" w:ascii="宋体" w:hAnsi="宋体" w:cs="宋体"/>
          <w:bCs/>
          <w:color w:val="auto"/>
          <w:kern w:val="2"/>
        </w:rPr>
        <w:t>指理财计划进行收益分配时用以确认分配收益金额的最终确认日期。</w:t>
      </w:r>
    </w:p>
    <w:p>
      <w:pPr>
        <w:pStyle w:val="15"/>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节假日临时调整：</w:t>
      </w:r>
      <w:r>
        <w:rPr>
          <w:rFonts w:hint="eastAsia" w:ascii="宋体" w:hAnsi="宋体" w:cs="宋体"/>
          <w:bCs/>
          <w:color w:val="auto"/>
          <w:kern w:val="2"/>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5"/>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提前终止权：</w:t>
      </w:r>
      <w:r>
        <w:rPr>
          <w:rFonts w:hint="eastAsia" w:ascii="宋体" w:hAnsi="宋体" w:cs="宋体"/>
          <w:bCs/>
        </w:rPr>
        <w:t>指在本理财计划存续期内，管理人单方面决定全部提前终止本理财计划的权利。</w:t>
      </w:r>
    </w:p>
    <w:p>
      <w:pPr>
        <w:pStyle w:val="15"/>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提前终止日：</w:t>
      </w:r>
      <w:r>
        <w:rPr>
          <w:rFonts w:hint="eastAsia" w:ascii="宋体" w:hAnsi="宋体" w:cs="宋体"/>
          <w:bCs/>
          <w:color w:val="auto"/>
          <w:kern w:val="2"/>
        </w:rPr>
        <w:t>指</w:t>
      </w:r>
      <w:r>
        <w:rPr>
          <w:rFonts w:hint="eastAsia" w:ascii="宋体" w:hAnsi="宋体" w:cs="宋体"/>
          <w:bCs/>
        </w:rPr>
        <w:t>管理人行使提前终止权的日期，即本理财计划被提前终止、开始停止计算收益的日期。</w:t>
      </w:r>
    </w:p>
    <w:p>
      <w:pPr>
        <w:pStyle w:val="15"/>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资金到账日：</w:t>
      </w:r>
      <w:r>
        <w:rPr>
          <w:rFonts w:hint="eastAsia" w:ascii="宋体" w:hAnsi="宋体" w:cs="宋体"/>
          <w:bCs/>
        </w:rPr>
        <w:t>指理财计划终止运作后，资金返还至投资者账户的日期。</w:t>
      </w:r>
    </w:p>
    <w:p>
      <w:pPr>
        <w:pStyle w:val="15"/>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开放日：</w:t>
      </w:r>
      <w:r>
        <w:rPr>
          <w:rFonts w:hint="eastAsia" w:ascii="宋体" w:hAnsi="宋体" w:cs="宋体"/>
          <w:bCs/>
          <w:color w:val="auto"/>
          <w:kern w:val="2"/>
        </w:rPr>
        <w:t>指为投资者办理申购、赎回交易的日期。</w:t>
      </w:r>
    </w:p>
    <w:p>
      <w:pPr>
        <w:pStyle w:val="15"/>
        <w:numPr>
          <w:ilvl w:val="0"/>
          <w:numId w:val="15"/>
        </w:numPr>
        <w:adjustRightInd/>
        <w:spacing w:line="360" w:lineRule="auto"/>
        <w:rPr>
          <w:rFonts w:ascii="宋体" w:hAnsi="宋体" w:cs="宋体"/>
          <w:b/>
          <w:color w:val="auto"/>
          <w:kern w:val="2"/>
        </w:rPr>
      </w:pPr>
      <w:r>
        <w:rPr>
          <w:rFonts w:hint="eastAsia" w:ascii="宋体" w:hAnsi="宋体" w:cs="宋体"/>
          <w:b/>
        </w:rPr>
        <w:t>开放期：</w:t>
      </w:r>
      <w:r>
        <w:rPr>
          <w:rFonts w:hint="eastAsia" w:ascii="宋体" w:hAnsi="宋体" w:cs="宋体"/>
          <w:bCs/>
        </w:rPr>
        <w:t>指管理人向投资者提供申购</w:t>
      </w:r>
      <w:r>
        <w:rPr>
          <w:rFonts w:hint="eastAsia" w:ascii="宋体" w:hAnsi="宋体" w:cs="宋体"/>
          <w:bCs/>
          <w:lang w:eastAsia="zh-CN"/>
        </w:rPr>
        <w:t>、</w:t>
      </w:r>
      <w:r>
        <w:rPr>
          <w:rFonts w:hint="eastAsia" w:ascii="宋体" w:hAnsi="宋体" w:cs="宋体"/>
          <w:bCs/>
          <w:lang w:val="en-US" w:eastAsia="zh-CN"/>
        </w:rPr>
        <w:t>赎回</w:t>
      </w:r>
      <w:r>
        <w:rPr>
          <w:rFonts w:hint="eastAsia" w:ascii="宋体" w:hAnsi="宋体" w:cs="宋体"/>
          <w:bCs/>
        </w:rPr>
        <w:t>交易的时间。</w:t>
      </w:r>
    </w:p>
    <w:p>
      <w:pPr>
        <w:pStyle w:val="15"/>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确认日：</w:t>
      </w:r>
      <w:r>
        <w:rPr>
          <w:rFonts w:hint="eastAsia" w:ascii="宋体" w:hAnsi="宋体" w:cs="宋体"/>
          <w:bCs/>
          <w:color w:val="auto"/>
          <w:kern w:val="2"/>
        </w:rPr>
        <w:t>指管理人确认投资者申购</w:t>
      </w:r>
      <w:r>
        <w:rPr>
          <w:rFonts w:hint="eastAsia" w:ascii="宋体" w:hAnsi="宋体" w:cs="宋体"/>
          <w:bCs/>
          <w:color w:val="auto"/>
          <w:kern w:val="2"/>
          <w:lang w:eastAsia="zh-CN"/>
        </w:rPr>
        <w:t>、</w:t>
      </w:r>
      <w:r>
        <w:rPr>
          <w:rFonts w:hint="eastAsia" w:ascii="宋体" w:hAnsi="宋体" w:cs="宋体"/>
          <w:bCs/>
          <w:color w:val="auto"/>
          <w:kern w:val="2"/>
          <w:lang w:val="en-US" w:eastAsia="zh-CN"/>
        </w:rPr>
        <w:t>赎回</w:t>
      </w:r>
      <w:r>
        <w:rPr>
          <w:rFonts w:hint="eastAsia" w:ascii="宋体" w:hAnsi="宋体" w:cs="宋体"/>
          <w:bCs/>
          <w:color w:val="auto"/>
          <w:kern w:val="2"/>
        </w:rPr>
        <w:t>交易是否有效的日期。</w:t>
      </w:r>
    </w:p>
    <w:p>
      <w:pPr>
        <w:pStyle w:val="15"/>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认购：</w:t>
      </w:r>
      <w:r>
        <w:rPr>
          <w:rFonts w:hint="eastAsia" w:ascii="宋体" w:hAnsi="宋体" w:cs="宋体"/>
          <w:bCs/>
          <w:color w:val="auto"/>
          <w:kern w:val="2"/>
        </w:rPr>
        <w:t>指投资者根据理财计划约定申请购买本理财计划份额的行为。</w:t>
      </w:r>
    </w:p>
    <w:p>
      <w:pPr>
        <w:pStyle w:val="15"/>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申购：</w:t>
      </w:r>
      <w:r>
        <w:rPr>
          <w:rFonts w:hint="eastAsia" w:ascii="宋体" w:hAnsi="宋体" w:cs="宋体"/>
          <w:bCs/>
          <w:color w:val="auto"/>
          <w:kern w:val="2"/>
        </w:rPr>
        <w:t>指理财计划申购开放期内，投资者向管理人进行理财计划份额购买的行为。</w:t>
      </w:r>
    </w:p>
    <w:p>
      <w:pPr>
        <w:pStyle w:val="15"/>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赎回：</w:t>
      </w:r>
      <w:r>
        <w:rPr>
          <w:rFonts w:hint="eastAsia" w:ascii="宋体" w:hAnsi="宋体" w:cs="宋体"/>
          <w:bCs/>
          <w:color w:val="auto"/>
          <w:kern w:val="2"/>
        </w:rPr>
        <w:t>指理财计划赎回开放期内，投资者向管理人进行理财计划份额卖出的行为。</w:t>
      </w:r>
    </w:p>
    <w:p>
      <w:pPr>
        <w:pStyle w:val="15"/>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收益分配：</w:t>
      </w:r>
      <w:r>
        <w:rPr>
          <w:rFonts w:hint="eastAsia" w:ascii="宋体" w:hAnsi="宋体" w:cs="宋体"/>
          <w:bCs/>
          <w:color w:val="auto"/>
          <w:kern w:val="2"/>
        </w:rPr>
        <w:t>指管理人在满足收益分配基准日理财计划份额净值大于1元的情况下，定期或不定期将大于1元部分的收益进行全部或部分分配的行为。</w:t>
      </w:r>
    </w:p>
    <w:p>
      <w:pPr>
        <w:pStyle w:val="15"/>
        <w:numPr>
          <w:ilvl w:val="0"/>
          <w:numId w:val="15"/>
        </w:numPr>
        <w:adjustRightInd/>
        <w:spacing w:line="360" w:lineRule="auto"/>
        <w:rPr>
          <w:rFonts w:ascii="宋体" w:hAnsi="宋体" w:cs="宋体"/>
          <w:b/>
          <w:color w:val="auto"/>
          <w:kern w:val="2"/>
        </w:rPr>
      </w:pPr>
      <w:r>
        <w:rPr>
          <w:rFonts w:hint="eastAsia" w:ascii="宋体" w:hAnsi="宋体" w:cs="宋体"/>
          <w:b/>
        </w:rPr>
        <w:t>理财计划费用/产品费用：</w:t>
      </w:r>
      <w:r>
        <w:rPr>
          <w:rFonts w:hint="eastAsia" w:ascii="宋体" w:hAnsi="宋体" w:cs="宋体"/>
          <w:bCs/>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5"/>
        <w:numPr>
          <w:ilvl w:val="0"/>
          <w:numId w:val="15"/>
        </w:numPr>
        <w:adjustRightInd/>
        <w:spacing w:line="360" w:lineRule="auto"/>
        <w:rPr>
          <w:rFonts w:ascii="宋体" w:hAnsi="宋体" w:cs="宋体"/>
          <w:b/>
          <w:color w:val="auto"/>
          <w:kern w:val="2"/>
        </w:rPr>
      </w:pPr>
      <w:r>
        <w:rPr>
          <w:rFonts w:hint="eastAsia" w:ascii="宋体" w:hAnsi="宋体" w:cs="宋体"/>
          <w:b/>
        </w:rPr>
        <w:t>其他费用：</w:t>
      </w:r>
      <w:r>
        <w:rPr>
          <w:rFonts w:hint="eastAsia" w:ascii="宋体" w:hAnsi="宋体" w:cs="宋体"/>
          <w:bCs/>
        </w:rPr>
        <w:t>指除理财计划费用以外，理财计划涉及的其他相关费用，包括但不限于认购费、申购费、赎回费、投顾费等，具体以本说明书第八条约定为准。</w:t>
      </w:r>
    </w:p>
    <w:p>
      <w:pPr>
        <w:pStyle w:val="15"/>
        <w:numPr>
          <w:ilvl w:val="0"/>
          <w:numId w:val="15"/>
        </w:numPr>
        <w:adjustRightInd/>
        <w:spacing w:line="360" w:lineRule="auto"/>
        <w:rPr>
          <w:rFonts w:ascii="宋体" w:hAnsi="宋体" w:cs="宋体"/>
          <w:b/>
          <w:color w:val="auto"/>
          <w:kern w:val="2"/>
        </w:rPr>
      </w:pPr>
      <w:r>
        <w:rPr>
          <w:rFonts w:hint="eastAsia" w:ascii="宋体" w:hAnsi="宋体" w:cs="宋体"/>
          <w:b/>
        </w:rPr>
        <w:t>理财计划估值：</w:t>
      </w:r>
      <w:r>
        <w:rPr>
          <w:rFonts w:hint="eastAsia" w:ascii="宋体" w:hAnsi="宋体" w:cs="宋体"/>
          <w:bCs/>
        </w:rPr>
        <w:t>指计算评估理财计划资产以确定理财计划份额净值的过程。</w:t>
      </w:r>
    </w:p>
    <w:p>
      <w:pPr>
        <w:pStyle w:val="15"/>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理财业绩比较基准：</w:t>
      </w:r>
      <w:r>
        <w:rPr>
          <w:rFonts w:hint="eastAsia" w:ascii="宋体" w:hAnsi="宋体" w:cs="宋体"/>
          <w:bCs/>
          <w:color w:val="auto"/>
          <w:kern w:val="2"/>
        </w:rPr>
        <w:t>指管理人基于过往投资经验及对市场波动的判断与预测而对本理财计划设定的投资目标，不代表本理财计划的未来表现和实际收益，或管理人对本理财计划的收益承诺。</w:t>
      </w:r>
    </w:p>
    <w:p>
      <w:pPr>
        <w:pStyle w:val="15"/>
        <w:numPr>
          <w:ilvl w:val="0"/>
          <w:numId w:val="15"/>
        </w:numPr>
        <w:adjustRightInd/>
        <w:spacing w:line="360" w:lineRule="auto"/>
        <w:rPr>
          <w:rFonts w:ascii="宋体" w:hAnsi="宋体" w:cs="宋体"/>
          <w:b/>
          <w:color w:val="auto"/>
          <w:kern w:val="2"/>
        </w:rPr>
      </w:pPr>
      <w:r>
        <w:rPr>
          <w:rFonts w:hint="eastAsia" w:ascii="宋体" w:hAnsi="宋体" w:cs="宋体"/>
          <w:b/>
          <w:color w:val="auto"/>
          <w:kern w:val="2"/>
        </w:rPr>
        <w:t>指定账户：</w:t>
      </w:r>
      <w:r>
        <w:rPr>
          <w:rFonts w:hint="eastAsia" w:ascii="宋体" w:hAnsi="宋体" w:cs="宋体"/>
          <w:bCs/>
          <w:color w:val="auto"/>
          <w:kern w:val="2"/>
        </w:rPr>
        <w:t>指投资者开立的，在理财计划认/申购时指定扣划本金、返还本金或收益的银行账户。</w:t>
      </w:r>
    </w:p>
    <w:p>
      <w:pPr>
        <w:pStyle w:val="15"/>
        <w:adjustRightInd/>
        <w:spacing w:line="360" w:lineRule="auto"/>
        <w:ind w:firstLine="482" w:firstLineChars="200"/>
        <w:rPr>
          <w:rFonts w:hint="eastAsia"/>
        </w:rPr>
      </w:pPr>
      <w:r>
        <w:rPr>
          <w:rFonts w:hint="eastAsia" w:ascii="宋体" w:hAnsi="宋体" w:cs="宋体"/>
          <w:b/>
          <w:color w:val="auto"/>
          <w:kern w:val="2"/>
        </w:rPr>
        <w:t>31. 流</w:t>
      </w:r>
      <w:r>
        <w:rPr>
          <w:rFonts w:hint="eastAsia"/>
          <w:b/>
        </w:rPr>
        <w:t>动性受限资产：</w:t>
      </w:r>
      <w:r>
        <w:rPr>
          <w:rFonts w:hint="eastAsia"/>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5"/>
        <w:adjustRightInd/>
        <w:spacing w:line="360" w:lineRule="auto"/>
        <w:ind w:firstLine="482" w:firstLineChars="200"/>
        <w:rPr>
          <w:rFonts w:ascii="宋体" w:hAnsi="宋体" w:cs="宋体"/>
          <w:b/>
          <w:color w:val="auto"/>
          <w:kern w:val="2"/>
        </w:rPr>
      </w:pPr>
      <w:r>
        <w:rPr>
          <w:rFonts w:hint="eastAsia" w:ascii="宋体" w:hAnsi="宋体" w:cs="宋体"/>
          <w:b/>
          <w:color w:val="auto"/>
          <w:kern w:val="2"/>
        </w:rPr>
        <w:t>32. 7</w:t>
      </w:r>
      <w:r>
        <w:rPr>
          <w:rFonts w:hint="eastAsia" w:ascii="宋体" w:hAnsi="宋体" w:cs="宋体"/>
          <w:b/>
          <w:color w:val="auto"/>
          <w:kern w:val="2"/>
          <w:lang w:val="en-US" w:eastAsia="zh-CN"/>
        </w:rPr>
        <w:t>个</w:t>
      </w:r>
      <w:r>
        <w:rPr>
          <w:rFonts w:hint="eastAsia"/>
          <w:b/>
          <w:bCs/>
        </w:rPr>
        <w:t>工作日可变现资产：</w:t>
      </w:r>
      <w:r>
        <w:rPr>
          <w:rFonts w:hint="eastAsia"/>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5"/>
        <w:numPr>
          <w:ilvl w:val="0"/>
          <w:numId w:val="12"/>
        </w:numPr>
        <w:adjustRightInd/>
        <w:spacing w:line="360" w:lineRule="auto"/>
        <w:rPr>
          <w:rFonts w:ascii="宋体" w:hAnsi="宋体" w:cs="宋体"/>
          <w:b/>
          <w:color w:val="auto"/>
          <w:kern w:val="2"/>
        </w:rPr>
      </w:pPr>
      <w:r>
        <w:rPr>
          <w:rFonts w:hint="eastAsia" w:ascii="宋体" w:hAnsi="宋体" w:cs="宋体"/>
          <w:b/>
          <w:color w:val="auto"/>
          <w:kern w:val="2"/>
        </w:rPr>
        <w:t>相关事件用语</w:t>
      </w:r>
    </w:p>
    <w:p>
      <w:pPr>
        <w:pStyle w:val="15"/>
        <w:numPr>
          <w:ilvl w:val="0"/>
          <w:numId w:val="16"/>
        </w:numPr>
        <w:adjustRightInd/>
        <w:spacing w:line="360" w:lineRule="auto"/>
        <w:rPr>
          <w:rFonts w:ascii="宋体" w:hAnsi="宋体" w:cs="宋体"/>
          <w:bCs/>
          <w:color w:val="auto"/>
          <w:kern w:val="2"/>
        </w:rPr>
      </w:pPr>
      <w:r>
        <w:rPr>
          <w:rFonts w:hint="eastAsia" w:ascii="宋体" w:hAnsi="宋体" w:cs="宋体"/>
          <w:b/>
          <w:color w:val="auto"/>
          <w:kern w:val="2"/>
        </w:rPr>
        <w:t>不可抗力：</w:t>
      </w:r>
      <w:r>
        <w:rPr>
          <w:rFonts w:hint="eastAsia" w:ascii="宋体" w:hAnsi="宋体" w:cs="宋体"/>
          <w:bCs/>
          <w:color w:val="auto"/>
          <w:kern w:val="2"/>
        </w:rPr>
        <w:t>指理财计划各方不能预见、不能避免且不能克服的客观情况，该事件妨碍、影响或延误任何一方依据相关理财计划文件履行其全面或部分义务。该事件包括但不限于:</w:t>
      </w:r>
    </w:p>
    <w:p>
      <w:pPr>
        <w:pStyle w:val="15"/>
        <w:adjustRightInd/>
        <w:spacing w:line="360" w:lineRule="auto"/>
        <w:ind w:firstLine="480" w:firstLineChars="200"/>
        <w:rPr>
          <w:bCs/>
        </w:rPr>
      </w:pPr>
      <w:r>
        <w:rPr>
          <w:rFonts w:hint="eastAsia" w:ascii="宋体" w:hAnsi="宋体" w:cs="宋体"/>
          <w:bCs/>
          <w:color w:val="auto"/>
          <w:kern w:val="2"/>
        </w:rPr>
        <w:t>（1）地震、台风、海啸、洪水、火灾、停电、瘟疫、突发公共卫生事件；</w:t>
      </w:r>
    </w:p>
    <w:p>
      <w:pPr>
        <w:pStyle w:val="15"/>
        <w:adjustRightInd/>
        <w:spacing w:line="360" w:lineRule="auto"/>
        <w:ind w:firstLine="480" w:firstLineChars="200"/>
        <w:rPr>
          <w:rFonts w:ascii="宋体" w:hAnsi="宋体" w:cs="宋体"/>
          <w:bCs/>
          <w:color w:val="auto"/>
          <w:kern w:val="2"/>
        </w:rPr>
      </w:pPr>
      <w:r>
        <w:rPr>
          <w:rFonts w:hint="eastAsia" w:ascii="宋体" w:hAnsi="宋体" w:cs="宋体"/>
          <w:bCs/>
          <w:color w:val="auto"/>
          <w:kern w:val="2"/>
        </w:rPr>
        <w:t>（2）战争、政变、恐怖主义行动、骚乱、罢工；</w:t>
      </w:r>
    </w:p>
    <w:p>
      <w:pPr>
        <w:pStyle w:val="15"/>
        <w:adjustRightInd/>
        <w:spacing w:line="360" w:lineRule="auto"/>
        <w:ind w:firstLine="480" w:firstLineChars="200"/>
        <w:rPr>
          <w:rFonts w:ascii="宋体" w:hAnsi="宋体" w:cs="宋体"/>
          <w:bCs/>
          <w:color w:val="auto"/>
          <w:kern w:val="2"/>
        </w:rPr>
      </w:pPr>
      <w:r>
        <w:rPr>
          <w:rFonts w:hint="eastAsia" w:ascii="宋体" w:hAnsi="宋体" w:cs="宋体"/>
          <w:bCs/>
          <w:color w:val="auto"/>
          <w:kern w:val="2"/>
        </w:rPr>
        <w:t>（3）新的适用法律或国家政策的颁布或实施、对原适用法律或国家政策的修改；</w:t>
      </w:r>
    </w:p>
    <w:p>
      <w:pPr>
        <w:pStyle w:val="15"/>
        <w:adjustRightInd/>
        <w:spacing w:line="360" w:lineRule="auto"/>
        <w:ind w:firstLine="480" w:firstLineChars="200"/>
        <w:rPr>
          <w:rFonts w:ascii="宋体" w:hAnsi="宋体" w:cs="宋体"/>
          <w:bCs/>
          <w:color w:val="auto"/>
          <w:kern w:val="2"/>
        </w:rPr>
      </w:pPr>
      <w:r>
        <w:rPr>
          <w:rFonts w:hint="eastAsia" w:ascii="宋体" w:hAnsi="宋体" w:cs="宋体"/>
          <w:bCs/>
          <w:color w:val="auto"/>
          <w:kern w:val="2"/>
        </w:rPr>
        <w:t>（4）金融管理部门强制要求终止理财计划（该等强制要求不可归咎于任何一方）；</w:t>
      </w:r>
    </w:p>
    <w:p>
      <w:pPr>
        <w:pStyle w:val="15"/>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（5）因理财计划各方和/或其关联方运营网络系统遭受黑客攻击、电信部门技术调整或故障等原因而造成的理财计划各方和/或其关联方之服务、营业的中断或者延迟。</w:t>
      </w:r>
    </w:p>
    <w:p>
      <w:pPr>
        <w:pStyle w:val="15"/>
        <w:adjustRightInd/>
        <w:spacing w:line="360" w:lineRule="auto"/>
        <w:ind w:firstLine="241" w:firstLineChars="100"/>
        <w:rPr>
          <w:rFonts w:hint="eastAsia" w:ascii="宋体" w:hAnsi="宋体" w:cs="宋体"/>
          <w:b/>
          <w:color w:val="auto"/>
          <w:kern w:val="2"/>
        </w:rPr>
      </w:pPr>
      <w:r>
        <w:rPr>
          <w:rFonts w:hint="eastAsia" w:ascii="宋体" w:hAnsi="宋体" w:cs="宋体"/>
          <w:b/>
          <w:color w:val="auto"/>
          <w:kern w:val="2"/>
        </w:rPr>
        <w:t>2. 巨额赎回：指理财计划的申购和赎回开放期内，理财计划任一开放日净赎回申请份额超过上一工作日日终理财计划总份额的〖10%〗，即为发生巨额赎回行为。</w:t>
      </w:r>
    </w:p>
    <w:p>
      <w:pPr>
        <w:pStyle w:val="15"/>
        <w:adjustRightInd/>
        <w:spacing w:line="360" w:lineRule="auto"/>
        <w:rPr>
          <w:rFonts w:ascii="宋体" w:hAnsi="宋体" w:cs="宋体"/>
          <w:bCs/>
          <w:color w:val="auto"/>
          <w:kern w:val="2"/>
        </w:rPr>
      </w:pPr>
    </w:p>
    <w:p>
      <w:pPr>
        <w:pStyle w:val="15"/>
        <w:numPr>
          <w:ilvl w:val="0"/>
          <w:numId w:val="17"/>
        </w:numPr>
        <w:adjustRightInd/>
        <w:spacing w:line="360" w:lineRule="auto"/>
        <w:rPr>
          <w:rFonts w:ascii="宋体" w:hAnsi="宋体" w:cs="宋体"/>
          <w:b/>
          <w:color w:val="auto"/>
          <w:kern w:val="2"/>
        </w:rPr>
      </w:pPr>
      <w:r>
        <w:rPr>
          <w:rFonts w:hint="eastAsia" w:ascii="宋体" w:hAnsi="宋体" w:cs="宋体"/>
          <w:b/>
          <w:color w:val="auto"/>
          <w:kern w:val="2"/>
        </w:rPr>
        <w:t>风险评级</w:t>
      </w:r>
    </w:p>
    <w:p>
      <w:pPr>
        <w:pStyle w:val="15"/>
        <w:adjustRightInd/>
        <w:spacing w:line="360" w:lineRule="auto"/>
        <w:ind w:firstLine="480" w:firstLineChars="200"/>
        <w:rPr>
          <w:rFonts w:ascii="宋体" w:hAnsi="宋体" w:cs="宋体"/>
          <w:bCs/>
          <w:color w:val="auto"/>
          <w:kern w:val="2"/>
        </w:rPr>
      </w:pPr>
      <w:r>
        <w:rPr>
          <w:rFonts w:hint="eastAsia" w:ascii="宋体" w:hAnsi="宋体" w:cs="宋体"/>
          <w:bCs/>
          <w:color w:val="auto"/>
          <w:kern w:val="2"/>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rPr>
        <w:t>本理财计划的风险等级为〖R2〗，〖中低〗风险。</w:t>
      </w:r>
      <w:r>
        <w:rPr>
          <w:rFonts w:hint="eastAsia" w:ascii="宋体" w:hAnsi="宋体" w:cs="宋体"/>
          <w:bCs/>
          <w:color w:val="auto"/>
          <w:kern w:val="2"/>
        </w:rPr>
        <w:t>该评级仅是管理人内部测评结果，仅供投资者参考，不具有任何法律约束力。</w:t>
      </w:r>
    </w:p>
    <w:tbl>
      <w:tblPr>
        <w:tblStyle w:val="9"/>
        <w:tblW w:w="86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746"/>
        <w:gridCol w:w="5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5"/>
              <w:adjustRightInd/>
              <w:spacing w:line="360" w:lineRule="auto"/>
              <w:jc w:val="center"/>
              <w:rPr>
                <w:rFonts w:ascii="宋体" w:hAnsi="宋体" w:cs="宋体"/>
                <w:bCs/>
                <w:color w:val="auto"/>
                <w:kern w:val="2"/>
              </w:rPr>
            </w:pPr>
            <w:r>
              <w:rPr>
                <w:rFonts w:hint="eastAsia" w:ascii="宋体" w:hAnsi="宋体" w:cs="宋体"/>
                <w:bCs/>
                <w:color w:val="auto"/>
                <w:kern w:val="2"/>
              </w:rPr>
              <w:t>内部风险评级</w:t>
            </w:r>
          </w:p>
        </w:tc>
        <w:tc>
          <w:tcPr>
            <w:tcW w:w="1746" w:type="dxa"/>
            <w:noWrap w:val="0"/>
            <w:vAlign w:val="top"/>
          </w:tcPr>
          <w:p>
            <w:pPr>
              <w:pStyle w:val="15"/>
              <w:adjustRightInd/>
              <w:spacing w:line="360" w:lineRule="auto"/>
              <w:jc w:val="center"/>
              <w:rPr>
                <w:rFonts w:ascii="宋体" w:hAnsi="宋体" w:cs="宋体"/>
                <w:bCs/>
                <w:color w:val="auto"/>
                <w:kern w:val="2"/>
              </w:rPr>
            </w:pPr>
            <w:r>
              <w:rPr>
                <w:rFonts w:hint="eastAsia" w:ascii="宋体" w:hAnsi="宋体" w:cs="宋体"/>
                <w:bCs/>
                <w:color w:val="auto"/>
                <w:kern w:val="2"/>
              </w:rPr>
              <w:t>风险程度</w:t>
            </w:r>
          </w:p>
        </w:tc>
        <w:tc>
          <w:tcPr>
            <w:tcW w:w="5064" w:type="dxa"/>
            <w:noWrap w:val="0"/>
            <w:vAlign w:val="top"/>
          </w:tcPr>
          <w:p>
            <w:pPr>
              <w:pStyle w:val="15"/>
              <w:adjustRightInd/>
              <w:spacing w:line="360" w:lineRule="auto"/>
              <w:jc w:val="center"/>
              <w:rPr>
                <w:rFonts w:ascii="宋体" w:hAnsi="宋体" w:cs="宋体"/>
                <w:bCs/>
                <w:color w:val="auto"/>
                <w:kern w:val="2"/>
              </w:rPr>
            </w:pPr>
            <w:r>
              <w:rPr>
                <w:rFonts w:hint="eastAsia" w:ascii="宋体" w:hAnsi="宋体" w:cs="宋体"/>
                <w:bCs/>
                <w:color w:val="auto"/>
                <w:kern w:val="2"/>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61" w:type="dxa"/>
            <w:noWrap w:val="0"/>
            <w:vAlign w:val="top"/>
          </w:tcPr>
          <w:p>
            <w:pPr>
              <w:pStyle w:val="15"/>
              <w:adjustRightInd/>
              <w:spacing w:line="360" w:lineRule="auto"/>
              <w:jc w:val="center"/>
              <w:rPr>
                <w:rFonts w:ascii="宋体" w:hAnsi="宋体" w:cs="宋体"/>
                <w:bCs/>
                <w:color w:val="auto"/>
                <w:kern w:val="2"/>
              </w:rPr>
            </w:pPr>
            <w:r>
              <w:rPr>
                <w:rFonts w:hint="eastAsia" w:ascii="宋体" w:hAnsi="宋体" w:cs="宋体"/>
                <w:bCs/>
                <w:color w:val="auto"/>
                <w:kern w:val="2"/>
              </w:rPr>
              <w:t>R1</w:t>
            </w:r>
          </w:p>
        </w:tc>
        <w:tc>
          <w:tcPr>
            <w:tcW w:w="1746" w:type="dxa"/>
            <w:noWrap w:val="0"/>
            <w:vAlign w:val="top"/>
          </w:tcPr>
          <w:p>
            <w:pPr>
              <w:pStyle w:val="15"/>
              <w:adjustRightInd/>
              <w:spacing w:line="360" w:lineRule="auto"/>
              <w:jc w:val="center"/>
              <w:rPr>
                <w:rFonts w:ascii="宋体" w:hAnsi="宋体" w:cs="宋体"/>
                <w:bCs/>
                <w:color w:val="auto"/>
                <w:kern w:val="2"/>
              </w:rPr>
            </w:pPr>
            <w:r>
              <w:rPr>
                <w:rFonts w:hint="eastAsia" w:ascii="宋体" w:hAnsi="宋体" w:cs="宋体"/>
                <w:bCs/>
                <w:color w:val="auto"/>
                <w:kern w:val="2"/>
              </w:rPr>
              <w:t>低</w:t>
            </w:r>
          </w:p>
        </w:tc>
        <w:tc>
          <w:tcPr>
            <w:tcW w:w="5064" w:type="dxa"/>
            <w:noWrap w:val="0"/>
            <w:vAlign w:val="top"/>
          </w:tcPr>
          <w:p>
            <w:pPr>
              <w:pStyle w:val="15"/>
              <w:adjustRightInd/>
              <w:spacing w:line="360" w:lineRule="auto"/>
              <w:jc w:val="center"/>
              <w:rPr>
                <w:rFonts w:ascii="宋体" w:hAnsi="宋体" w:cs="宋体"/>
                <w:bCs/>
                <w:color w:val="auto"/>
                <w:kern w:val="2"/>
              </w:rPr>
            </w:pPr>
            <w:r>
              <w:rPr>
                <w:rFonts w:hint="eastAsia" w:ascii="宋体" w:hAnsi="宋体" w:cs="宋体"/>
                <w:bCs/>
                <w:kern w:val="2"/>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5"/>
              <w:adjustRightInd/>
              <w:spacing w:line="360" w:lineRule="auto"/>
              <w:jc w:val="center"/>
              <w:rPr>
                <w:rFonts w:ascii="宋体" w:hAnsi="宋体" w:cs="宋体"/>
                <w:b/>
                <w:color w:val="auto"/>
                <w:kern w:val="2"/>
              </w:rPr>
            </w:pPr>
            <w:r>
              <w:rPr>
                <w:rFonts w:ascii="宋体" w:hAnsi="宋体" w:cs="宋体"/>
                <w:b/>
                <w:color w:val="auto"/>
                <w:kern w:val="2"/>
              </w:rPr>
              <w:t>R2</w:t>
            </w:r>
          </w:p>
        </w:tc>
        <w:tc>
          <w:tcPr>
            <w:tcW w:w="1746" w:type="dxa"/>
            <w:noWrap w:val="0"/>
            <w:vAlign w:val="top"/>
          </w:tcPr>
          <w:p>
            <w:pPr>
              <w:pStyle w:val="15"/>
              <w:adjustRightInd/>
              <w:spacing w:line="360" w:lineRule="auto"/>
              <w:jc w:val="center"/>
              <w:rPr>
                <w:rFonts w:ascii="宋体" w:hAnsi="宋体" w:cs="宋体"/>
                <w:b/>
                <w:color w:val="auto"/>
                <w:kern w:val="2"/>
              </w:rPr>
            </w:pPr>
            <w:r>
              <w:rPr>
                <w:rFonts w:hint="eastAsia" w:ascii="宋体" w:hAnsi="宋体" w:cs="宋体"/>
                <w:b/>
                <w:color w:val="auto"/>
                <w:kern w:val="2"/>
              </w:rPr>
              <w:t>中低</w:t>
            </w:r>
          </w:p>
        </w:tc>
        <w:tc>
          <w:tcPr>
            <w:tcW w:w="5064" w:type="dxa"/>
            <w:noWrap w:val="0"/>
            <w:vAlign w:val="top"/>
          </w:tcPr>
          <w:p>
            <w:pPr>
              <w:pStyle w:val="15"/>
              <w:adjustRightInd/>
              <w:spacing w:line="360" w:lineRule="auto"/>
              <w:jc w:val="center"/>
              <w:rPr>
                <w:rFonts w:ascii="宋体" w:hAnsi="宋体" w:cs="宋体"/>
                <w:b/>
                <w:color w:val="auto"/>
                <w:kern w:val="2"/>
              </w:rPr>
            </w:pPr>
            <w:r>
              <w:rPr>
                <w:rFonts w:hint="eastAsia" w:ascii="宋体" w:hAnsi="宋体" w:cs="宋体"/>
                <w:b/>
                <w:color w:val="auto"/>
                <w:kern w:val="2"/>
              </w:rPr>
              <w:t>稳健型</w:t>
            </w:r>
            <w:r>
              <w:rPr>
                <w:rFonts w:hint="eastAsia" w:ascii="宋体" w:hAnsi="宋体" w:cs="宋体"/>
                <w:b/>
                <w:kern w:val="2"/>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5"/>
              <w:adjustRightInd/>
              <w:spacing w:line="360" w:lineRule="auto"/>
              <w:jc w:val="center"/>
              <w:rPr>
                <w:rFonts w:ascii="宋体" w:hAnsi="宋体" w:cs="宋体"/>
                <w:bCs/>
                <w:color w:val="auto"/>
                <w:kern w:val="2"/>
              </w:rPr>
            </w:pPr>
            <w:r>
              <w:rPr>
                <w:rFonts w:hint="eastAsia" w:ascii="宋体" w:hAnsi="宋体" w:cs="宋体"/>
                <w:bCs/>
                <w:color w:val="auto"/>
                <w:kern w:val="2"/>
              </w:rPr>
              <w:t>R3</w:t>
            </w:r>
          </w:p>
        </w:tc>
        <w:tc>
          <w:tcPr>
            <w:tcW w:w="1746" w:type="dxa"/>
            <w:noWrap w:val="0"/>
            <w:vAlign w:val="top"/>
          </w:tcPr>
          <w:p>
            <w:pPr>
              <w:pStyle w:val="15"/>
              <w:adjustRightInd/>
              <w:spacing w:line="360" w:lineRule="auto"/>
              <w:jc w:val="center"/>
              <w:rPr>
                <w:rFonts w:ascii="宋体" w:hAnsi="宋体" w:cs="宋体"/>
                <w:bCs/>
                <w:color w:val="auto"/>
                <w:kern w:val="2"/>
              </w:rPr>
            </w:pPr>
            <w:r>
              <w:rPr>
                <w:rFonts w:hint="eastAsia" w:ascii="宋体" w:hAnsi="宋体" w:cs="宋体"/>
                <w:bCs/>
                <w:color w:val="auto"/>
                <w:kern w:val="2"/>
              </w:rPr>
              <w:t>中</w:t>
            </w:r>
          </w:p>
        </w:tc>
        <w:tc>
          <w:tcPr>
            <w:tcW w:w="5064" w:type="dxa"/>
            <w:noWrap w:val="0"/>
            <w:vAlign w:val="top"/>
          </w:tcPr>
          <w:p>
            <w:pPr>
              <w:pStyle w:val="15"/>
              <w:adjustRightInd/>
              <w:spacing w:line="360" w:lineRule="auto"/>
              <w:jc w:val="center"/>
              <w:rPr>
                <w:rFonts w:ascii="宋体" w:hAnsi="宋体" w:cs="宋体"/>
                <w:bCs/>
                <w:color w:val="auto"/>
                <w:kern w:val="2"/>
              </w:rPr>
            </w:pPr>
            <w:r>
              <w:rPr>
                <w:rFonts w:hint="eastAsia" w:ascii="宋体" w:hAnsi="宋体" w:cs="宋体"/>
                <w:bCs/>
                <w:color w:val="auto"/>
                <w:kern w:val="2"/>
              </w:rPr>
              <w:t>平衡型</w:t>
            </w:r>
            <w:r>
              <w:rPr>
                <w:rFonts w:hint="eastAsia" w:ascii="宋体" w:hAnsi="宋体" w:cs="宋体"/>
                <w:bCs/>
                <w:kern w:val="2"/>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5"/>
              <w:adjustRightInd/>
              <w:spacing w:line="360" w:lineRule="auto"/>
              <w:jc w:val="center"/>
              <w:rPr>
                <w:rFonts w:ascii="宋体" w:hAnsi="宋体" w:cs="宋体"/>
                <w:bCs/>
                <w:color w:val="auto"/>
                <w:kern w:val="2"/>
              </w:rPr>
            </w:pPr>
            <w:r>
              <w:rPr>
                <w:rFonts w:hint="eastAsia" w:ascii="宋体" w:hAnsi="宋体" w:cs="宋体"/>
                <w:bCs/>
                <w:color w:val="auto"/>
                <w:kern w:val="2"/>
              </w:rPr>
              <w:t>R4</w:t>
            </w:r>
          </w:p>
        </w:tc>
        <w:tc>
          <w:tcPr>
            <w:tcW w:w="1746" w:type="dxa"/>
            <w:noWrap w:val="0"/>
            <w:vAlign w:val="top"/>
          </w:tcPr>
          <w:p>
            <w:pPr>
              <w:pStyle w:val="15"/>
              <w:adjustRightInd/>
              <w:spacing w:line="360" w:lineRule="auto"/>
              <w:jc w:val="center"/>
              <w:rPr>
                <w:rFonts w:ascii="宋体" w:hAnsi="宋体" w:cs="宋体"/>
                <w:bCs/>
                <w:color w:val="auto"/>
                <w:kern w:val="2"/>
              </w:rPr>
            </w:pPr>
            <w:r>
              <w:rPr>
                <w:rFonts w:hint="eastAsia" w:ascii="宋体" w:hAnsi="宋体" w:cs="宋体"/>
                <w:bCs/>
                <w:color w:val="auto"/>
                <w:kern w:val="2"/>
              </w:rPr>
              <w:t>中高</w:t>
            </w:r>
          </w:p>
        </w:tc>
        <w:tc>
          <w:tcPr>
            <w:tcW w:w="5064" w:type="dxa"/>
            <w:noWrap w:val="0"/>
            <w:vAlign w:val="top"/>
          </w:tcPr>
          <w:p>
            <w:pPr>
              <w:pStyle w:val="15"/>
              <w:adjustRightInd/>
              <w:spacing w:line="360" w:lineRule="auto"/>
              <w:jc w:val="center"/>
              <w:rPr>
                <w:rFonts w:ascii="宋体" w:hAnsi="宋体" w:cs="宋体"/>
                <w:bCs/>
                <w:color w:val="auto"/>
                <w:kern w:val="2"/>
              </w:rPr>
            </w:pPr>
            <w:r>
              <w:rPr>
                <w:rFonts w:hint="eastAsia" w:ascii="宋体" w:hAnsi="宋体" w:cs="宋体"/>
                <w:bCs/>
                <w:color w:val="auto"/>
                <w:kern w:val="2"/>
              </w:rPr>
              <w:t>成长型</w:t>
            </w:r>
            <w:r>
              <w:rPr>
                <w:rFonts w:hint="eastAsia" w:ascii="宋体" w:hAnsi="宋体" w:cs="宋体"/>
                <w:bCs/>
                <w:kern w:val="2"/>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5"/>
              <w:adjustRightInd/>
              <w:spacing w:line="360" w:lineRule="auto"/>
              <w:jc w:val="center"/>
              <w:rPr>
                <w:rFonts w:ascii="宋体" w:hAnsi="宋体" w:cs="宋体"/>
                <w:bCs/>
                <w:color w:val="auto"/>
                <w:kern w:val="2"/>
              </w:rPr>
            </w:pPr>
            <w:r>
              <w:rPr>
                <w:rFonts w:hint="eastAsia" w:ascii="宋体" w:hAnsi="宋体" w:cs="宋体"/>
                <w:bCs/>
                <w:color w:val="auto"/>
                <w:kern w:val="2"/>
              </w:rPr>
              <w:t>R5</w:t>
            </w:r>
          </w:p>
        </w:tc>
        <w:tc>
          <w:tcPr>
            <w:tcW w:w="1746" w:type="dxa"/>
            <w:noWrap w:val="0"/>
            <w:vAlign w:val="top"/>
          </w:tcPr>
          <w:p>
            <w:pPr>
              <w:pStyle w:val="15"/>
              <w:adjustRightInd/>
              <w:spacing w:line="360" w:lineRule="auto"/>
              <w:jc w:val="center"/>
              <w:rPr>
                <w:rFonts w:ascii="宋体" w:hAnsi="宋体" w:cs="宋体"/>
                <w:bCs/>
                <w:color w:val="auto"/>
                <w:kern w:val="2"/>
              </w:rPr>
            </w:pPr>
            <w:r>
              <w:rPr>
                <w:rFonts w:hint="eastAsia" w:ascii="宋体" w:hAnsi="宋体" w:cs="宋体"/>
                <w:bCs/>
                <w:color w:val="auto"/>
                <w:kern w:val="2"/>
              </w:rPr>
              <w:t>高</w:t>
            </w:r>
          </w:p>
        </w:tc>
        <w:tc>
          <w:tcPr>
            <w:tcW w:w="5064" w:type="dxa"/>
            <w:noWrap w:val="0"/>
            <w:vAlign w:val="top"/>
          </w:tcPr>
          <w:p>
            <w:pPr>
              <w:pStyle w:val="15"/>
              <w:adjustRightInd/>
              <w:spacing w:line="360" w:lineRule="auto"/>
              <w:jc w:val="center"/>
              <w:rPr>
                <w:rFonts w:ascii="宋体" w:hAnsi="宋体" w:cs="宋体"/>
                <w:bCs/>
                <w:color w:val="auto"/>
                <w:kern w:val="2"/>
              </w:rPr>
            </w:pPr>
            <w:r>
              <w:rPr>
                <w:rFonts w:hint="eastAsia" w:ascii="宋体" w:hAnsi="宋体" w:cs="宋体"/>
                <w:bCs/>
                <w:color w:val="auto"/>
                <w:kern w:val="2"/>
              </w:rPr>
              <w:t>进取型</w:t>
            </w:r>
          </w:p>
        </w:tc>
      </w:tr>
    </w:tbl>
    <w:p>
      <w:pPr>
        <w:pStyle w:val="15"/>
        <w:adjustRightInd/>
        <w:spacing w:line="360" w:lineRule="auto"/>
        <w:ind w:firstLine="480" w:firstLineChars="200"/>
        <w:rPr>
          <w:rFonts w:ascii="宋体" w:hAnsi="宋体" w:cs="宋体"/>
          <w:bCs/>
          <w:color w:val="auto"/>
          <w:kern w:val="2"/>
          <w:highlight w:val="red"/>
        </w:rPr>
      </w:pPr>
      <w:r>
        <w:rPr>
          <w:rFonts w:hint="eastAsia" w:ascii="宋体" w:hAnsi="宋体" w:cs="宋体"/>
          <w:bCs/>
          <w:color w:val="auto"/>
          <w:kern w:val="2"/>
          <w:highlight w:val="none"/>
        </w:rPr>
        <w:t>投资者风险承受能力评级水平以销售机构评估为准。</w:t>
      </w:r>
    </w:p>
    <w:p>
      <w:pPr>
        <w:pStyle w:val="15"/>
        <w:adjustRightInd/>
        <w:spacing w:line="360" w:lineRule="auto"/>
        <w:rPr>
          <w:rFonts w:ascii="宋体" w:hAnsi="宋体" w:cs="宋体"/>
          <w:b/>
          <w:color w:val="auto"/>
          <w:kern w:val="2"/>
        </w:rPr>
      </w:pPr>
    </w:p>
    <w:p>
      <w:pPr>
        <w:pStyle w:val="15"/>
        <w:numPr>
          <w:ilvl w:val="0"/>
          <w:numId w:val="17"/>
        </w:numPr>
        <w:adjustRightInd/>
        <w:spacing w:line="360" w:lineRule="auto"/>
        <w:rPr>
          <w:rFonts w:ascii="宋体" w:hAnsi="宋体" w:cs="宋体"/>
          <w:b/>
          <w:color w:val="auto"/>
          <w:kern w:val="2"/>
        </w:rPr>
      </w:pPr>
      <w:r>
        <w:rPr>
          <w:rFonts w:hint="eastAsia" w:ascii="宋体" w:hAnsi="宋体" w:cs="宋体"/>
          <w:b/>
          <w:color w:val="auto"/>
          <w:kern w:val="2"/>
        </w:rPr>
        <w:t>产品要素</w:t>
      </w:r>
    </w:p>
    <w:tbl>
      <w:tblPr>
        <w:tblStyle w:val="9"/>
        <w:tblW w:w="8704"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423"/>
        <w:gridCol w:w="7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423" w:type="dxa"/>
            <w:noWrap w:val="0"/>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产品名称</w:t>
            </w:r>
          </w:p>
        </w:tc>
        <w:tc>
          <w:tcPr>
            <w:tcW w:w="7281" w:type="dxa"/>
            <w:noWrap w:val="0"/>
            <w:vAlign w:val="center"/>
          </w:tcPr>
          <w:p>
            <w:pPr>
              <w:widowControl/>
              <w:spacing w:line="360" w:lineRule="auto"/>
              <w:contextualSpacing/>
              <w:rPr>
                <w:rFonts w:ascii="宋体" w:hAnsi="宋体" w:cs="宋体"/>
                <w:color w:val="000000"/>
                <w:szCs w:val="21"/>
              </w:rPr>
            </w:pPr>
            <w:r>
              <w:rPr>
                <w:rFonts w:hint="eastAsia" w:ascii="宋体" w:hAnsi="宋体" w:cs="宋体"/>
                <w:szCs w:val="21"/>
              </w:rPr>
              <w:t>杭银理财幸福99天添益（</w:t>
            </w:r>
            <w:r>
              <w:rPr>
                <w:rFonts w:hint="eastAsia" w:ascii="宋体" w:hAnsi="宋体" w:cs="宋体"/>
                <w:szCs w:val="21"/>
                <w:lang w:eastAsia="zh-CN"/>
              </w:rPr>
              <w:t>安享优选</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423" w:type="dxa"/>
            <w:noWrap w:val="0"/>
            <w:vAlign w:val="center"/>
          </w:tcPr>
          <w:p>
            <w:pPr>
              <w:widowControl/>
              <w:spacing w:line="360" w:lineRule="auto"/>
              <w:contextualSpacing/>
              <w:jc w:val="center"/>
              <w:rPr>
                <w:rFonts w:hint="eastAsia" w:ascii="宋体" w:hAnsi="宋体" w:eastAsia="宋体" w:cs="宋体"/>
                <w:color w:val="000000"/>
                <w:szCs w:val="21"/>
                <w:lang w:val="en-US" w:eastAsia="zh-CN"/>
              </w:rPr>
            </w:pPr>
            <w:r>
              <w:rPr>
                <w:rFonts w:hint="eastAsia" w:ascii="宋体" w:hAnsi="宋体" w:cs="宋体"/>
                <w:color w:val="000000"/>
                <w:szCs w:val="21"/>
              </w:rPr>
              <w:t>产品</w:t>
            </w:r>
            <w:r>
              <w:rPr>
                <w:rFonts w:hint="eastAsia" w:ascii="宋体" w:hAnsi="宋体" w:cs="宋体"/>
                <w:color w:val="000000"/>
                <w:szCs w:val="21"/>
                <w:lang w:val="en-US" w:eastAsia="zh-CN"/>
              </w:rPr>
              <w:t>简称</w:t>
            </w:r>
          </w:p>
        </w:tc>
        <w:tc>
          <w:tcPr>
            <w:tcW w:w="7281" w:type="dxa"/>
            <w:noWrap w:val="0"/>
            <w:vAlign w:val="center"/>
          </w:tcPr>
          <w:p>
            <w:pPr>
              <w:widowControl/>
              <w:spacing w:line="360" w:lineRule="auto"/>
              <w:contextualSpacing/>
              <w:rPr>
                <w:rFonts w:hint="eastAsia" w:ascii="宋体" w:hAnsi="宋体" w:cs="宋体"/>
                <w:szCs w:val="21"/>
              </w:rPr>
            </w:pPr>
            <w:r>
              <w:rPr>
                <w:rFonts w:hint="eastAsia" w:ascii="宋体" w:hAnsi="宋体" w:cs="宋体"/>
                <w:szCs w:val="21"/>
              </w:rPr>
              <w:t>天添益（</w:t>
            </w:r>
            <w:r>
              <w:rPr>
                <w:rFonts w:hint="eastAsia" w:ascii="宋体" w:hAnsi="宋体" w:cs="宋体"/>
                <w:szCs w:val="21"/>
                <w:lang w:eastAsia="zh-CN"/>
              </w:rPr>
              <w:t>安享优选</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423" w:type="dxa"/>
            <w:noWrap w:val="0"/>
            <w:vAlign w:val="center"/>
          </w:tcPr>
          <w:p>
            <w:pPr>
              <w:widowControl/>
              <w:spacing w:line="360" w:lineRule="auto"/>
              <w:contextualSpacing/>
              <w:jc w:val="center"/>
              <w:rPr>
                <w:rFonts w:ascii="宋体" w:hAnsi="宋体" w:cs="宋体"/>
                <w:szCs w:val="21"/>
              </w:rPr>
            </w:pPr>
            <w:r>
              <w:rPr>
                <w:rFonts w:hint="eastAsia" w:ascii="宋体" w:hAnsi="宋体" w:cs="宋体"/>
                <w:szCs w:val="21"/>
              </w:rPr>
              <w:t>产品编号</w:t>
            </w:r>
          </w:p>
        </w:tc>
        <w:tc>
          <w:tcPr>
            <w:tcW w:w="7281" w:type="dxa"/>
            <w:noWrap w:val="0"/>
            <w:vAlign w:val="center"/>
          </w:tcPr>
          <w:p>
            <w:pPr>
              <w:widowControl/>
              <w:spacing w:line="360" w:lineRule="auto"/>
              <w:contextualSpacing/>
              <w:rPr>
                <w:rFonts w:ascii="宋体" w:hAnsi="宋体" w:cs="宋体"/>
                <w:color w:val="000000"/>
                <w:szCs w:val="21"/>
              </w:rPr>
            </w:pPr>
            <w:r>
              <w:rPr>
                <w:rFonts w:hint="eastAsia" w:ascii="宋体" w:hAnsi="宋体" w:cs="宋体"/>
                <w:szCs w:val="21"/>
              </w:rPr>
              <w:t>〖TYG1D</w:t>
            </w:r>
            <w:r>
              <w:rPr>
                <w:rFonts w:hint="eastAsia" w:ascii="宋体" w:hAnsi="宋体" w:cs="宋体"/>
                <w:szCs w:val="21"/>
                <w:lang w:val="en-US" w:eastAsia="zh-CN"/>
              </w:rPr>
              <w:t>2201</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423" w:type="dxa"/>
            <w:noWrap w:val="0"/>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登记编码</w:t>
            </w:r>
          </w:p>
        </w:tc>
        <w:tc>
          <w:tcPr>
            <w:tcW w:w="7281" w:type="dxa"/>
            <w:noWrap w:val="0"/>
            <w:vAlign w:val="center"/>
          </w:tcPr>
          <w:p>
            <w:pPr>
              <w:widowControl/>
              <w:spacing w:line="360" w:lineRule="auto"/>
              <w:contextualSpacing/>
              <w:rPr>
                <w:rFonts w:ascii="宋体" w:hAnsi="宋体" w:cs="宋体"/>
                <w:color w:val="000000"/>
                <w:szCs w:val="21"/>
              </w:rPr>
            </w:pPr>
            <w:r>
              <w:rPr>
                <w:rFonts w:hint="eastAsia" w:ascii="宋体" w:hAnsi="宋体" w:cs="宋体"/>
                <w:color w:val="000000"/>
                <w:szCs w:val="21"/>
              </w:rPr>
              <w:t>本理财计划在全国银行业理财信息登记系统的登记编码是〖</w:t>
            </w:r>
            <w:r>
              <w:rPr>
                <w:rFonts w:hint="eastAsia" w:ascii="宋体" w:hAnsi="宋体" w:cs="宋体"/>
                <w:szCs w:val="21"/>
              </w:rPr>
              <w:t>Z7002222000087</w:t>
            </w:r>
            <w:r>
              <w:rPr>
                <w:rFonts w:hint="eastAsia" w:ascii="宋体" w:hAnsi="宋体" w:cs="宋体"/>
                <w:color w:val="000000"/>
                <w:szCs w:val="21"/>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423" w:type="dxa"/>
            <w:noWrap w:val="0"/>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发行对象</w:t>
            </w:r>
          </w:p>
        </w:tc>
        <w:tc>
          <w:tcPr>
            <w:tcW w:w="7281" w:type="dxa"/>
            <w:noWrap w:val="0"/>
            <w:vAlign w:val="center"/>
          </w:tcPr>
          <w:p>
            <w:pPr>
              <w:widowControl/>
              <w:spacing w:line="300" w:lineRule="auto"/>
              <w:contextualSpacing/>
              <w:rPr>
                <w:rFonts w:hint="eastAsia" w:ascii="宋体" w:hAnsi="宋体" w:cs="宋体"/>
                <w:bCs w:val="0"/>
                <w:color w:val="000000"/>
                <w:sz w:val="21"/>
                <w:szCs w:val="21"/>
                <w:highlight w:val="none"/>
              </w:rPr>
            </w:pPr>
            <w:r>
              <w:rPr>
                <w:rFonts w:hint="eastAsia" w:ascii="宋体" w:hAnsi="宋体" w:cs="宋体"/>
                <w:color w:val="000000"/>
                <w:szCs w:val="21"/>
              </w:rPr>
              <w:t>本理财计划适合</w:t>
            </w:r>
            <w:r>
              <w:rPr>
                <w:rFonts w:hint="eastAsia" w:ascii="宋体" w:hAnsi="宋体" w:cs="宋体"/>
                <w:b/>
                <w:szCs w:val="21"/>
              </w:rPr>
              <w:t>〖</w:t>
            </w:r>
            <w:r>
              <w:rPr>
                <w:rFonts w:hint="eastAsia" w:ascii="宋体" w:hAnsi="宋体" w:cs="宋体"/>
                <w:b/>
                <w:color w:val="000000"/>
                <w:szCs w:val="21"/>
              </w:rPr>
              <w:t>机构投资者</w:t>
            </w:r>
            <w:r>
              <w:rPr>
                <w:rFonts w:hint="eastAsia" w:ascii="宋体" w:hAnsi="宋体" w:cs="宋体"/>
                <w:b/>
                <w:szCs w:val="21"/>
              </w:rPr>
              <w:t>〗</w:t>
            </w:r>
            <w:r>
              <w:rPr>
                <w:rFonts w:hint="eastAsia" w:ascii="宋体" w:hAnsi="宋体" w:cs="宋体"/>
                <w:b/>
                <w:color w:val="000000"/>
                <w:szCs w:val="21"/>
              </w:rPr>
              <w:t>以及</w:t>
            </w:r>
            <w:r>
              <w:rPr>
                <w:rFonts w:hint="eastAsia" w:ascii="宋体" w:hAnsi="宋体" w:cs="宋体"/>
                <w:b/>
                <w:szCs w:val="21"/>
              </w:rPr>
              <w:t>〖稳健型、平衡型、成长型、进取型〗</w:t>
            </w:r>
            <w:r>
              <w:rPr>
                <w:rFonts w:hint="eastAsia" w:ascii="宋体" w:hAnsi="宋体" w:cs="宋体"/>
                <w:b/>
                <w:color w:val="000000"/>
                <w:szCs w:val="21"/>
              </w:rPr>
              <w:t>的个人投资者。</w:t>
            </w:r>
            <w:r>
              <w:rPr>
                <w:rFonts w:hint="eastAsia" w:ascii="宋体" w:hAnsi="宋体" w:cs="宋体"/>
                <w:bCs w:val="0"/>
                <w:color w:val="000000"/>
                <w:sz w:val="21"/>
                <w:szCs w:val="21"/>
                <w:highlight w:val="none"/>
              </w:rPr>
              <w:t>投资者风险承受能力评级水平以销售机构评估为准。</w:t>
            </w:r>
          </w:p>
          <w:p>
            <w:pPr>
              <w:widowControl/>
              <w:spacing w:line="300" w:lineRule="auto"/>
              <w:contextualSpacing/>
              <w:rPr>
                <w:rFonts w:hint="eastAsia" w:ascii="宋体" w:hAnsi="宋体" w:cs="宋体"/>
                <w:bCs w:val="0"/>
                <w:color w:val="000000"/>
                <w:sz w:val="21"/>
                <w:szCs w:val="21"/>
                <w:highlight w:val="none"/>
                <w:lang w:val="en-US" w:eastAsia="zh-CN"/>
              </w:rPr>
            </w:pPr>
            <w:r>
              <w:rPr>
                <w:rFonts w:hint="eastAsia" w:ascii="宋体" w:hAnsi="宋体" w:cs="宋体"/>
                <w:bCs w:val="0"/>
                <w:color w:val="000000"/>
                <w:sz w:val="21"/>
                <w:szCs w:val="21"/>
                <w:highlight w:val="none"/>
                <w:lang w:val="en-US" w:eastAsia="zh-CN"/>
              </w:rPr>
              <w:t>其中：</w:t>
            </w:r>
          </w:p>
          <w:p>
            <w:pPr>
              <w:widowControl/>
              <w:spacing w:line="300" w:lineRule="auto"/>
              <w:contextualSpacing/>
              <w:rPr>
                <w:rFonts w:hint="eastAsia" w:ascii="宋体" w:hAnsi="宋体" w:cs="宋体"/>
                <w:b w:val="0"/>
                <w:bCs/>
                <w:color w:val="000000"/>
                <w:sz w:val="21"/>
                <w:szCs w:val="21"/>
                <w:highlight w:val="none"/>
                <w:lang w:eastAsia="zh-CN"/>
              </w:rPr>
            </w:pPr>
            <w:r>
              <w:rPr>
                <w:rFonts w:hint="eastAsia" w:ascii="宋体" w:hAnsi="宋体" w:cs="宋体"/>
                <w:bCs w:val="0"/>
                <w:color w:val="000000"/>
                <w:sz w:val="21"/>
                <w:szCs w:val="21"/>
                <w:highlight w:val="none"/>
                <w:lang w:val="en-US" w:eastAsia="zh-CN"/>
              </w:rPr>
              <w:t>A份额（销售代码</w:t>
            </w:r>
            <w:r>
              <w:rPr>
                <w:rFonts w:hint="eastAsia" w:ascii="宋体" w:hAnsi="宋体" w:cs="宋体"/>
                <w:szCs w:val="21"/>
              </w:rPr>
              <w:t>〖TYG1D</w:t>
            </w:r>
            <w:r>
              <w:rPr>
                <w:rFonts w:hint="eastAsia" w:ascii="宋体" w:hAnsi="宋体" w:cs="宋体"/>
                <w:szCs w:val="21"/>
                <w:lang w:val="en-US" w:eastAsia="zh-CN"/>
              </w:rPr>
              <w:t>2201</w:t>
            </w:r>
            <w:r>
              <w:rPr>
                <w:rFonts w:hint="eastAsia" w:ascii="宋体" w:hAnsi="宋体" w:cs="宋体"/>
                <w:szCs w:val="21"/>
              </w:rPr>
              <w:t>〗</w:t>
            </w:r>
            <w:r>
              <w:rPr>
                <w:rFonts w:hint="eastAsia" w:ascii="宋体" w:hAnsi="宋体" w:cs="宋体"/>
                <w:bCs w:val="0"/>
                <w:color w:val="000000"/>
                <w:sz w:val="21"/>
                <w:szCs w:val="21"/>
                <w:highlight w:val="none"/>
                <w:lang w:val="en-US" w:eastAsia="zh-CN"/>
              </w:rPr>
              <w:t>）</w:t>
            </w:r>
            <w:r>
              <w:rPr>
                <w:rFonts w:hint="eastAsia" w:ascii="宋体" w:hAnsi="宋体" w:cs="宋体"/>
                <w:szCs w:val="21"/>
                <w:lang w:val="en-US" w:eastAsia="zh-CN"/>
              </w:rPr>
              <w:t>面向</w:t>
            </w:r>
            <w:r>
              <w:rPr>
                <w:rFonts w:hint="eastAsia" w:ascii="宋体" w:hAnsi="宋体" w:cs="宋体"/>
                <w:b w:val="0"/>
                <w:bCs/>
                <w:color w:val="000000"/>
                <w:sz w:val="21"/>
                <w:szCs w:val="21"/>
                <w:highlight w:val="none"/>
                <w:lang w:eastAsia="zh-CN"/>
              </w:rPr>
              <w:t>〖普通个人</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和机构</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〗发售。</w:t>
            </w:r>
          </w:p>
          <w:p>
            <w:pPr>
              <w:widowControl/>
              <w:spacing w:line="30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B份额（</w:t>
            </w:r>
            <w:r>
              <w:rPr>
                <w:rFonts w:hint="eastAsia" w:ascii="宋体" w:hAnsi="宋体" w:cs="宋体"/>
                <w:bCs w:val="0"/>
                <w:color w:val="000000"/>
                <w:sz w:val="21"/>
                <w:szCs w:val="21"/>
                <w:highlight w:val="none"/>
                <w:lang w:val="en-US" w:eastAsia="zh-CN"/>
              </w:rPr>
              <w:t>销售代码</w:t>
            </w:r>
            <w:r>
              <w:rPr>
                <w:rFonts w:hint="eastAsia" w:ascii="宋体" w:hAnsi="宋体" w:cs="宋体"/>
                <w:szCs w:val="21"/>
              </w:rPr>
              <w:t>〖TYG1D</w:t>
            </w:r>
            <w:r>
              <w:rPr>
                <w:rFonts w:hint="eastAsia" w:ascii="宋体" w:hAnsi="宋体" w:cs="宋体"/>
                <w:szCs w:val="21"/>
                <w:lang w:val="en-US" w:eastAsia="zh-CN"/>
              </w:rPr>
              <w:t>2201B</w:t>
            </w:r>
            <w:r>
              <w:rPr>
                <w:rFonts w:hint="eastAsia" w:ascii="宋体" w:hAnsi="宋体" w:cs="宋体"/>
                <w:szCs w:val="21"/>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0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C份额（</w:t>
            </w:r>
            <w:r>
              <w:rPr>
                <w:rFonts w:hint="eastAsia" w:ascii="宋体" w:hAnsi="宋体" w:cs="宋体"/>
                <w:bCs w:val="0"/>
                <w:color w:val="000000"/>
                <w:sz w:val="21"/>
                <w:szCs w:val="21"/>
                <w:highlight w:val="none"/>
                <w:lang w:val="en-US" w:eastAsia="zh-CN"/>
              </w:rPr>
              <w:t>销售代码</w:t>
            </w:r>
            <w:r>
              <w:rPr>
                <w:rFonts w:hint="eastAsia" w:ascii="宋体" w:hAnsi="宋体" w:cs="宋体"/>
                <w:szCs w:val="21"/>
              </w:rPr>
              <w:t>〖TYG1D</w:t>
            </w:r>
            <w:r>
              <w:rPr>
                <w:rFonts w:hint="eastAsia" w:ascii="宋体" w:hAnsi="宋体" w:cs="宋体"/>
                <w:szCs w:val="21"/>
                <w:lang w:val="en-US" w:eastAsia="zh-CN"/>
              </w:rPr>
              <w:t>2201C</w:t>
            </w:r>
            <w:r>
              <w:rPr>
                <w:rFonts w:hint="eastAsia" w:ascii="宋体" w:hAnsi="宋体" w:cs="宋体"/>
                <w:szCs w:val="21"/>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0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Cs/>
                <w:color w:val="000000"/>
                <w:szCs w:val="21"/>
              </w:rPr>
              <w:t>D份额</w:t>
            </w:r>
            <w:r>
              <w:rPr>
                <w:rFonts w:hint="eastAsia" w:ascii="宋体" w:hAnsi="宋体" w:cs="宋体"/>
                <w:bCs/>
                <w:color w:val="000000"/>
                <w:szCs w:val="21"/>
                <w:lang w:eastAsia="zh-CN"/>
              </w:rPr>
              <w:t>（</w:t>
            </w:r>
            <w:r>
              <w:rPr>
                <w:rFonts w:hint="eastAsia" w:ascii="宋体" w:hAnsi="宋体" w:cs="宋体"/>
                <w:bCs/>
                <w:color w:val="000000"/>
                <w:szCs w:val="21"/>
                <w:lang w:val="en-US" w:eastAsia="zh-CN"/>
              </w:rPr>
              <w:t>销售名称：杭银理财幸福99天添益私银尊享（安享优选）1期理财D款</w:t>
            </w:r>
            <w:r>
              <w:rPr>
                <w:rFonts w:hint="eastAsia" w:ascii="宋体" w:hAnsi="宋体" w:cs="宋体"/>
                <w:bCs/>
                <w:color w:val="000000"/>
                <w:szCs w:val="21"/>
                <w:lang w:eastAsia="zh-CN"/>
              </w:rPr>
              <w:t>）</w:t>
            </w:r>
            <w:r>
              <w:rPr>
                <w:rFonts w:hint="eastAsia" w:ascii="宋体" w:hAnsi="宋体" w:cs="宋体"/>
                <w:bCs/>
                <w:color w:val="000000"/>
                <w:szCs w:val="21"/>
              </w:rPr>
              <w:t>（</w:t>
            </w:r>
            <w:r>
              <w:rPr>
                <w:rFonts w:hint="eastAsia" w:ascii="宋体" w:hAnsi="宋体" w:cs="宋体"/>
                <w:color w:val="000000"/>
                <w:szCs w:val="21"/>
              </w:rPr>
              <w:t>销售代码</w:t>
            </w:r>
            <w:r>
              <w:rPr>
                <w:rFonts w:hint="eastAsia" w:ascii="宋体" w:hAnsi="宋体" w:cs="宋体"/>
                <w:szCs w:val="21"/>
              </w:rPr>
              <w:t>〖TYG1D2201</w:t>
            </w:r>
            <w:r>
              <w:rPr>
                <w:rFonts w:ascii="宋体" w:hAnsi="宋体" w:cs="宋体"/>
                <w:szCs w:val="21"/>
              </w:rPr>
              <w:t>D</w:t>
            </w:r>
            <w:r>
              <w:rPr>
                <w:rFonts w:hint="eastAsia" w:ascii="宋体" w:hAnsi="宋体" w:cs="宋体"/>
                <w:szCs w:val="21"/>
              </w:rPr>
              <w:t>〗</w:t>
            </w:r>
            <w:r>
              <w:rPr>
                <w:rFonts w:hint="eastAsia" w:ascii="宋体" w:hAnsi="宋体" w:cs="宋体"/>
                <w:bCs/>
                <w:color w:val="000000"/>
                <w:szCs w:val="21"/>
              </w:rPr>
              <w:t>）面向〖</w:t>
            </w:r>
            <w:r>
              <w:rPr>
                <w:rFonts w:hint="eastAsia" w:ascii="宋体" w:hAnsi="宋体" w:cs="宋体"/>
                <w:bCs/>
                <w:color w:val="000000"/>
                <w:szCs w:val="21"/>
                <w:lang w:val="en-US" w:eastAsia="zh-CN"/>
              </w:rPr>
              <w:t>其他代销机构</w:t>
            </w:r>
            <w:r>
              <w:rPr>
                <w:rFonts w:hint="eastAsia" w:ascii="宋体" w:hAnsi="宋体" w:cs="宋体"/>
                <w:bCs/>
                <w:color w:val="000000"/>
                <w:szCs w:val="21"/>
              </w:rPr>
              <w:t>〗发售。</w:t>
            </w:r>
          </w:p>
          <w:p>
            <w:pPr>
              <w:widowControl/>
              <w:spacing w:line="30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E份额（</w:t>
            </w:r>
            <w:r>
              <w:rPr>
                <w:rFonts w:hint="eastAsia" w:ascii="宋体" w:hAnsi="宋体" w:cs="宋体"/>
                <w:bCs w:val="0"/>
                <w:color w:val="000000"/>
                <w:sz w:val="21"/>
                <w:szCs w:val="21"/>
                <w:highlight w:val="none"/>
                <w:lang w:val="en-US" w:eastAsia="zh-CN"/>
              </w:rPr>
              <w:t>销售代码</w:t>
            </w:r>
            <w:r>
              <w:rPr>
                <w:rFonts w:hint="eastAsia" w:ascii="宋体" w:hAnsi="宋体" w:cs="宋体"/>
                <w:szCs w:val="21"/>
              </w:rPr>
              <w:t>〖TYG1D</w:t>
            </w:r>
            <w:r>
              <w:rPr>
                <w:rFonts w:hint="eastAsia" w:ascii="宋体" w:hAnsi="宋体" w:cs="宋体"/>
                <w:szCs w:val="21"/>
                <w:lang w:val="en-US" w:eastAsia="zh-CN"/>
              </w:rPr>
              <w:t>2201E</w:t>
            </w:r>
            <w:r>
              <w:rPr>
                <w:rFonts w:hint="eastAsia" w:ascii="宋体" w:hAnsi="宋体" w:cs="宋体"/>
                <w:szCs w:val="21"/>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0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F份额（</w:t>
            </w:r>
            <w:r>
              <w:rPr>
                <w:rFonts w:hint="eastAsia" w:ascii="宋体" w:hAnsi="宋体" w:cs="宋体"/>
                <w:bCs w:val="0"/>
                <w:color w:val="000000"/>
                <w:sz w:val="21"/>
                <w:szCs w:val="21"/>
                <w:highlight w:val="none"/>
                <w:lang w:val="en-US" w:eastAsia="zh-CN"/>
              </w:rPr>
              <w:t>销售代码</w:t>
            </w:r>
            <w:r>
              <w:rPr>
                <w:rFonts w:hint="eastAsia" w:ascii="宋体" w:hAnsi="宋体" w:cs="宋体"/>
                <w:szCs w:val="21"/>
              </w:rPr>
              <w:t>〖TYG1D</w:t>
            </w:r>
            <w:r>
              <w:rPr>
                <w:rFonts w:hint="eastAsia" w:ascii="宋体" w:hAnsi="宋体" w:cs="宋体"/>
                <w:szCs w:val="21"/>
                <w:lang w:val="en-US" w:eastAsia="zh-CN"/>
              </w:rPr>
              <w:t>2201F</w:t>
            </w:r>
            <w:r>
              <w:rPr>
                <w:rFonts w:hint="eastAsia" w:ascii="宋体" w:hAnsi="宋体" w:cs="宋体"/>
                <w:szCs w:val="21"/>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特邀客户</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0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G份额（</w:t>
            </w:r>
            <w:r>
              <w:rPr>
                <w:rFonts w:hint="eastAsia" w:ascii="宋体" w:hAnsi="宋体" w:cs="宋体"/>
                <w:bCs w:val="0"/>
                <w:color w:val="000000"/>
                <w:sz w:val="21"/>
                <w:szCs w:val="21"/>
                <w:highlight w:val="none"/>
                <w:lang w:val="en-US" w:eastAsia="zh-CN"/>
              </w:rPr>
              <w:t>销售代码</w:t>
            </w:r>
            <w:r>
              <w:rPr>
                <w:rFonts w:hint="eastAsia" w:ascii="宋体" w:hAnsi="宋体" w:cs="宋体"/>
                <w:szCs w:val="21"/>
              </w:rPr>
              <w:t>〖TYG1D</w:t>
            </w:r>
            <w:r>
              <w:rPr>
                <w:rFonts w:hint="eastAsia" w:ascii="宋体" w:hAnsi="宋体" w:cs="宋体"/>
                <w:szCs w:val="21"/>
                <w:lang w:val="en-US" w:eastAsia="zh-CN"/>
              </w:rPr>
              <w:t>2201G</w:t>
            </w:r>
            <w:r>
              <w:rPr>
                <w:rFonts w:hint="eastAsia" w:ascii="宋体" w:hAnsi="宋体" w:cs="宋体"/>
                <w:szCs w:val="21"/>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0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H份额（</w:t>
            </w:r>
            <w:r>
              <w:rPr>
                <w:rFonts w:hint="eastAsia" w:ascii="宋体" w:hAnsi="宋体" w:cs="宋体"/>
                <w:bCs w:val="0"/>
                <w:color w:val="000000"/>
                <w:sz w:val="21"/>
                <w:szCs w:val="21"/>
                <w:highlight w:val="none"/>
                <w:lang w:val="en-US" w:eastAsia="zh-CN"/>
              </w:rPr>
              <w:t>销售代码</w:t>
            </w:r>
            <w:r>
              <w:rPr>
                <w:rFonts w:hint="eastAsia" w:ascii="宋体" w:hAnsi="宋体" w:cs="宋体"/>
                <w:szCs w:val="21"/>
              </w:rPr>
              <w:t>〖TYG1D</w:t>
            </w:r>
            <w:r>
              <w:rPr>
                <w:rFonts w:hint="eastAsia" w:ascii="宋体" w:hAnsi="宋体" w:cs="宋体"/>
                <w:szCs w:val="21"/>
                <w:lang w:val="en-US" w:eastAsia="zh-CN"/>
              </w:rPr>
              <w:t>2201</w:t>
            </w:r>
            <w:r>
              <w:rPr>
                <w:rFonts w:hint="eastAsia" w:ascii="宋体" w:hAnsi="宋体" w:cs="宋体"/>
                <w:b w:val="0"/>
                <w:bCs/>
                <w:color w:val="000000"/>
                <w:sz w:val="21"/>
                <w:szCs w:val="21"/>
                <w:highlight w:val="none"/>
                <w:lang w:val="en-US" w:eastAsia="zh-CN"/>
              </w:rPr>
              <w:t>H</w:t>
            </w:r>
            <w:r>
              <w:rPr>
                <w:rFonts w:hint="eastAsia" w:ascii="宋体" w:hAnsi="宋体" w:cs="宋体"/>
                <w:szCs w:val="21"/>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00" w:lineRule="auto"/>
              <w:contextualSpacing/>
              <w:rPr>
                <w:rFonts w:hint="default"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I份额（</w:t>
            </w:r>
            <w:r>
              <w:rPr>
                <w:rFonts w:hint="eastAsia" w:ascii="宋体" w:hAnsi="宋体" w:cs="宋体"/>
                <w:bCs w:val="0"/>
                <w:color w:val="000000"/>
                <w:sz w:val="21"/>
                <w:szCs w:val="21"/>
                <w:highlight w:val="none"/>
                <w:lang w:val="en-US" w:eastAsia="zh-CN"/>
              </w:rPr>
              <w:t>销售代码</w:t>
            </w:r>
            <w:r>
              <w:rPr>
                <w:rFonts w:hint="eastAsia" w:ascii="宋体" w:hAnsi="宋体" w:cs="宋体"/>
                <w:szCs w:val="21"/>
              </w:rPr>
              <w:t>〖TYG1D</w:t>
            </w:r>
            <w:r>
              <w:rPr>
                <w:rFonts w:hint="eastAsia" w:ascii="宋体" w:hAnsi="宋体" w:cs="宋体"/>
                <w:szCs w:val="21"/>
                <w:lang w:val="en-US" w:eastAsia="zh-CN"/>
              </w:rPr>
              <w:t>2201</w:t>
            </w:r>
            <w:r>
              <w:rPr>
                <w:rFonts w:hint="eastAsia" w:ascii="宋体" w:hAnsi="宋体" w:cs="宋体"/>
                <w:b w:val="0"/>
                <w:bCs/>
                <w:color w:val="000000"/>
                <w:sz w:val="21"/>
                <w:szCs w:val="21"/>
                <w:highlight w:val="none"/>
                <w:lang w:val="en-US" w:eastAsia="zh-CN"/>
              </w:rPr>
              <w:t>I</w:t>
            </w:r>
            <w:r>
              <w:rPr>
                <w:rFonts w:hint="eastAsia" w:ascii="宋体" w:hAnsi="宋体" w:cs="宋体"/>
                <w:szCs w:val="21"/>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423" w:type="dxa"/>
            <w:noWrap w:val="0"/>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发行方式</w:t>
            </w:r>
          </w:p>
        </w:tc>
        <w:tc>
          <w:tcPr>
            <w:tcW w:w="7281" w:type="dxa"/>
            <w:noWrap w:val="0"/>
            <w:vAlign w:val="center"/>
          </w:tcPr>
          <w:p>
            <w:pPr>
              <w:widowControl/>
              <w:spacing w:line="360" w:lineRule="auto"/>
              <w:contextualSpacing/>
              <w:rPr>
                <w:rFonts w:ascii="宋体" w:hAnsi="宋体" w:cs="宋体"/>
                <w:color w:val="000000"/>
                <w:szCs w:val="21"/>
              </w:rPr>
            </w:pPr>
            <w:r>
              <w:rPr>
                <w:rFonts w:hint="eastAsia" w:ascii="宋体" w:hAnsi="宋体" w:cs="宋体"/>
                <w:szCs w:val="21"/>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产品类型</w:t>
            </w:r>
          </w:p>
        </w:tc>
        <w:tc>
          <w:tcPr>
            <w:tcW w:w="7281" w:type="dxa"/>
            <w:noWrap w:val="0"/>
            <w:vAlign w:val="center"/>
          </w:tcPr>
          <w:p>
            <w:pPr>
              <w:widowControl/>
              <w:spacing w:line="360" w:lineRule="auto"/>
              <w:contextualSpacing/>
              <w:rPr>
                <w:rFonts w:ascii="宋体" w:hAnsi="宋体" w:cs="宋体"/>
                <w:color w:val="000000"/>
                <w:szCs w:val="21"/>
              </w:rPr>
            </w:pPr>
            <w:r>
              <w:rPr>
                <w:rFonts w:hint="eastAsia" w:ascii="宋体" w:hAnsi="宋体" w:cs="宋体"/>
                <w:szCs w:val="21"/>
              </w:rPr>
              <w:t>〖固定收益〗</w:t>
            </w:r>
            <w:r>
              <w:rPr>
                <w:rFonts w:hint="eastAsia" w:ascii="宋体" w:hAnsi="宋体" w:cs="宋体"/>
                <w:color w:val="000000"/>
                <w:szCs w:val="21"/>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423" w:type="dxa"/>
            <w:noWrap w:val="0"/>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运作模式</w:t>
            </w:r>
          </w:p>
        </w:tc>
        <w:tc>
          <w:tcPr>
            <w:tcW w:w="7281" w:type="dxa"/>
            <w:noWrap w:val="0"/>
            <w:vAlign w:val="center"/>
          </w:tcPr>
          <w:p>
            <w:pPr>
              <w:widowControl/>
              <w:spacing w:line="360" w:lineRule="auto"/>
              <w:contextualSpacing/>
              <w:rPr>
                <w:rFonts w:ascii="宋体" w:hAnsi="宋体" w:cs="宋体"/>
                <w:color w:val="000000"/>
                <w:szCs w:val="21"/>
              </w:rPr>
            </w:pPr>
            <w:r>
              <w:rPr>
                <w:rFonts w:hint="eastAsia" w:ascii="宋体" w:hAnsi="宋体" w:cs="宋体"/>
                <w:color w:val="000000"/>
                <w:szCs w:val="21"/>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423" w:type="dxa"/>
            <w:noWrap w:val="0"/>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销售范围</w:t>
            </w:r>
          </w:p>
        </w:tc>
        <w:tc>
          <w:tcPr>
            <w:tcW w:w="7281" w:type="dxa"/>
            <w:noWrap w:val="0"/>
            <w:vAlign w:val="center"/>
          </w:tcPr>
          <w:p>
            <w:pPr>
              <w:widowControl/>
              <w:spacing w:line="360" w:lineRule="auto"/>
              <w:contextualSpacing/>
              <w:rPr>
                <w:rFonts w:ascii="宋体" w:hAnsi="宋体" w:cs="宋体"/>
                <w:color w:val="000000"/>
                <w:szCs w:val="21"/>
              </w:rPr>
            </w:pPr>
            <w:r>
              <w:rPr>
                <w:rFonts w:hint="eastAsia" w:ascii="宋体" w:hAnsi="宋体" w:cs="宋体"/>
                <w:szCs w:val="21"/>
              </w:rPr>
              <w:t>〖</w:t>
            </w:r>
            <w:r>
              <w:rPr>
                <w:rFonts w:hint="eastAsia" w:ascii="宋体" w:hAnsi="宋体" w:cs="宋体"/>
                <w:color w:val="000000"/>
                <w:szCs w:val="21"/>
              </w:rPr>
              <w:t>全国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销售渠道</w:t>
            </w:r>
          </w:p>
        </w:tc>
        <w:tc>
          <w:tcPr>
            <w:tcW w:w="7281" w:type="dxa"/>
            <w:noWrap w:val="0"/>
            <w:vAlign w:val="center"/>
          </w:tcPr>
          <w:p>
            <w:pPr>
              <w:widowControl/>
              <w:spacing w:line="360" w:lineRule="auto"/>
              <w:contextualSpacing/>
              <w:jc w:val="left"/>
              <w:rPr>
                <w:rFonts w:ascii="宋体" w:hAnsi="宋体" w:cs="宋体"/>
                <w:color w:val="000000"/>
                <w:szCs w:val="21"/>
              </w:rPr>
            </w:pPr>
            <w:r>
              <w:rPr>
                <w:rFonts w:hint="eastAsia" w:ascii="宋体" w:hAnsi="宋体" w:cs="宋体"/>
                <w:color w:val="000000"/>
                <w:szCs w:val="21"/>
              </w:rPr>
              <w:t>可通过</w:t>
            </w:r>
            <w:r>
              <w:rPr>
                <w:rFonts w:hint="eastAsia" w:ascii="宋体" w:hAnsi="宋体" w:cs="宋体"/>
                <w:color w:val="000000"/>
                <w:sz w:val="21"/>
                <w:szCs w:val="21"/>
                <w:highlight w:val="none"/>
              </w:rPr>
              <w:t>杭银理财直销渠道</w:t>
            </w:r>
            <w:r>
              <w:rPr>
                <w:rFonts w:hint="eastAsia" w:ascii="宋体" w:hAnsi="宋体" w:cs="宋体"/>
                <w:color w:val="000000"/>
                <w:sz w:val="21"/>
                <w:szCs w:val="21"/>
                <w:lang w:eastAsia="zh-CN"/>
              </w:rPr>
              <w:t>和代理</w:t>
            </w:r>
            <w:r>
              <w:rPr>
                <w:rFonts w:hint="eastAsia" w:ascii="宋体" w:hAnsi="宋体" w:cs="宋体"/>
                <w:color w:val="000000"/>
                <w:szCs w:val="21"/>
              </w:rPr>
              <w:t>销售机构的</w:t>
            </w:r>
            <w:r>
              <w:rPr>
                <w:rFonts w:hint="eastAsia" w:ascii="宋体" w:hAnsi="宋体" w:cs="宋体"/>
                <w:szCs w:val="21"/>
              </w:rPr>
              <w:t>〖</w:t>
            </w:r>
            <w:r>
              <w:rPr>
                <w:rFonts w:hint="eastAsia" w:ascii="宋体" w:hAnsi="宋体" w:cs="宋体"/>
                <w:color w:val="000000"/>
                <w:szCs w:val="21"/>
              </w:rPr>
              <w:t>营业网点、网上银行、手机银行</w:t>
            </w:r>
            <w:r>
              <w:rPr>
                <w:rFonts w:hint="eastAsia" w:ascii="宋体" w:hAnsi="宋体" w:cs="宋体"/>
                <w:szCs w:val="21"/>
              </w:rPr>
              <w:t>〗</w:t>
            </w:r>
            <w:r>
              <w:rPr>
                <w:rFonts w:hint="eastAsia" w:ascii="宋体" w:hAnsi="宋体" w:cs="宋体"/>
                <w:color w:val="000000"/>
                <w:szCs w:val="21"/>
              </w:rPr>
              <w:t>等渠道购买</w:t>
            </w:r>
            <w:r>
              <w:rPr>
                <w:rFonts w:hint="eastAsia" w:ascii="宋体" w:hAnsi="宋体" w:cs="宋体"/>
                <w:color w:val="000000"/>
                <w:sz w:val="21"/>
                <w:szCs w:val="21"/>
                <w:lang w:eastAsia="zh-CN"/>
              </w:rPr>
              <w:t>，</w:t>
            </w:r>
            <w:r>
              <w:rPr>
                <w:rFonts w:hint="eastAsia" w:ascii="宋体" w:hAnsi="宋体" w:cs="宋体"/>
                <w:color w:val="000000"/>
                <w:sz w:val="21"/>
                <w:szCs w:val="21"/>
                <w:highlight w:val="none"/>
              </w:rPr>
              <w:t>通过代理销售机构购买的，具体销售渠道以代理销售机构披露为准</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交易币种</w:t>
            </w:r>
          </w:p>
        </w:tc>
        <w:tc>
          <w:tcPr>
            <w:tcW w:w="7281" w:type="dxa"/>
            <w:noWrap w:val="0"/>
            <w:vAlign w:val="center"/>
          </w:tcPr>
          <w:p>
            <w:pPr>
              <w:widowControl/>
              <w:spacing w:line="360" w:lineRule="auto"/>
              <w:contextualSpacing/>
              <w:rPr>
                <w:rFonts w:ascii="宋体" w:hAnsi="宋体" w:cs="宋体"/>
                <w:color w:val="000000"/>
                <w:szCs w:val="21"/>
              </w:rPr>
            </w:pPr>
            <w:r>
              <w:rPr>
                <w:rFonts w:hint="eastAsia" w:ascii="宋体" w:hAnsi="宋体" w:cs="宋体"/>
                <w:szCs w:val="21"/>
              </w:rPr>
              <w:t>〖</w:t>
            </w:r>
            <w:r>
              <w:rPr>
                <w:rFonts w:hint="eastAsia" w:ascii="宋体" w:hAnsi="宋体" w:cs="宋体"/>
                <w:color w:val="000000"/>
                <w:szCs w:val="21"/>
              </w:rPr>
              <w:t>人民币</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发行规模上限</w:t>
            </w:r>
          </w:p>
        </w:tc>
        <w:tc>
          <w:tcPr>
            <w:tcW w:w="7281" w:type="dxa"/>
            <w:noWrap w:val="0"/>
            <w:vAlign w:val="center"/>
          </w:tcPr>
          <w:p>
            <w:pPr>
              <w:widowControl/>
              <w:spacing w:line="360" w:lineRule="auto"/>
              <w:jc w:val="left"/>
              <w:rPr>
                <w:rFonts w:hint="eastAsia" w:ascii="宋体" w:hAnsi="宋体" w:cs="宋体"/>
                <w:color w:val="000000"/>
                <w:szCs w:val="21"/>
              </w:rPr>
            </w:pPr>
            <w:r>
              <w:rPr>
                <w:rFonts w:hint="eastAsia" w:ascii="宋体" w:hAnsi="宋体" w:cs="宋体"/>
                <w:color w:val="000000"/>
                <w:szCs w:val="21"/>
                <w:highlight w:val="none"/>
                <w:lang w:val="en-US" w:eastAsia="zh-CN"/>
              </w:rPr>
              <w:t>A、B、C、E、F、G、H、I份额合计：</w:t>
            </w:r>
            <w:r>
              <w:rPr>
                <w:rFonts w:hint="eastAsia" w:ascii="宋体" w:hAnsi="宋体" w:cs="宋体"/>
                <w:color w:val="000000"/>
                <w:szCs w:val="21"/>
              </w:rPr>
              <w:t>〖</w:t>
            </w:r>
            <w:r>
              <w:rPr>
                <w:rFonts w:hint="eastAsia" w:ascii="宋体" w:hAnsi="宋体" w:cs="宋体"/>
                <w:color w:val="000000"/>
                <w:szCs w:val="21"/>
                <w:lang w:val="en-US" w:eastAsia="zh-CN"/>
              </w:rPr>
              <w:t>300</w:t>
            </w:r>
            <w:r>
              <w:rPr>
                <w:rFonts w:hint="eastAsia" w:ascii="宋体" w:hAnsi="宋体" w:cs="宋体"/>
                <w:color w:val="000000"/>
                <w:szCs w:val="21"/>
              </w:rPr>
              <w:t>〗亿元</w:t>
            </w:r>
          </w:p>
          <w:p>
            <w:pPr>
              <w:widowControl/>
              <w:spacing w:line="360" w:lineRule="auto"/>
              <w:jc w:val="left"/>
              <w:rPr>
                <w:rFonts w:hint="eastAsia" w:ascii="宋体" w:hAnsi="宋体" w:cs="宋体"/>
                <w:color w:val="000000"/>
                <w:szCs w:val="21"/>
              </w:rPr>
            </w:pPr>
            <w:r>
              <w:rPr>
                <w:rFonts w:hint="eastAsia" w:ascii="宋体" w:hAnsi="宋体" w:cs="宋体"/>
                <w:color w:val="000000"/>
                <w:szCs w:val="21"/>
                <w:highlight w:val="none"/>
                <w:lang w:val="en-US" w:eastAsia="zh-CN"/>
              </w:rPr>
              <w:t>D份额：</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100</w:t>
            </w:r>
            <w:r>
              <w:rPr>
                <w:rFonts w:hint="eastAsia" w:ascii="宋体" w:hAnsi="宋体" w:cs="宋体"/>
                <w:color w:val="000000"/>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423" w:type="dxa"/>
            <w:noWrap w:val="0"/>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认购期</w:t>
            </w:r>
          </w:p>
        </w:tc>
        <w:tc>
          <w:tcPr>
            <w:tcW w:w="7281" w:type="dxa"/>
            <w:noWrap w:val="0"/>
            <w:vAlign w:val="center"/>
          </w:tcPr>
          <w:p>
            <w:pPr>
              <w:widowControl/>
              <w:spacing w:line="360" w:lineRule="auto"/>
              <w:contextualSpacing/>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2022</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〗月〖</w:t>
            </w:r>
            <w:r>
              <w:rPr>
                <w:rFonts w:hint="eastAsia" w:ascii="宋体" w:hAnsi="宋体" w:cs="宋体"/>
                <w:color w:val="000000"/>
                <w:szCs w:val="21"/>
                <w:lang w:val="en-US" w:eastAsia="zh-CN"/>
              </w:rPr>
              <w:t>8</w:t>
            </w:r>
            <w:r>
              <w:rPr>
                <w:rFonts w:hint="eastAsia" w:ascii="宋体" w:hAnsi="宋体" w:cs="宋体"/>
                <w:color w:val="000000"/>
                <w:szCs w:val="21"/>
              </w:rPr>
              <w:t>〗日-〖</w:t>
            </w:r>
            <w:r>
              <w:rPr>
                <w:rFonts w:hint="eastAsia" w:ascii="宋体" w:hAnsi="宋体" w:cs="宋体"/>
                <w:color w:val="000000"/>
                <w:szCs w:val="21"/>
                <w:lang w:val="en-US" w:eastAsia="zh-CN"/>
              </w:rPr>
              <w:t>2022</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〗月〖</w:t>
            </w:r>
            <w:r>
              <w:rPr>
                <w:rFonts w:hint="eastAsia" w:ascii="宋体" w:hAnsi="宋体" w:cs="宋体"/>
                <w:color w:val="000000"/>
                <w:szCs w:val="21"/>
                <w:lang w:val="en-US" w:eastAsia="zh-CN"/>
              </w:rPr>
              <w:t>14</w:t>
            </w:r>
            <w:r>
              <w:rPr>
                <w:rFonts w:hint="eastAsia" w:ascii="宋体" w:hAnsi="宋体" w:cs="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423" w:type="dxa"/>
            <w:noWrap w:val="0"/>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认购时间</w:t>
            </w:r>
          </w:p>
        </w:tc>
        <w:tc>
          <w:tcPr>
            <w:tcW w:w="7281" w:type="dxa"/>
            <w:noWrap w:val="0"/>
            <w:vAlign w:val="center"/>
          </w:tcPr>
          <w:p>
            <w:pPr>
              <w:widowControl/>
              <w:spacing w:line="360" w:lineRule="auto"/>
              <w:contextualSpacing/>
              <w:rPr>
                <w:rFonts w:ascii="宋体" w:hAnsi="宋体" w:cs="宋体"/>
                <w:color w:val="000000"/>
                <w:szCs w:val="21"/>
              </w:rPr>
            </w:pPr>
            <w:r>
              <w:rPr>
                <w:rFonts w:hint="eastAsia" w:ascii="宋体" w:hAnsi="宋体" w:cs="宋体"/>
                <w:color w:val="000000"/>
                <w:szCs w:val="21"/>
              </w:rPr>
              <w:t>认购期首日〖9：00〗至认购结束日〖1</w:t>
            </w:r>
            <w:r>
              <w:rPr>
                <w:rFonts w:hint="eastAsia" w:ascii="宋体" w:hAnsi="宋体" w:cs="宋体"/>
                <w:color w:val="000000"/>
                <w:szCs w:val="21"/>
                <w:lang w:val="en-US" w:eastAsia="zh-CN"/>
              </w:rPr>
              <w:t>5</w:t>
            </w:r>
            <w:r>
              <w:rPr>
                <w:rFonts w:hint="eastAsia" w:ascii="宋体" w:hAnsi="宋体" w:cs="宋体"/>
                <w:color w:val="000000"/>
                <w:szCs w:val="21"/>
              </w:rPr>
              <w:t>：</w:t>
            </w:r>
            <w:r>
              <w:rPr>
                <w:rFonts w:hint="eastAsia" w:ascii="宋体" w:hAnsi="宋体" w:cs="宋体"/>
                <w:color w:val="000000"/>
                <w:szCs w:val="21"/>
                <w:lang w:val="en-US" w:eastAsia="zh-CN"/>
              </w:rPr>
              <w:t>45</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成立日</w:t>
            </w:r>
          </w:p>
        </w:tc>
        <w:tc>
          <w:tcPr>
            <w:tcW w:w="7281" w:type="dxa"/>
            <w:noWrap w:val="0"/>
            <w:vAlign w:val="center"/>
          </w:tcPr>
          <w:p>
            <w:pPr>
              <w:widowControl/>
              <w:spacing w:line="360" w:lineRule="auto"/>
              <w:contextualSpacing/>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2022</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〗月〖</w:t>
            </w:r>
            <w:r>
              <w:rPr>
                <w:rFonts w:hint="eastAsia" w:ascii="宋体" w:hAnsi="宋体" w:cs="宋体"/>
                <w:color w:val="000000"/>
                <w:szCs w:val="21"/>
                <w:lang w:val="en-US" w:eastAsia="zh-CN"/>
              </w:rPr>
              <w:t>15</w:t>
            </w:r>
            <w:r>
              <w:rPr>
                <w:rFonts w:hint="eastAsia" w:ascii="宋体" w:hAnsi="宋体" w:cs="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理财期限</w:t>
            </w:r>
          </w:p>
        </w:tc>
        <w:tc>
          <w:tcPr>
            <w:tcW w:w="7281" w:type="dxa"/>
            <w:noWrap w:val="0"/>
            <w:vAlign w:val="center"/>
          </w:tcPr>
          <w:p>
            <w:pPr>
              <w:widowControl/>
              <w:spacing w:line="360" w:lineRule="auto"/>
              <w:contextualSpacing/>
              <w:rPr>
                <w:rFonts w:ascii="宋体" w:hAnsi="宋体" w:cs="宋体"/>
                <w:color w:val="000000"/>
                <w:szCs w:val="21"/>
              </w:rPr>
            </w:pPr>
            <w:r>
              <w:rPr>
                <w:rFonts w:hint="eastAsia" w:ascii="宋体" w:hAnsi="宋体" w:cs="宋体"/>
                <w:color w:val="000000"/>
                <w:szCs w:val="21"/>
              </w:rPr>
              <w:t>无固定期限（实际理财期限受制于管理人</w:t>
            </w:r>
            <w:r>
              <w:rPr>
                <w:rFonts w:hint="eastAsia" w:ascii="宋体" w:hAnsi="宋体" w:cs="宋体"/>
                <w:color w:val="000000"/>
                <w:sz w:val="21"/>
                <w:szCs w:val="21"/>
              </w:rPr>
              <w:t>提前</w:t>
            </w:r>
            <w:r>
              <w:rPr>
                <w:rFonts w:hint="eastAsia" w:ascii="宋体" w:hAnsi="宋体" w:cs="宋体"/>
                <w:color w:val="000000"/>
                <w:szCs w:val="21"/>
              </w:rPr>
              <w:t>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认购/申购</w:t>
            </w:r>
          </w:p>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起点金额</w:t>
            </w:r>
          </w:p>
        </w:tc>
        <w:tc>
          <w:tcPr>
            <w:tcW w:w="7281" w:type="dxa"/>
            <w:noWrap w:val="0"/>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cs="宋体"/>
                <w:bCs/>
                <w:color w:val="auto"/>
                <w:szCs w:val="21"/>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bCs/>
                <w:color w:val="auto"/>
                <w:szCs w:val="21"/>
              </w:rPr>
              <w:t>起点</w:t>
            </w:r>
            <w:r>
              <w:rPr>
                <w:rFonts w:hint="eastAsia" w:ascii="宋体" w:hAnsi="宋体" w:cs="宋体"/>
                <w:bCs/>
                <w:szCs w:val="21"/>
              </w:rPr>
              <w:t>〖</w:t>
            </w:r>
            <w:r>
              <w:rPr>
                <w:rFonts w:hint="eastAsia" w:ascii="宋体" w:hAnsi="宋体" w:cs="宋体"/>
                <w:bCs/>
                <w:szCs w:val="21"/>
                <w:lang w:val="en-US" w:eastAsia="zh-CN"/>
              </w:rPr>
              <w:t>1</w:t>
            </w:r>
            <w:r>
              <w:rPr>
                <w:rFonts w:hint="eastAsia" w:ascii="宋体" w:hAnsi="宋体" w:cs="宋体"/>
                <w:bCs/>
                <w:szCs w:val="21"/>
              </w:rPr>
              <w:t>〗</w:t>
            </w:r>
            <w:r>
              <w:rPr>
                <w:rFonts w:hint="eastAsia" w:ascii="宋体" w:hAnsi="宋体" w:cs="宋体"/>
                <w:bCs/>
                <w:color w:val="auto"/>
                <w:szCs w:val="21"/>
              </w:rPr>
              <w:t>元整，超过认购/申购起点部分，应为</w:t>
            </w:r>
            <w:r>
              <w:rPr>
                <w:rFonts w:hint="eastAsia" w:ascii="宋体" w:hAnsi="宋体" w:cs="宋体"/>
                <w:bCs/>
                <w:szCs w:val="21"/>
              </w:rPr>
              <w:t>〖</w:t>
            </w:r>
            <w:r>
              <w:rPr>
                <w:rFonts w:hint="eastAsia" w:ascii="宋体" w:hAnsi="宋体" w:cs="宋体"/>
                <w:bCs/>
                <w:szCs w:val="21"/>
                <w:lang w:val="en-US" w:eastAsia="zh-CN"/>
              </w:rPr>
              <w:t>1</w:t>
            </w:r>
            <w:r>
              <w:rPr>
                <w:rFonts w:hint="eastAsia" w:ascii="宋体" w:hAnsi="宋体" w:cs="宋体"/>
                <w:bCs/>
                <w:szCs w:val="21"/>
              </w:rPr>
              <w:t>〗</w:t>
            </w:r>
            <w:r>
              <w:rPr>
                <w:rFonts w:hint="eastAsia" w:ascii="宋体" w:hAnsi="宋体" w:cs="宋体"/>
                <w:bCs/>
                <w:color w:val="auto"/>
                <w:szCs w:val="21"/>
              </w:rPr>
              <w:t>元的整数倍。</w:t>
            </w:r>
          </w:p>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cs="宋体"/>
                <w:color w:val="000000"/>
                <w:sz w:val="21"/>
                <w:szCs w:val="21"/>
                <w:highlight w:val="none"/>
                <w:lang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cs="宋体"/>
                <w:color w:val="000000"/>
                <w:sz w:val="21"/>
                <w:szCs w:val="21"/>
                <w:highlight w:val="none"/>
                <w:lang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cs="宋体"/>
                <w:bCs/>
                <w:szCs w:val="21"/>
              </w:rPr>
            </w:pPr>
            <w:r>
              <w:rPr>
                <w:rFonts w:hint="eastAsia" w:ascii="宋体" w:hAnsi="宋体" w:cs="宋体"/>
                <w:szCs w:val="21"/>
              </w:rPr>
              <w:t>〖</w:t>
            </w:r>
            <w:r>
              <w:rPr>
                <w:rFonts w:ascii="宋体" w:hAnsi="宋体" w:cs="宋体"/>
                <w:szCs w:val="21"/>
              </w:rPr>
              <w:t>D</w:t>
            </w:r>
            <w:r>
              <w:rPr>
                <w:rFonts w:hint="eastAsia" w:ascii="宋体" w:hAnsi="宋体" w:cs="宋体"/>
                <w:bCs/>
                <w:szCs w:val="21"/>
              </w:rPr>
              <w:t>份额</w:t>
            </w:r>
            <w:r>
              <w:rPr>
                <w:rFonts w:hint="eastAsia" w:ascii="宋体" w:hAnsi="宋体" w:cs="宋体"/>
                <w:szCs w:val="21"/>
              </w:rPr>
              <w:t>〗</w:t>
            </w:r>
            <w:r>
              <w:rPr>
                <w:rFonts w:hint="eastAsia" w:ascii="宋体" w:hAnsi="宋体" w:cs="宋体"/>
                <w:bCs/>
                <w:szCs w:val="21"/>
              </w:rPr>
              <w:t>，经代销机构评定为私银客户的投资起点为</w:t>
            </w:r>
            <w:r>
              <w:rPr>
                <w:rFonts w:hint="eastAsia" w:ascii="宋体" w:hAnsi="宋体" w:cs="宋体"/>
                <w:szCs w:val="21"/>
              </w:rPr>
              <w:t>〖</w:t>
            </w:r>
            <w:r>
              <w:rPr>
                <w:rFonts w:ascii="宋体" w:hAnsi="宋体" w:cs="宋体"/>
                <w:bCs/>
                <w:szCs w:val="21"/>
              </w:rPr>
              <w:t>1</w:t>
            </w:r>
            <w:r>
              <w:rPr>
                <w:rFonts w:hint="eastAsia" w:ascii="宋体" w:hAnsi="宋体" w:cs="宋体"/>
                <w:szCs w:val="21"/>
              </w:rPr>
              <w:t>〗</w:t>
            </w:r>
            <w:r>
              <w:rPr>
                <w:rFonts w:hint="eastAsia" w:ascii="宋体" w:hAnsi="宋体" w:cs="宋体"/>
                <w:bCs/>
                <w:szCs w:val="21"/>
              </w:rPr>
              <w:t>元整，非私银客户的投资起点为</w:t>
            </w:r>
            <w:r>
              <w:rPr>
                <w:rFonts w:hint="eastAsia" w:ascii="宋体" w:hAnsi="宋体" w:cs="宋体"/>
                <w:szCs w:val="21"/>
              </w:rPr>
              <w:t>〖</w:t>
            </w:r>
            <w:r>
              <w:rPr>
                <w:rFonts w:hint="eastAsia" w:ascii="宋体" w:hAnsi="宋体" w:cs="宋体"/>
                <w:bCs/>
                <w:szCs w:val="21"/>
              </w:rPr>
              <w:t>600万</w:t>
            </w:r>
            <w:r>
              <w:rPr>
                <w:rFonts w:hint="eastAsia" w:ascii="宋体" w:hAnsi="宋体" w:cs="宋体"/>
                <w:szCs w:val="21"/>
              </w:rPr>
              <w:t>〗</w:t>
            </w:r>
            <w:r>
              <w:rPr>
                <w:rFonts w:hint="eastAsia" w:ascii="宋体" w:hAnsi="宋体" w:cs="宋体"/>
                <w:bCs/>
                <w:szCs w:val="21"/>
              </w:rPr>
              <w:t>元整，超过认购/申购起点部分，应为〖1〗元的整数倍。</w:t>
            </w:r>
          </w:p>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cs="宋体"/>
                <w:color w:val="000000"/>
                <w:sz w:val="21"/>
                <w:szCs w:val="21"/>
                <w:highlight w:val="none"/>
                <w:lang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F</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300万</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宋体" w:hAnsi="宋体" w:cs="宋体"/>
                <w:color w:val="000000"/>
                <w:szCs w:val="21"/>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G</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H</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I</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r>
              <w:rPr>
                <w:rFonts w:hint="eastAsia" w:ascii="宋体" w:hAnsi="宋体" w:cs="宋体"/>
                <w:bCs/>
                <w:color w:val="auto"/>
                <w:szCs w:val="21"/>
                <w:highlight w:val="none"/>
              </w:rPr>
              <w:t>具体以销售机构规定为准</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423" w:type="dxa"/>
            <w:noWrap w:val="0"/>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认购份额</w:t>
            </w:r>
          </w:p>
        </w:tc>
        <w:tc>
          <w:tcPr>
            <w:tcW w:w="7281" w:type="dxa"/>
            <w:noWrap w:val="0"/>
            <w:vAlign w:val="center"/>
          </w:tcPr>
          <w:p>
            <w:pPr>
              <w:widowControl/>
              <w:spacing w:line="360" w:lineRule="auto"/>
              <w:contextualSpacing/>
              <w:rPr>
                <w:rFonts w:ascii="宋体" w:hAnsi="宋体" w:cs="宋体"/>
                <w:color w:val="000000"/>
                <w:szCs w:val="21"/>
              </w:rPr>
            </w:pPr>
            <w:r>
              <w:rPr>
                <w:rFonts w:hint="eastAsia" w:ascii="宋体" w:hAnsi="宋体" w:cs="宋体"/>
                <w:color w:val="000000"/>
                <w:szCs w:val="21"/>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产品成立</w:t>
            </w:r>
          </w:p>
        </w:tc>
        <w:tc>
          <w:tcPr>
            <w:tcW w:w="7281" w:type="dxa"/>
            <w:noWrap w:val="0"/>
            <w:vAlign w:val="center"/>
          </w:tcPr>
          <w:p>
            <w:pPr>
              <w:widowControl/>
              <w:spacing w:line="360" w:lineRule="auto"/>
              <w:contextualSpacing/>
              <w:rPr>
                <w:rFonts w:ascii="宋体" w:hAnsi="宋体" w:cs="宋体"/>
                <w:color w:val="000000"/>
                <w:szCs w:val="21"/>
              </w:rPr>
            </w:pPr>
            <w:r>
              <w:rPr>
                <w:rFonts w:hint="eastAsia" w:ascii="宋体" w:hAnsi="宋体" w:cs="宋体"/>
                <w:color w:val="000000"/>
                <w:szCs w:val="21"/>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Cs w:val="21"/>
              </w:rPr>
              <w:t>〖</w:t>
            </w:r>
            <w:r>
              <w:rPr>
                <w:rFonts w:hint="eastAsia" w:ascii="宋体" w:hAnsi="宋体" w:cs="宋体"/>
                <w:szCs w:val="21"/>
                <w:lang w:val="en-US" w:eastAsia="zh-CN"/>
              </w:rPr>
              <w:t>2000</w:t>
            </w:r>
            <w:r>
              <w:rPr>
                <w:rFonts w:hint="eastAsia" w:ascii="宋体" w:hAnsi="宋体" w:cs="宋体"/>
                <w:szCs w:val="21"/>
              </w:rPr>
              <w:t>〗</w:t>
            </w:r>
            <w:r>
              <w:rPr>
                <w:rFonts w:hint="eastAsia" w:ascii="宋体" w:hAnsi="宋体" w:cs="宋体"/>
                <w:color w:val="000000"/>
                <w:szCs w:val="21"/>
              </w:rPr>
              <w:t>万元，则管理人可宣布本理财计划不成立并在原定理财计划成立日后</w:t>
            </w:r>
            <w:r>
              <w:rPr>
                <w:rFonts w:hint="eastAsia" w:ascii="宋体" w:hAnsi="宋体" w:cs="宋体"/>
                <w:szCs w:val="21"/>
              </w:rPr>
              <w:t>〖</w:t>
            </w:r>
            <w:r>
              <w:rPr>
                <w:rFonts w:hint="eastAsia" w:ascii="宋体" w:hAnsi="宋体" w:cs="宋体"/>
                <w:color w:val="000000"/>
                <w:szCs w:val="21"/>
              </w:rPr>
              <w:t>2</w:t>
            </w:r>
            <w:r>
              <w:rPr>
                <w:rFonts w:hint="eastAsia" w:ascii="宋体" w:hAnsi="宋体" w:cs="宋体"/>
                <w:szCs w:val="21"/>
              </w:rPr>
              <w:t>〗</w:t>
            </w:r>
            <w:r>
              <w:rPr>
                <w:rFonts w:hint="eastAsia" w:ascii="宋体" w:hAnsi="宋体" w:cs="宋体"/>
                <w:color w:val="000000"/>
                <w:szCs w:val="21"/>
              </w:rPr>
              <w:t>个工作日内通过管理人或销售机构发布不成立信息，投资者购买的理财资金将在原定成立日后2个工作日内划转至投资者指定理财账户，</w:t>
            </w:r>
            <w:r>
              <w:rPr>
                <w:rFonts w:hint="eastAsia" w:ascii="宋体" w:hAnsi="宋体" w:cs="宋体"/>
                <w:b/>
                <w:color w:val="000000"/>
                <w:szCs w:val="21"/>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hint="eastAsia" w:ascii="宋体" w:hAnsi="宋体" w:cs="宋体"/>
                <w:color w:val="000000"/>
                <w:szCs w:val="21"/>
              </w:rPr>
            </w:pPr>
            <w:r>
              <w:rPr>
                <w:rFonts w:hint="eastAsia" w:ascii="宋体" w:hAnsi="宋体" w:cs="宋体"/>
                <w:color w:val="000000"/>
                <w:szCs w:val="21"/>
              </w:rPr>
              <w:t>封闭期</w:t>
            </w:r>
          </w:p>
        </w:tc>
        <w:tc>
          <w:tcPr>
            <w:tcW w:w="7281" w:type="dxa"/>
            <w:noWrap w:val="0"/>
            <w:vAlign w:val="center"/>
          </w:tcPr>
          <w:p>
            <w:pPr>
              <w:widowControl/>
              <w:spacing w:line="360" w:lineRule="auto"/>
              <w:contextualSpacing/>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2022</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〗月〖</w:t>
            </w:r>
            <w:r>
              <w:rPr>
                <w:rFonts w:hint="eastAsia" w:ascii="宋体" w:hAnsi="宋体" w:cs="宋体"/>
                <w:color w:val="000000"/>
                <w:szCs w:val="21"/>
                <w:lang w:val="en-US" w:eastAsia="zh-CN"/>
              </w:rPr>
              <w:t>16</w:t>
            </w:r>
            <w:r>
              <w:rPr>
                <w:rFonts w:hint="eastAsia" w:ascii="宋体" w:hAnsi="宋体" w:cs="宋体"/>
                <w:color w:val="000000"/>
                <w:szCs w:val="21"/>
              </w:rPr>
              <w:t>〗日-〖</w:t>
            </w:r>
            <w:r>
              <w:rPr>
                <w:rFonts w:hint="eastAsia" w:ascii="宋体" w:hAnsi="宋体" w:cs="宋体"/>
                <w:color w:val="000000"/>
                <w:szCs w:val="21"/>
                <w:lang w:val="en-US" w:eastAsia="zh-CN"/>
              </w:rPr>
              <w:t>2022</w:t>
            </w:r>
            <w:r>
              <w:rPr>
                <w:rFonts w:hint="eastAsia" w:ascii="宋体" w:hAnsi="宋体" w:cs="宋体"/>
                <w:color w:val="000000"/>
                <w:szCs w:val="21"/>
              </w:rPr>
              <w:t>〗年〖</w:t>
            </w:r>
            <w:r>
              <w:rPr>
                <w:rFonts w:hint="eastAsia" w:ascii="宋体" w:hAnsi="宋体" w:cs="宋体"/>
                <w:color w:val="000000"/>
                <w:szCs w:val="21"/>
                <w:lang w:val="en-US" w:eastAsia="zh-CN"/>
              </w:rPr>
              <w:t>10</w:t>
            </w:r>
            <w:r>
              <w:rPr>
                <w:rFonts w:hint="eastAsia" w:ascii="宋体" w:hAnsi="宋体" w:cs="宋体"/>
                <w:color w:val="000000"/>
                <w:szCs w:val="21"/>
              </w:rPr>
              <w:t>〗月〖</w:t>
            </w:r>
            <w:r>
              <w:rPr>
                <w:rFonts w:hint="eastAsia" w:ascii="宋体" w:hAnsi="宋体" w:cs="宋体"/>
                <w:color w:val="000000"/>
                <w:szCs w:val="21"/>
                <w:lang w:val="en-US" w:eastAsia="zh-CN"/>
              </w:rPr>
              <w:t>9</w:t>
            </w:r>
            <w:r>
              <w:rPr>
                <w:rFonts w:hint="eastAsia" w:ascii="宋体" w:hAnsi="宋体" w:cs="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开放期</w:t>
            </w:r>
          </w:p>
        </w:tc>
        <w:tc>
          <w:tcPr>
            <w:tcW w:w="7281" w:type="dxa"/>
            <w:noWrap w:val="0"/>
            <w:vAlign w:val="center"/>
          </w:tcPr>
          <w:p>
            <w:pPr>
              <w:widowControl/>
              <w:spacing w:line="360" w:lineRule="auto"/>
              <w:contextualSpacing/>
              <w:rPr>
                <w:rFonts w:ascii="宋体" w:hAnsi="宋体" w:cs="宋体"/>
                <w:color w:val="000000"/>
                <w:szCs w:val="21"/>
              </w:rPr>
            </w:pPr>
            <w:r>
              <w:rPr>
                <w:rFonts w:hint="eastAsia" w:ascii="宋体" w:hAnsi="宋体" w:cs="宋体"/>
                <w:color w:val="000000"/>
                <w:szCs w:val="21"/>
              </w:rPr>
              <w:t>本理财计划开放期为</w:t>
            </w:r>
            <w:r>
              <w:rPr>
                <w:rFonts w:hint="eastAsia" w:ascii="宋体" w:hAnsi="宋体" w:cs="宋体"/>
                <w:szCs w:val="21"/>
              </w:rPr>
              <w:t>〖封闭期后的每个交易日〗</w:t>
            </w:r>
            <w:r>
              <w:rPr>
                <w:rFonts w:hint="eastAsia" w:ascii="宋体" w:hAnsi="宋体" w:cs="宋体"/>
                <w:color w:val="000000"/>
                <w:kern w:val="0"/>
              </w:rPr>
              <w:t>。如遇特殊情况具体</w:t>
            </w:r>
            <w:r>
              <w:rPr>
                <w:rFonts w:hint="eastAsia" w:ascii="宋体" w:hAnsi="宋体" w:cs="宋体"/>
                <w:szCs w:val="21"/>
              </w:rPr>
              <w:t>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交易时间</w:t>
            </w:r>
          </w:p>
        </w:tc>
        <w:tc>
          <w:tcPr>
            <w:tcW w:w="7281" w:type="dxa"/>
            <w:noWrap w:val="0"/>
            <w:vAlign w:val="center"/>
          </w:tcPr>
          <w:p>
            <w:pPr>
              <w:widowControl/>
              <w:spacing w:line="360" w:lineRule="auto"/>
              <w:contextualSpacing/>
              <w:rPr>
                <w:rFonts w:hint="eastAsia" w:ascii="宋体" w:hAnsi="宋体" w:cs="宋体"/>
                <w:color w:val="000000"/>
                <w:szCs w:val="21"/>
              </w:rPr>
            </w:pPr>
            <w:r>
              <w:rPr>
                <w:rFonts w:hint="eastAsia" w:ascii="宋体" w:hAnsi="宋体" w:cs="宋体"/>
                <w:color w:val="000000"/>
                <w:szCs w:val="21"/>
              </w:rPr>
              <w:t>1.本理财计划在每个开放期的工作时间均可进行申购</w:t>
            </w:r>
            <w:r>
              <w:rPr>
                <w:rFonts w:hint="eastAsia" w:ascii="宋体" w:hAnsi="宋体" w:cs="宋体"/>
                <w:color w:val="000000"/>
                <w:szCs w:val="21"/>
                <w:lang w:val="en-US" w:eastAsia="zh-CN"/>
              </w:rPr>
              <w:t>、赎回和撤单申请</w:t>
            </w:r>
            <w:r>
              <w:rPr>
                <w:rFonts w:hint="eastAsia" w:ascii="宋体" w:hAnsi="宋体" w:cs="宋体"/>
                <w:color w:val="000000"/>
                <w:szCs w:val="21"/>
              </w:rPr>
              <w:t>，申购</w:t>
            </w:r>
            <w:r>
              <w:rPr>
                <w:rFonts w:hint="eastAsia" w:ascii="宋体" w:hAnsi="宋体" w:cs="宋体"/>
                <w:color w:val="000000"/>
                <w:szCs w:val="21"/>
                <w:lang w:val="en-US" w:eastAsia="zh-CN"/>
              </w:rPr>
              <w:t>和赎回</w:t>
            </w:r>
            <w:r>
              <w:rPr>
                <w:rFonts w:hint="eastAsia" w:ascii="宋体" w:hAnsi="宋体" w:cs="宋体"/>
                <w:color w:val="000000"/>
                <w:szCs w:val="21"/>
              </w:rPr>
              <w:t>申请将在确认日，即开放期后的第</w:t>
            </w:r>
            <w:r>
              <w:rPr>
                <w:rFonts w:hint="eastAsia" w:ascii="宋体" w:hAnsi="宋体" w:cs="宋体"/>
                <w:szCs w:val="21"/>
              </w:rPr>
              <w:t>〖1〗个交易</w:t>
            </w:r>
            <w:r>
              <w:rPr>
                <w:rFonts w:hint="eastAsia" w:ascii="宋体" w:hAnsi="宋体" w:cs="宋体"/>
                <w:bCs/>
                <w:szCs w:val="21"/>
              </w:rPr>
              <w:t>日进行确认。</w:t>
            </w:r>
          </w:p>
          <w:p>
            <w:pPr>
              <w:widowControl/>
              <w:spacing w:line="360" w:lineRule="auto"/>
              <w:contextualSpacing/>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.工作时间为每个交易日上午〖9:00〗至下午〖</w:t>
            </w:r>
            <w:r>
              <w:rPr>
                <w:rFonts w:hint="eastAsia" w:ascii="宋体" w:hAnsi="宋体" w:cs="宋体"/>
                <w:color w:val="000000"/>
                <w:szCs w:val="21"/>
                <w:lang w:eastAsia="zh-CN"/>
              </w:rPr>
              <w:t>1</w:t>
            </w:r>
            <w:r>
              <w:rPr>
                <w:rFonts w:hint="eastAsia" w:ascii="宋体" w:hAnsi="宋体" w:cs="宋体"/>
                <w:color w:val="000000"/>
                <w:szCs w:val="21"/>
                <w:lang w:val="en-US" w:eastAsia="zh-CN"/>
              </w:rPr>
              <w:t>7</w:t>
            </w:r>
            <w:r>
              <w:rPr>
                <w:rFonts w:hint="eastAsia" w:ascii="宋体" w:hAnsi="宋体" w:cs="宋体"/>
                <w:color w:val="000000"/>
                <w:szCs w:val="21"/>
                <w:lang w:eastAsia="zh-CN"/>
              </w:rPr>
              <w:t>:</w:t>
            </w:r>
            <w:r>
              <w:rPr>
                <w:rFonts w:hint="eastAsia" w:ascii="宋体" w:hAnsi="宋体" w:cs="宋体"/>
                <w:color w:val="000000"/>
                <w:szCs w:val="21"/>
                <w:lang w:val="en-US" w:eastAsia="zh-CN"/>
              </w:rPr>
              <w:t>00</w:t>
            </w:r>
            <w:r>
              <w:rPr>
                <w:rFonts w:hint="eastAsia" w:ascii="宋体" w:hAnsi="宋体" w:cs="宋体"/>
                <w:color w:val="000000"/>
                <w:szCs w:val="21"/>
              </w:rPr>
              <w:t>〗</w:t>
            </w:r>
            <w:r>
              <w:rPr>
                <w:rFonts w:hint="eastAsia" w:ascii="宋体" w:hAnsi="宋体" w:cs="宋体"/>
                <w:color w:val="000000"/>
                <w:szCs w:val="21"/>
                <w:lang w:eastAsia="zh-CN"/>
              </w:rPr>
              <w:t>（</w:t>
            </w:r>
            <w:r>
              <w:rPr>
                <w:rFonts w:hint="eastAsia" w:ascii="宋体" w:hAnsi="宋体" w:cs="宋体"/>
                <w:color w:val="000000"/>
                <w:szCs w:val="21"/>
                <w:lang w:val="en-US" w:eastAsia="zh-CN"/>
              </w:rPr>
              <w:t>具体以销售机构销售要素为准</w:t>
            </w:r>
            <w:r>
              <w:rPr>
                <w:rFonts w:hint="eastAsia" w:ascii="宋体" w:hAnsi="宋体" w:cs="宋体"/>
                <w:color w:val="000000"/>
                <w:szCs w:val="21"/>
                <w:lang w:eastAsia="zh-CN"/>
              </w:rPr>
              <w:t>）</w:t>
            </w:r>
            <w:r>
              <w:rPr>
                <w:rFonts w:hint="eastAsia" w:ascii="宋体" w:hAnsi="宋体" w:cs="宋体"/>
                <w:color w:val="000000"/>
                <w:szCs w:val="21"/>
              </w:rPr>
              <w:t>。</w:t>
            </w:r>
          </w:p>
          <w:p>
            <w:pPr>
              <w:widowControl/>
              <w:spacing w:line="360" w:lineRule="auto"/>
              <w:contextualSpacing/>
              <w:rPr>
                <w:rFonts w:hint="eastAsia"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.在开放期</w:t>
            </w:r>
            <w:r>
              <w:rPr>
                <w:rFonts w:hint="eastAsia" w:ascii="宋体" w:hAnsi="宋体" w:cs="宋体"/>
                <w:color w:val="000000"/>
                <w:szCs w:val="21"/>
                <w:lang w:val="en-US" w:eastAsia="zh-CN"/>
              </w:rPr>
              <w:t>的</w:t>
            </w:r>
            <w:r>
              <w:rPr>
                <w:rFonts w:hint="eastAsia" w:ascii="宋体" w:hAnsi="宋体" w:cs="宋体"/>
                <w:color w:val="000000"/>
                <w:szCs w:val="21"/>
              </w:rPr>
              <w:t>工作时间内提交的申购/赎回申请，将作为当日申请处理；在开放期</w:t>
            </w:r>
            <w:r>
              <w:rPr>
                <w:rFonts w:hint="eastAsia" w:ascii="宋体" w:hAnsi="宋体" w:cs="宋体"/>
                <w:color w:val="000000"/>
                <w:szCs w:val="21"/>
                <w:lang w:val="en-US" w:eastAsia="zh-CN"/>
              </w:rPr>
              <w:t>的</w:t>
            </w:r>
            <w:r>
              <w:rPr>
                <w:rFonts w:hint="eastAsia" w:ascii="宋体" w:hAnsi="宋体" w:cs="宋体"/>
                <w:color w:val="000000"/>
                <w:szCs w:val="21"/>
              </w:rPr>
              <w:t>工作时间结束后及非开放期提交的申购/赎回申请，将作为下一开放期的申请处理。</w:t>
            </w:r>
          </w:p>
          <w:p>
            <w:pPr>
              <w:widowControl/>
              <w:spacing w:line="360" w:lineRule="auto"/>
              <w:contextualSpacing/>
              <w:rPr>
                <w:rFonts w:hint="eastAsia" w:ascii="宋体" w:hAnsi="宋体" w:cs="宋体"/>
                <w:color w:val="000000"/>
                <w:szCs w:val="21"/>
              </w:rPr>
            </w:pPr>
            <w:r>
              <w:rPr>
                <w:rFonts w:hint="eastAsia" w:ascii="宋体" w:hAnsi="宋体" w:cs="宋体"/>
                <w:bCs/>
                <w:color w:val="auto"/>
                <w:sz w:val="21"/>
                <w:szCs w:val="21"/>
                <w:highlight w:val="none"/>
                <w:lang w:val="en-US" w:eastAsia="zh-CN"/>
              </w:rPr>
              <w:t>4.上述交易安排如有调整，请以管理人公告为准。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hint="eastAsia" w:ascii="宋体" w:hAnsi="宋体" w:cs="宋体"/>
                <w:color w:val="000000"/>
                <w:szCs w:val="21"/>
              </w:rPr>
            </w:pPr>
            <w:r>
              <w:rPr>
                <w:rFonts w:hint="eastAsia" w:ascii="宋体" w:hAnsi="宋体" w:cs="宋体"/>
                <w:color w:val="000000"/>
                <w:szCs w:val="21"/>
              </w:rPr>
              <w:t>巨额赎回</w:t>
            </w:r>
          </w:p>
        </w:tc>
        <w:tc>
          <w:tcPr>
            <w:tcW w:w="7281" w:type="dxa"/>
            <w:noWrap w:val="0"/>
            <w:vAlign w:val="center"/>
          </w:tcPr>
          <w:p>
            <w:pPr>
              <w:widowControl/>
              <w:spacing w:line="360" w:lineRule="auto"/>
              <w:contextualSpacing/>
              <w:rPr>
                <w:rFonts w:hint="eastAsia" w:ascii="宋体" w:hAnsi="宋体" w:cs="宋体"/>
                <w:szCs w:val="21"/>
              </w:rPr>
            </w:pPr>
            <w:r>
              <w:rPr>
                <w:rFonts w:hint="eastAsia" w:ascii="宋体" w:hAnsi="宋体" w:cs="宋体"/>
                <w:color w:val="000000"/>
                <w:szCs w:val="21"/>
              </w:rPr>
              <w:t>理财计划存续期内，若理财计划开放期净赎回申请份额超过上一日日终理财计划总份额</w:t>
            </w:r>
            <w:r>
              <w:rPr>
                <w:rFonts w:hint="eastAsia" w:ascii="宋体" w:hAnsi="宋体" w:cs="宋体"/>
                <w:szCs w:val="21"/>
              </w:rPr>
              <w:t>〖</w:t>
            </w:r>
            <w:r>
              <w:rPr>
                <w:rFonts w:hint="eastAsia" w:ascii="宋体" w:hAnsi="宋体" w:cs="宋体"/>
                <w:color w:val="000000"/>
                <w:szCs w:val="21"/>
              </w:rPr>
              <w:t>10%</w:t>
            </w:r>
            <w:r>
              <w:rPr>
                <w:rFonts w:hint="eastAsia" w:ascii="宋体" w:hAnsi="宋体" w:cs="宋体"/>
                <w:szCs w:val="21"/>
              </w:rPr>
              <w:t>〗</w:t>
            </w:r>
            <w:r>
              <w:rPr>
                <w:rFonts w:hint="eastAsia" w:ascii="宋体" w:hAnsi="宋体" w:cs="宋体"/>
                <w:color w:val="000000"/>
                <w:szCs w:val="21"/>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单户限额</w:t>
            </w:r>
          </w:p>
        </w:tc>
        <w:tc>
          <w:tcPr>
            <w:tcW w:w="7281" w:type="dxa"/>
            <w:noWrap w:val="0"/>
            <w:vAlign w:val="center"/>
          </w:tcPr>
          <w:p>
            <w:pPr>
              <w:widowControl/>
              <w:numPr>
                <w:ilvl w:val="0"/>
                <w:numId w:val="18"/>
              </w:numPr>
              <w:spacing w:line="360" w:lineRule="auto"/>
              <w:contextualSpacing/>
              <w:rPr>
                <w:rFonts w:hint="eastAsia" w:ascii="宋体" w:hAnsi="宋体" w:cs="宋体"/>
                <w:szCs w:val="21"/>
              </w:rPr>
            </w:pPr>
            <w:r>
              <w:rPr>
                <w:rFonts w:hint="eastAsia" w:ascii="宋体" w:hAnsi="宋体" w:cs="宋体"/>
                <w:color w:val="000000"/>
                <w:szCs w:val="21"/>
                <w:highlight w:val="none"/>
                <w:lang w:val="en-US" w:eastAsia="zh-CN"/>
              </w:rPr>
              <w:t>B、D、E、G、H、I份额：</w:t>
            </w:r>
            <w:r>
              <w:rPr>
                <w:rFonts w:hint="eastAsia" w:ascii="宋体" w:hAnsi="宋体" w:cs="宋体"/>
                <w:szCs w:val="21"/>
              </w:rPr>
              <w:t>单户持有上限〖</w:t>
            </w:r>
            <w:r>
              <w:rPr>
                <w:rFonts w:hint="eastAsia" w:ascii="宋体" w:hAnsi="宋体" w:cs="宋体"/>
                <w:szCs w:val="21"/>
                <w:lang w:val="en-US" w:eastAsia="zh-CN"/>
              </w:rPr>
              <w:t>1亿</w:t>
            </w:r>
            <w:r>
              <w:rPr>
                <w:rFonts w:hint="eastAsia" w:ascii="宋体" w:hAnsi="宋体" w:cs="宋体"/>
                <w:szCs w:val="21"/>
              </w:rPr>
              <w:t>〗元</w:t>
            </w:r>
          </w:p>
          <w:p>
            <w:pPr>
              <w:widowControl/>
              <w:numPr>
                <w:ilvl w:val="0"/>
                <w:numId w:val="0"/>
              </w:numPr>
              <w:spacing w:line="360" w:lineRule="auto"/>
              <w:contextualSpacing/>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C份额：</w:t>
            </w:r>
            <w:r>
              <w:rPr>
                <w:rFonts w:hint="eastAsia" w:ascii="宋体" w:hAnsi="宋体" w:cs="宋体"/>
                <w:szCs w:val="21"/>
              </w:rPr>
              <w:t>单户持有上限〖</w:t>
            </w:r>
            <w:r>
              <w:rPr>
                <w:rFonts w:hint="eastAsia" w:ascii="宋体" w:hAnsi="宋体" w:cs="宋体"/>
                <w:szCs w:val="21"/>
                <w:lang w:val="en-US" w:eastAsia="zh-CN"/>
              </w:rPr>
              <w:t>2亿</w:t>
            </w:r>
            <w:r>
              <w:rPr>
                <w:rFonts w:hint="eastAsia" w:ascii="宋体" w:hAnsi="宋体" w:cs="宋体"/>
                <w:szCs w:val="21"/>
              </w:rPr>
              <w:t>〗元</w:t>
            </w:r>
          </w:p>
          <w:p>
            <w:pPr>
              <w:widowControl/>
              <w:numPr>
                <w:ilvl w:val="0"/>
                <w:numId w:val="0"/>
              </w:numPr>
              <w:spacing w:line="360" w:lineRule="auto"/>
              <w:contextualSpacing/>
              <w:rPr>
                <w:rFonts w:hint="eastAsia" w:ascii="宋体" w:hAnsi="宋体" w:cs="宋体"/>
                <w:szCs w:val="21"/>
              </w:rPr>
            </w:pPr>
            <w:r>
              <w:rPr>
                <w:rFonts w:hint="eastAsia" w:ascii="宋体" w:hAnsi="宋体" w:cs="宋体"/>
                <w:color w:val="000000"/>
                <w:szCs w:val="21"/>
                <w:highlight w:val="none"/>
                <w:lang w:val="en-US" w:eastAsia="zh-CN"/>
              </w:rPr>
              <w:t>F份额：</w:t>
            </w:r>
            <w:r>
              <w:rPr>
                <w:rFonts w:hint="eastAsia" w:ascii="宋体" w:hAnsi="宋体" w:cs="宋体"/>
                <w:szCs w:val="21"/>
              </w:rPr>
              <w:t>单户持有上限〖</w:t>
            </w:r>
            <w:r>
              <w:rPr>
                <w:rFonts w:hint="eastAsia" w:ascii="宋体" w:hAnsi="宋体" w:cs="宋体"/>
                <w:szCs w:val="21"/>
                <w:lang w:val="en-US" w:eastAsia="zh-CN"/>
              </w:rPr>
              <w:t>5亿</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申购份额</w:t>
            </w:r>
          </w:p>
        </w:tc>
        <w:tc>
          <w:tcPr>
            <w:tcW w:w="7281" w:type="dxa"/>
            <w:noWrap w:val="0"/>
            <w:vAlign w:val="center"/>
          </w:tcPr>
          <w:p>
            <w:pPr>
              <w:widowControl/>
              <w:spacing w:line="360" w:lineRule="auto"/>
              <w:contextualSpacing/>
              <w:rPr>
                <w:rFonts w:ascii="宋体" w:hAnsi="宋体" w:cs="宋体"/>
                <w:color w:val="000000"/>
                <w:szCs w:val="21"/>
              </w:rPr>
            </w:pPr>
            <w:r>
              <w:rPr>
                <w:rFonts w:hint="eastAsia" w:ascii="宋体" w:hAnsi="宋体" w:cs="宋体"/>
                <w:bCs/>
                <w:szCs w:val="21"/>
              </w:rPr>
              <w:t>申购份额=申购金额/确认日前一日的单位净值</w:t>
            </w:r>
            <w:r>
              <w:rPr>
                <w:rFonts w:hint="eastAsia" w:ascii="宋体" w:hAnsi="宋体" w:cs="宋体"/>
                <w:bCs/>
                <w:szCs w:val="21"/>
                <w:lang w:eastAsia="zh-CN"/>
              </w:rPr>
              <w:t>。</w:t>
            </w:r>
            <w:r>
              <w:rPr>
                <w:rFonts w:hint="eastAsia" w:ascii="宋体" w:hAnsi="宋体" w:cs="宋体"/>
                <w:bCs/>
                <w:szCs w:val="21"/>
              </w:rPr>
              <w:t>申购</w:t>
            </w:r>
            <w:r>
              <w:rPr>
                <w:rFonts w:hint="eastAsia" w:ascii="宋体" w:hAnsi="宋体" w:cs="宋体"/>
                <w:color w:val="000000"/>
                <w:szCs w:val="21"/>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hint="eastAsia" w:ascii="宋体" w:hAnsi="宋体" w:cs="宋体"/>
                <w:color w:val="000000"/>
                <w:szCs w:val="21"/>
              </w:rPr>
            </w:pPr>
            <w:r>
              <w:rPr>
                <w:rFonts w:hint="eastAsia" w:ascii="宋体" w:hAnsi="宋体" w:cs="宋体"/>
                <w:color w:val="000000"/>
                <w:szCs w:val="21"/>
              </w:rPr>
              <w:t>赎回金额</w:t>
            </w:r>
          </w:p>
        </w:tc>
        <w:tc>
          <w:tcPr>
            <w:tcW w:w="7281" w:type="dxa"/>
            <w:noWrap w:val="0"/>
            <w:vAlign w:val="center"/>
          </w:tcPr>
          <w:p>
            <w:pPr>
              <w:widowControl/>
              <w:spacing w:line="360" w:lineRule="auto"/>
              <w:contextualSpacing/>
              <w:rPr>
                <w:rFonts w:hint="eastAsia" w:ascii="宋体" w:hAnsi="宋体" w:cs="宋体"/>
                <w:color w:val="000000"/>
                <w:szCs w:val="21"/>
              </w:rPr>
            </w:pPr>
            <w:r>
              <w:rPr>
                <w:rFonts w:hint="eastAsia" w:ascii="宋体" w:hAnsi="宋体" w:cs="宋体"/>
                <w:color w:val="000000"/>
                <w:szCs w:val="21"/>
              </w:rPr>
              <w:t>赎回金额=赎</w:t>
            </w:r>
            <w:r>
              <w:rPr>
                <w:rFonts w:hint="eastAsia" w:ascii="宋体" w:hAnsi="宋体" w:cs="宋体"/>
                <w:bCs/>
                <w:szCs w:val="21"/>
              </w:rPr>
              <w:t>回份额×确认日前一日的单位净值。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单位净值</w:t>
            </w:r>
          </w:p>
        </w:tc>
        <w:tc>
          <w:tcPr>
            <w:tcW w:w="7281" w:type="dxa"/>
            <w:noWrap w:val="0"/>
            <w:vAlign w:val="center"/>
          </w:tcPr>
          <w:p>
            <w:pPr>
              <w:widowControl/>
              <w:spacing w:line="360" w:lineRule="auto"/>
              <w:contextualSpacing/>
              <w:rPr>
                <w:rFonts w:ascii="宋体" w:hAnsi="宋体" w:cs="宋体"/>
                <w:color w:val="000000"/>
                <w:szCs w:val="21"/>
              </w:rPr>
            </w:pPr>
            <w:r>
              <w:rPr>
                <w:rFonts w:hint="eastAsia" w:ascii="宋体" w:hAnsi="宋体" w:cs="宋体"/>
                <w:color w:val="000000"/>
                <w:szCs w:val="21"/>
              </w:rPr>
              <w:t>单位净值=理财计划估值日理财计划总净值/理财计划总份额，单位净值保留小数点后</w:t>
            </w:r>
            <w:r>
              <w:rPr>
                <w:rFonts w:hint="eastAsia" w:ascii="宋体" w:hAnsi="宋体" w:cs="宋体"/>
                <w:color w:val="000000"/>
                <w:szCs w:val="21"/>
                <w:lang w:val="en-US" w:eastAsia="zh-CN"/>
              </w:rPr>
              <w:t>六</w:t>
            </w:r>
            <w:r>
              <w:rPr>
                <w:rFonts w:hint="eastAsia" w:ascii="宋体" w:hAnsi="宋体" w:cs="宋体"/>
                <w:color w:val="000000"/>
                <w:szCs w:val="21"/>
              </w:rPr>
              <w:t>位</w:t>
            </w:r>
            <w:r>
              <w:rPr>
                <w:rFonts w:hint="eastAsia" w:ascii="宋体" w:hAnsi="宋体" w:cs="宋体"/>
                <w:color w:val="000000"/>
                <w:szCs w:val="21"/>
                <w:lang w:eastAsia="zh-CN"/>
              </w:rPr>
              <w:t>，</w:t>
            </w:r>
            <w:r>
              <w:rPr>
                <w:rFonts w:hint="eastAsia" w:ascii="宋体" w:hAnsi="宋体" w:cs="宋体"/>
                <w:color w:val="000000"/>
                <w:szCs w:val="21"/>
                <w:lang w:val="en-US" w:eastAsia="zh-CN"/>
              </w:rPr>
              <w:t>小数点六位以后去尾</w:t>
            </w:r>
            <w:r>
              <w:rPr>
                <w:rFonts w:hint="eastAsia" w:ascii="宋体" w:hAnsi="宋体" w:cs="宋体"/>
                <w:color w:val="000000"/>
                <w:szCs w:val="21"/>
              </w:rPr>
              <w:t>。</w:t>
            </w:r>
          </w:p>
          <w:p>
            <w:pPr>
              <w:widowControl/>
              <w:spacing w:line="360" w:lineRule="auto"/>
              <w:contextualSpacing/>
              <w:rPr>
                <w:rFonts w:ascii="宋体" w:hAnsi="宋体" w:cs="宋体"/>
                <w:b/>
                <w:color w:val="000000"/>
                <w:szCs w:val="21"/>
              </w:rPr>
            </w:pPr>
            <w:r>
              <w:rPr>
                <w:rFonts w:hint="eastAsia" w:ascii="宋体" w:hAnsi="宋体" w:cs="宋体"/>
                <w:color w:val="000000"/>
                <w:szCs w:val="21"/>
              </w:rPr>
              <w:t>理财计划总净值=理财计划认购总额+理财计划所获总收益-理财计划总费用（包括但不限于管理费、托管费、销售服务费等）。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资金与收益支付方式</w:t>
            </w:r>
          </w:p>
        </w:tc>
        <w:tc>
          <w:tcPr>
            <w:tcW w:w="7281" w:type="dxa"/>
            <w:noWrap w:val="0"/>
            <w:vAlign w:val="center"/>
          </w:tcPr>
          <w:p>
            <w:pPr>
              <w:widowControl/>
              <w:spacing w:line="360" w:lineRule="auto"/>
              <w:contextualSpacing/>
              <w:rPr>
                <w:rFonts w:ascii="宋体" w:hAnsi="宋体" w:cs="宋体"/>
                <w:color w:val="000000"/>
                <w:szCs w:val="21"/>
              </w:rPr>
            </w:pPr>
            <w:r>
              <w:rPr>
                <w:rFonts w:hint="eastAsia" w:ascii="宋体" w:hAnsi="宋体" w:cs="宋体"/>
                <w:color w:val="000000"/>
                <w:szCs w:val="21"/>
              </w:rPr>
              <w:t>1.赎回资金确认后，最快</w:t>
            </w:r>
            <w:r>
              <w:rPr>
                <w:rFonts w:hint="eastAsia" w:ascii="宋体" w:hAnsi="宋体" w:cs="宋体"/>
                <w:color w:val="000000"/>
                <w:szCs w:val="21"/>
                <w:lang w:val="en-US" w:eastAsia="zh-CN"/>
              </w:rPr>
              <w:t>于确认日当日</w:t>
            </w:r>
            <w:r>
              <w:rPr>
                <w:rFonts w:hint="eastAsia" w:ascii="宋体" w:hAnsi="宋体" w:cs="宋体"/>
                <w:color w:val="000000"/>
                <w:szCs w:val="21"/>
              </w:rPr>
              <w:t>，最晚</w:t>
            </w:r>
            <w:r>
              <w:rPr>
                <w:rFonts w:hint="eastAsia" w:ascii="宋体" w:hAnsi="宋体" w:cs="宋体"/>
                <w:color w:val="000000"/>
                <w:szCs w:val="21"/>
                <w:lang w:val="en-US" w:eastAsia="zh-CN"/>
              </w:rPr>
              <w:t>于确认日后</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color w:val="000000"/>
                <w:szCs w:val="21"/>
              </w:rPr>
              <w:t>个交易日内（遇节假日顺延）理财资金与收益一次性支付。如遇资金在途或法定工作日调整，实际资金到账日以公告为准。</w:t>
            </w:r>
            <w:r>
              <w:rPr>
                <w:rFonts w:hint="eastAsia" w:ascii="宋体" w:hAnsi="宋体" w:cs="宋体"/>
                <w:color w:val="000000"/>
                <w:kern w:val="0"/>
                <w:sz w:val="21"/>
                <w:szCs w:val="21"/>
              </w:rPr>
              <w:t>（具体以销售机构规定为准）</w:t>
            </w:r>
          </w:p>
          <w:p>
            <w:pPr>
              <w:widowControl/>
              <w:spacing w:line="360" w:lineRule="auto"/>
              <w:contextualSpacing/>
              <w:rPr>
                <w:rFonts w:ascii="宋体" w:hAnsi="宋体" w:cs="宋体"/>
                <w:color w:val="000000"/>
                <w:szCs w:val="21"/>
              </w:rPr>
            </w:pPr>
            <w:r>
              <w:rPr>
                <w:rFonts w:hint="eastAsia" w:ascii="宋体" w:hAnsi="宋体" w:cs="宋体"/>
                <w:color w:val="000000"/>
                <w:szCs w:val="21"/>
              </w:rPr>
              <w:t>2.理财计划到期后，最快</w:t>
            </w:r>
            <w:r>
              <w:rPr>
                <w:rFonts w:hint="eastAsia" w:ascii="宋体" w:hAnsi="宋体" w:cs="宋体"/>
                <w:color w:val="000000"/>
                <w:szCs w:val="21"/>
                <w:lang w:val="en-US" w:eastAsia="zh-CN"/>
              </w:rPr>
              <w:t>于到期日当日</w:t>
            </w:r>
            <w:r>
              <w:rPr>
                <w:rFonts w:hint="eastAsia" w:ascii="宋体" w:hAnsi="宋体" w:cs="宋体"/>
                <w:color w:val="000000"/>
                <w:szCs w:val="21"/>
              </w:rPr>
              <w:t>，最晚</w:t>
            </w:r>
            <w:r>
              <w:rPr>
                <w:rFonts w:hint="eastAsia" w:ascii="宋体" w:hAnsi="宋体" w:cs="宋体"/>
                <w:color w:val="000000"/>
                <w:szCs w:val="21"/>
                <w:lang w:val="en-US" w:eastAsia="zh-CN"/>
              </w:rPr>
              <w:t>于到期日后</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color w:val="000000"/>
                <w:szCs w:val="21"/>
              </w:rPr>
              <w:t>个交易日内（遇节假日顺延）理财资金与收益一次性支付。如遇资金在途或法定工作日调整，实际资金到账日以公告为准。</w:t>
            </w:r>
            <w:r>
              <w:rPr>
                <w:rFonts w:hint="eastAsia" w:ascii="宋体" w:hAnsi="宋体" w:cs="宋体"/>
                <w:color w:val="000000"/>
                <w:kern w:val="0"/>
                <w:sz w:val="21"/>
                <w:szCs w:val="21"/>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收益分配</w:t>
            </w:r>
          </w:p>
        </w:tc>
        <w:tc>
          <w:tcPr>
            <w:tcW w:w="7281" w:type="dxa"/>
            <w:noWrap w:val="0"/>
            <w:vAlign w:val="center"/>
          </w:tcPr>
          <w:p>
            <w:pPr>
              <w:widowControl/>
              <w:spacing w:line="360" w:lineRule="auto"/>
              <w:contextualSpacing/>
              <w:rPr>
                <w:rFonts w:ascii="宋体" w:hAnsi="宋体" w:cs="宋体"/>
                <w:b/>
                <w:szCs w:val="21"/>
              </w:rPr>
            </w:pPr>
            <w:r>
              <w:rPr>
                <w:rFonts w:hint="eastAsia" w:ascii="宋体" w:hAnsi="宋体" w:cs="宋体"/>
                <w:color w:val="000000"/>
                <w:szCs w:val="21"/>
              </w:rPr>
              <w:t>在满足收益分配基准日理财计划份额净值大于1元的情况下，管理人将</w:t>
            </w:r>
            <w:r>
              <w:rPr>
                <w:rFonts w:hint="eastAsia" w:ascii="宋体" w:hAnsi="宋体" w:cs="宋体"/>
                <w:szCs w:val="21"/>
              </w:rPr>
              <w:t>〖不</w:t>
            </w:r>
            <w:r>
              <w:rPr>
                <w:rFonts w:hint="eastAsia" w:ascii="宋体" w:hAnsi="宋体" w:cs="宋体"/>
                <w:color w:val="000000"/>
                <w:szCs w:val="21"/>
              </w:rPr>
              <w:t>定期</w:t>
            </w:r>
            <w:r>
              <w:rPr>
                <w:rFonts w:hint="eastAsia" w:ascii="宋体" w:hAnsi="宋体" w:cs="宋体"/>
                <w:szCs w:val="21"/>
              </w:rPr>
              <w:t>〗</w:t>
            </w:r>
            <w:r>
              <w:rPr>
                <w:rFonts w:hint="eastAsia" w:ascii="宋体" w:hAnsi="宋体" w:cs="宋体"/>
                <w:color w:val="000000"/>
                <w:szCs w:val="21"/>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业绩比较基准</w:t>
            </w:r>
          </w:p>
        </w:tc>
        <w:tc>
          <w:tcPr>
            <w:tcW w:w="7281" w:type="dxa"/>
            <w:noWrap w:val="0"/>
            <w:vAlign w:val="center"/>
          </w:tcPr>
          <w:p>
            <w:pPr>
              <w:widowControl/>
              <w:spacing w:line="360" w:lineRule="auto"/>
              <w:jc w:val="left"/>
              <w:rPr>
                <w:rFonts w:hint="eastAsia" w:ascii="宋体" w:hAnsi="宋体" w:eastAsia="宋体" w:cs="宋体"/>
                <w:szCs w:val="21"/>
                <w:lang w:val="en-US" w:eastAsia="zh-CN"/>
              </w:rPr>
            </w:pPr>
            <w:r>
              <w:rPr>
                <w:rFonts w:hint="eastAsia" w:ascii="宋体" w:hAnsi="宋体" w:eastAsia="宋体" w:cs="宋体"/>
                <w:szCs w:val="21"/>
              </w:rPr>
              <w:t>本理财计划</w:t>
            </w:r>
            <w:r>
              <w:rPr>
                <w:rFonts w:hint="eastAsia" w:ascii="宋体" w:hAnsi="宋体" w:eastAsia="宋体" w:cs="宋体"/>
                <w:sz w:val="21"/>
                <w:szCs w:val="21"/>
                <w:highlight w:val="none"/>
                <w:lang w:val="en-US" w:eastAsia="zh-CN"/>
              </w:rPr>
              <w:t>各份额</w:t>
            </w:r>
            <w:r>
              <w:rPr>
                <w:rFonts w:hint="eastAsia" w:ascii="宋体" w:hAnsi="宋体" w:eastAsia="宋体" w:cs="宋体"/>
                <w:szCs w:val="21"/>
              </w:rPr>
              <w:t>业绩比较基准为〖</w:t>
            </w:r>
            <w:r>
              <w:rPr>
                <w:rFonts w:hint="eastAsia" w:ascii="宋体" w:hAnsi="宋体" w:cs="宋体"/>
                <w:color w:val="000000"/>
                <w:sz w:val="21"/>
                <w:szCs w:val="21"/>
                <w:highlight w:val="none"/>
                <w:lang w:val="en-US" w:eastAsia="zh-CN"/>
              </w:rPr>
              <w:t>中国人民银行公布的7天通知存款利率</w:t>
            </w:r>
            <w:r>
              <w:rPr>
                <w:rFonts w:hint="eastAsia" w:ascii="宋体" w:hAnsi="宋体" w:eastAsia="宋体" w:cs="宋体"/>
                <w:szCs w:val="21"/>
              </w:rPr>
              <w:t>〗（年化）。</w:t>
            </w:r>
          </w:p>
          <w:p>
            <w:pPr>
              <w:widowControl/>
              <w:spacing w:line="360" w:lineRule="auto"/>
              <w:jc w:val="left"/>
              <w:rPr>
                <w:rFonts w:ascii="宋体" w:hAnsi="宋体" w:cs="宋体"/>
                <w:b/>
                <w:bCs/>
                <w:szCs w:val="21"/>
              </w:rPr>
            </w:pPr>
            <w:r>
              <w:rPr>
                <w:rFonts w:hint="eastAsia" w:ascii="宋体" w:hAnsi="宋体" w:cs="宋体"/>
                <w:b/>
                <w:bCs/>
                <w:szCs w:val="21"/>
              </w:rPr>
              <w:t>业绩基准测算依据：产品重点投资于同业存单</w:t>
            </w:r>
            <w:r>
              <w:rPr>
                <w:rFonts w:hint="eastAsia" w:ascii="宋体" w:hAnsi="宋体" w:cs="宋体"/>
                <w:b/>
                <w:bCs/>
                <w:szCs w:val="21"/>
                <w:lang w:eastAsia="zh-CN"/>
              </w:rPr>
              <w:t>、</w:t>
            </w:r>
            <w:r>
              <w:rPr>
                <w:rFonts w:hint="eastAsia" w:ascii="宋体" w:hAnsi="宋体" w:cs="宋体"/>
                <w:b/>
                <w:bCs/>
                <w:szCs w:val="21"/>
              </w:rPr>
              <w:t>信用债</w:t>
            </w:r>
            <w:r>
              <w:rPr>
                <w:rFonts w:hint="eastAsia" w:ascii="宋体" w:hAnsi="宋体" w:cs="宋体"/>
                <w:b/>
                <w:bCs/>
                <w:szCs w:val="21"/>
              </w:rPr>
              <w:t>等资产，根据当前市场环境，拟投资产收益率在</w:t>
            </w:r>
            <w:r>
              <w:rPr>
                <w:rFonts w:hint="eastAsia" w:ascii="宋体" w:hAnsi="宋体" w:cs="宋体"/>
                <w:b/>
                <w:bCs/>
                <w:szCs w:val="21"/>
                <w:highlight w:val="none"/>
                <w:lang w:val="en-US" w:eastAsia="zh-CN"/>
              </w:rPr>
              <w:t>1</w:t>
            </w:r>
            <w:r>
              <w:rPr>
                <w:rFonts w:hint="eastAsia" w:ascii="宋体" w:hAnsi="宋体" w:cs="宋体"/>
                <w:b/>
                <w:bCs/>
                <w:szCs w:val="21"/>
                <w:highlight w:val="none"/>
                <w:lang w:val="en-US" w:eastAsia="zh-CN"/>
              </w:rPr>
              <w:t>.5</w:t>
            </w:r>
            <w:r>
              <w:rPr>
                <w:rFonts w:hint="eastAsia" w:ascii="宋体" w:hAnsi="宋体" w:cs="宋体"/>
                <w:b/>
                <w:bCs/>
                <w:szCs w:val="21"/>
                <w:highlight w:val="none"/>
              </w:rPr>
              <w:t>%</w:t>
            </w:r>
            <w:r>
              <w:rPr>
                <w:rFonts w:hint="eastAsia" w:ascii="宋体" w:hAnsi="宋体" w:cs="宋体"/>
                <w:b/>
                <w:bCs/>
                <w:szCs w:val="21"/>
                <w:highlight w:val="none"/>
                <w:lang w:val="en-US" w:eastAsia="zh-CN"/>
              </w:rPr>
              <w:t>-3.5%</w:t>
            </w:r>
            <w:r>
              <w:rPr>
                <w:rFonts w:hint="eastAsia" w:ascii="宋体" w:hAnsi="宋体" w:cs="宋体"/>
                <w:b/>
                <w:bCs/>
                <w:szCs w:val="21"/>
              </w:rPr>
              <w:t>左右，同时根据流动性管理需要和监管要求配置不低于5%的高流动性资产。</w:t>
            </w:r>
          </w:p>
          <w:p>
            <w:pPr>
              <w:widowControl/>
              <w:spacing w:line="360" w:lineRule="auto"/>
              <w:jc w:val="left"/>
              <w:rPr>
                <w:rFonts w:ascii="宋体" w:hAnsi="宋体" w:cs="宋体"/>
                <w:szCs w:val="21"/>
              </w:rPr>
            </w:pPr>
            <w:r>
              <w:rPr>
                <w:rFonts w:hint="eastAsia" w:ascii="宋体" w:hAnsi="宋体" w:cs="宋体"/>
                <w:szCs w:val="21"/>
              </w:rPr>
              <w:t>管理人有权根据市场情况及</w:t>
            </w:r>
            <w:r>
              <w:rPr>
                <w:rFonts w:hint="eastAsia" w:ascii="宋体" w:hAnsi="宋体" w:cs="宋体"/>
                <w:szCs w:val="21"/>
                <w:lang w:val="en-US" w:eastAsia="zh-CN"/>
              </w:rPr>
              <w:t>理财计划</w:t>
            </w:r>
            <w:r>
              <w:rPr>
                <w:rFonts w:hint="eastAsia" w:ascii="宋体" w:hAnsi="宋体" w:cs="宋体"/>
                <w:szCs w:val="21"/>
              </w:rPr>
              <w:t>运作情况调整业绩基准，并至少于新业绩基准启用前</w:t>
            </w:r>
            <w:r>
              <w:rPr>
                <w:rFonts w:hint="eastAsia" w:ascii="宋体" w:hAnsi="宋体" w:cs="宋体"/>
                <w:kern w:val="0"/>
              </w:rPr>
              <w:t>〖2〗</w:t>
            </w:r>
            <w:r>
              <w:rPr>
                <w:rFonts w:hint="eastAsia" w:ascii="宋体" w:hAnsi="宋体" w:cs="宋体"/>
                <w:szCs w:val="21"/>
              </w:rPr>
              <w:t>个工作日公告。</w:t>
            </w:r>
          </w:p>
          <w:p>
            <w:pPr>
              <w:widowControl/>
              <w:spacing w:line="360" w:lineRule="auto"/>
              <w:jc w:val="left"/>
              <w:rPr>
                <w:rFonts w:ascii="宋体" w:hAnsi="宋体" w:cs="宋体"/>
                <w:b/>
                <w:szCs w:val="21"/>
              </w:rPr>
            </w:pPr>
            <w:r>
              <w:rPr>
                <w:rFonts w:hint="eastAsia" w:ascii="宋体" w:hAnsi="宋体" w:cs="宋体"/>
                <w:b/>
                <w:szCs w:val="21"/>
              </w:rPr>
              <w:t>本理财计划为净值型理财产品，其业绩表现将随市场波动具有不确定性。本公司提醒投资者关注，业绩比较基准并不代表</w:t>
            </w:r>
            <w:r>
              <w:rPr>
                <w:rFonts w:hint="eastAsia" w:ascii="宋体" w:hAnsi="宋体" w:cs="宋体"/>
                <w:b/>
                <w:sz w:val="21"/>
                <w:szCs w:val="21"/>
              </w:rPr>
              <w:t>理财计划的未来表现和实际收益，也不构成对理财计划收益的承诺</w:t>
            </w: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产品费用</w:t>
            </w:r>
          </w:p>
        </w:tc>
        <w:tc>
          <w:tcPr>
            <w:tcW w:w="7281" w:type="dxa"/>
            <w:noWrap w:val="0"/>
            <w:vAlign w:val="center"/>
          </w:tcPr>
          <w:p>
            <w:pPr>
              <w:widowControl/>
              <w:spacing w:line="360" w:lineRule="auto"/>
              <w:contextualSpacing/>
              <w:rPr>
                <w:rFonts w:ascii="宋体" w:hAnsi="宋体" w:cs="宋体"/>
                <w:color w:val="000000"/>
                <w:szCs w:val="21"/>
              </w:rPr>
            </w:pPr>
            <w:r>
              <w:rPr>
                <w:rFonts w:hint="eastAsia" w:ascii="宋体" w:hAnsi="宋体" w:cs="宋体"/>
                <w:color w:val="000000"/>
                <w:szCs w:val="21"/>
              </w:rPr>
              <w:t>1.销售服务费：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rPr>
              <w:t>收取年化</w:t>
            </w:r>
            <w:r>
              <w:rPr>
                <w:rFonts w:hint="eastAsia" w:ascii="宋体" w:hAnsi="宋体" w:cs="宋体"/>
                <w:szCs w:val="21"/>
              </w:rPr>
              <w:t>〖</w:t>
            </w:r>
            <w:r>
              <w:rPr>
                <w:rFonts w:hint="eastAsia" w:ascii="宋体" w:hAnsi="宋体" w:cs="宋体"/>
                <w:szCs w:val="21"/>
                <w:lang w:val="en-US" w:eastAsia="zh-CN"/>
              </w:rPr>
              <w:t>0.30</w:t>
            </w:r>
            <w:r>
              <w:rPr>
                <w:rFonts w:hint="eastAsia" w:ascii="宋体" w:hAnsi="宋体" w:cs="宋体"/>
                <w:szCs w:val="21"/>
              </w:rPr>
              <w:t>%〗</w:t>
            </w:r>
            <w:r>
              <w:rPr>
                <w:rFonts w:hint="eastAsia" w:ascii="宋体" w:hAnsi="宋体" w:cs="宋体"/>
                <w:color w:val="000000"/>
                <w:szCs w:val="21"/>
              </w:rPr>
              <w:t>的销售服务费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rPr>
              <w:t>收取年化</w:t>
            </w:r>
            <w:r>
              <w:rPr>
                <w:rFonts w:hint="eastAsia" w:ascii="宋体" w:hAnsi="宋体" w:cs="宋体"/>
                <w:szCs w:val="21"/>
              </w:rPr>
              <w:t>〖</w:t>
            </w:r>
            <w:r>
              <w:rPr>
                <w:rFonts w:hint="eastAsia" w:ascii="宋体" w:hAnsi="宋体" w:cs="宋体"/>
                <w:szCs w:val="21"/>
                <w:lang w:val="en-US" w:eastAsia="zh-CN"/>
              </w:rPr>
              <w:t>0.30</w:t>
            </w:r>
            <w:r>
              <w:rPr>
                <w:rFonts w:hint="eastAsia" w:ascii="宋体" w:hAnsi="宋体" w:cs="宋体"/>
                <w:szCs w:val="21"/>
              </w:rPr>
              <w:t>%〗</w:t>
            </w:r>
            <w:r>
              <w:rPr>
                <w:rFonts w:hint="eastAsia" w:ascii="宋体" w:hAnsi="宋体" w:cs="宋体"/>
                <w:color w:val="000000"/>
                <w:szCs w:val="21"/>
              </w:rPr>
              <w:t>的销售服务费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F</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rPr>
              <w:t>收取年化</w:t>
            </w:r>
            <w:r>
              <w:rPr>
                <w:rFonts w:hint="eastAsia" w:ascii="宋体" w:hAnsi="宋体" w:cs="宋体"/>
                <w:szCs w:val="21"/>
              </w:rPr>
              <w:t>〖</w:t>
            </w:r>
            <w:r>
              <w:rPr>
                <w:rFonts w:hint="eastAsia" w:ascii="宋体" w:hAnsi="宋体" w:cs="宋体"/>
                <w:szCs w:val="21"/>
                <w:lang w:val="en-US" w:eastAsia="zh-CN"/>
              </w:rPr>
              <w:t>0.30</w:t>
            </w:r>
            <w:r>
              <w:rPr>
                <w:rFonts w:hint="eastAsia" w:ascii="宋体" w:hAnsi="宋体" w:cs="宋体"/>
                <w:szCs w:val="21"/>
              </w:rPr>
              <w:t>%〗</w:t>
            </w:r>
            <w:r>
              <w:rPr>
                <w:rFonts w:hint="eastAsia" w:ascii="宋体" w:hAnsi="宋体" w:cs="宋体"/>
                <w:color w:val="000000"/>
                <w:szCs w:val="21"/>
              </w:rPr>
              <w:t>的销售服务费</w:t>
            </w:r>
            <w:r>
              <w:rPr>
                <w:rFonts w:hint="eastAsia" w:ascii="宋体" w:hAnsi="宋体" w:cs="宋体"/>
                <w:color w:val="000000"/>
                <w:szCs w:val="21"/>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G</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rPr>
              <w:t>收取年化</w:t>
            </w:r>
            <w:r>
              <w:rPr>
                <w:rFonts w:hint="eastAsia" w:ascii="宋体" w:hAnsi="宋体" w:cs="宋体"/>
                <w:szCs w:val="21"/>
              </w:rPr>
              <w:t>〖</w:t>
            </w:r>
            <w:r>
              <w:rPr>
                <w:rFonts w:hint="eastAsia" w:ascii="宋体" w:hAnsi="宋体" w:cs="宋体"/>
                <w:szCs w:val="21"/>
                <w:lang w:val="en-US" w:eastAsia="zh-CN"/>
              </w:rPr>
              <w:t>0.20</w:t>
            </w:r>
            <w:r>
              <w:rPr>
                <w:rFonts w:hint="eastAsia" w:ascii="宋体" w:hAnsi="宋体" w:cs="宋体"/>
                <w:szCs w:val="21"/>
              </w:rPr>
              <w:t>%〗</w:t>
            </w:r>
            <w:r>
              <w:rPr>
                <w:rFonts w:hint="eastAsia" w:ascii="宋体" w:hAnsi="宋体" w:cs="宋体"/>
                <w:color w:val="000000"/>
                <w:szCs w:val="21"/>
              </w:rPr>
              <w:t>的销售服务费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H</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I</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Cs w:val="21"/>
              </w:rPr>
              <w:t>。</w:t>
            </w:r>
          </w:p>
          <w:p>
            <w:pPr>
              <w:widowControl/>
              <w:spacing w:line="360" w:lineRule="auto"/>
              <w:contextualSpacing/>
              <w:rPr>
                <w:rFonts w:ascii="宋体" w:hAnsi="宋体" w:cs="宋体"/>
                <w:color w:val="000000"/>
                <w:szCs w:val="21"/>
              </w:rPr>
            </w:pPr>
            <w:r>
              <w:rPr>
                <w:rFonts w:hint="eastAsia" w:ascii="宋体" w:hAnsi="宋体" w:cs="宋体"/>
                <w:color w:val="000000"/>
                <w:szCs w:val="21"/>
              </w:rPr>
              <w:t>2.托管费：收取年化</w:t>
            </w:r>
            <w:r>
              <w:rPr>
                <w:rFonts w:hint="eastAsia" w:ascii="宋体" w:hAnsi="宋体" w:cs="宋体"/>
                <w:szCs w:val="21"/>
              </w:rPr>
              <w:t>〖</w:t>
            </w:r>
            <w:r>
              <w:rPr>
                <w:rFonts w:hint="eastAsia" w:ascii="宋体" w:hAnsi="宋体" w:cs="宋体"/>
                <w:szCs w:val="21"/>
                <w:lang w:val="en-US" w:eastAsia="zh-CN"/>
              </w:rPr>
              <w:t>0.025</w:t>
            </w:r>
            <w:r>
              <w:rPr>
                <w:rFonts w:hint="eastAsia" w:ascii="宋体" w:hAnsi="宋体" w:cs="宋体"/>
                <w:szCs w:val="21"/>
              </w:rPr>
              <w:t>%〗</w:t>
            </w:r>
            <w:r>
              <w:rPr>
                <w:rFonts w:hint="eastAsia" w:ascii="宋体" w:hAnsi="宋体" w:cs="宋体"/>
                <w:color w:val="000000"/>
                <w:szCs w:val="21"/>
              </w:rPr>
              <w:t>的托管费。</w:t>
            </w:r>
          </w:p>
          <w:p>
            <w:pPr>
              <w:widowControl/>
              <w:spacing w:line="360" w:lineRule="auto"/>
              <w:contextualSpacing/>
              <w:rPr>
                <w:rFonts w:ascii="宋体" w:hAnsi="宋体" w:cs="宋体"/>
                <w:color w:val="000000"/>
                <w:szCs w:val="21"/>
              </w:rPr>
            </w:pPr>
            <w:r>
              <w:rPr>
                <w:rFonts w:hint="eastAsia" w:ascii="宋体" w:hAnsi="宋体" w:cs="宋体"/>
                <w:color w:val="000000"/>
                <w:szCs w:val="21"/>
              </w:rPr>
              <w:t>3.固定管理费：</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Cs w:val="21"/>
              </w:rPr>
              <w:t>收取年化</w:t>
            </w:r>
            <w:r>
              <w:rPr>
                <w:rFonts w:hint="eastAsia" w:ascii="宋体" w:hAnsi="宋体" w:cs="宋体"/>
                <w:szCs w:val="21"/>
              </w:rPr>
              <w:t>〖</w:t>
            </w:r>
            <w:r>
              <w:rPr>
                <w:rFonts w:hint="eastAsia" w:ascii="宋体" w:hAnsi="宋体" w:cs="宋体"/>
                <w:szCs w:val="21"/>
                <w:lang w:val="en-US" w:eastAsia="zh-CN"/>
              </w:rPr>
              <w:t>0.40</w:t>
            </w:r>
            <w:r>
              <w:rPr>
                <w:rFonts w:hint="eastAsia" w:ascii="宋体" w:hAnsi="宋体" w:cs="宋体"/>
                <w:szCs w:val="21"/>
              </w:rPr>
              <w:t>%〗</w:t>
            </w:r>
            <w:r>
              <w:rPr>
                <w:rFonts w:hint="eastAsia" w:ascii="宋体" w:hAnsi="宋体" w:cs="宋体"/>
                <w:color w:val="000000"/>
                <w:szCs w:val="21"/>
              </w:rPr>
              <w:t>的固定管理费</w:t>
            </w:r>
            <w:r>
              <w:rPr>
                <w:rFonts w:hint="eastAsia" w:ascii="宋体" w:hAnsi="宋体" w:cs="宋体"/>
                <w:color w:val="000000"/>
                <w:szCs w:val="21"/>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color w:val="000000"/>
                <w:szCs w:val="21"/>
              </w:rPr>
              <w:t>收取年化</w:t>
            </w:r>
            <w:r>
              <w:rPr>
                <w:rFonts w:hint="eastAsia" w:ascii="宋体" w:hAnsi="宋体" w:cs="宋体"/>
                <w:szCs w:val="21"/>
              </w:rPr>
              <w:t>〖</w:t>
            </w:r>
            <w:r>
              <w:rPr>
                <w:rFonts w:hint="eastAsia" w:ascii="宋体" w:hAnsi="宋体" w:cs="宋体"/>
                <w:szCs w:val="21"/>
                <w:lang w:val="en-US" w:eastAsia="zh-CN"/>
              </w:rPr>
              <w:t>0.15</w:t>
            </w:r>
            <w:r>
              <w:rPr>
                <w:rFonts w:hint="eastAsia" w:ascii="宋体" w:hAnsi="宋体" w:cs="宋体"/>
                <w:szCs w:val="21"/>
              </w:rPr>
              <w:t>%〗</w:t>
            </w:r>
            <w:r>
              <w:rPr>
                <w:rFonts w:hint="eastAsia" w:ascii="宋体" w:hAnsi="宋体" w:cs="宋体"/>
                <w:color w:val="000000"/>
                <w:szCs w:val="21"/>
              </w:rPr>
              <w:t>的固定管理费</w:t>
            </w:r>
            <w:r>
              <w:rPr>
                <w:rFonts w:hint="eastAsia" w:ascii="宋体" w:hAnsi="宋体" w:cs="宋体"/>
                <w:color w:val="000000"/>
                <w:szCs w:val="21"/>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E份额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F份额</w:t>
            </w:r>
            <w:r>
              <w:rPr>
                <w:rFonts w:hint="eastAsia" w:ascii="宋体" w:hAnsi="宋体" w:cs="宋体"/>
                <w:sz w:val="21"/>
                <w:szCs w:val="21"/>
                <w:highlight w:val="none"/>
              </w:rPr>
              <w:t>〗</w:t>
            </w:r>
            <w:r>
              <w:rPr>
                <w:rFonts w:hint="eastAsia" w:ascii="宋体" w:hAnsi="宋体" w:cs="宋体"/>
                <w:color w:val="000000"/>
                <w:szCs w:val="21"/>
              </w:rPr>
              <w:t>收取年化</w:t>
            </w:r>
            <w:r>
              <w:rPr>
                <w:rFonts w:hint="eastAsia" w:ascii="宋体" w:hAnsi="宋体" w:cs="宋体"/>
                <w:szCs w:val="21"/>
              </w:rPr>
              <w:t>〖</w:t>
            </w:r>
            <w:r>
              <w:rPr>
                <w:rFonts w:hint="eastAsia" w:ascii="宋体" w:hAnsi="宋体" w:cs="宋体"/>
                <w:szCs w:val="21"/>
                <w:lang w:val="en-US" w:eastAsia="zh-CN"/>
              </w:rPr>
              <w:t>0.40</w:t>
            </w:r>
            <w:r>
              <w:rPr>
                <w:rFonts w:hint="eastAsia" w:ascii="宋体" w:hAnsi="宋体" w:cs="宋体"/>
                <w:szCs w:val="21"/>
              </w:rPr>
              <w:t>%〗</w:t>
            </w:r>
            <w:r>
              <w:rPr>
                <w:rFonts w:hint="eastAsia" w:ascii="宋体" w:hAnsi="宋体" w:cs="宋体"/>
                <w:color w:val="000000"/>
                <w:szCs w:val="21"/>
              </w:rPr>
              <w:t>的固定管理费</w:t>
            </w:r>
            <w:r>
              <w:rPr>
                <w:rFonts w:hint="eastAsia" w:ascii="宋体" w:hAnsi="宋体" w:cs="宋体"/>
                <w:color w:val="000000"/>
                <w:szCs w:val="21"/>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G份额</w:t>
            </w:r>
            <w:r>
              <w:rPr>
                <w:rFonts w:hint="eastAsia" w:ascii="宋体" w:hAnsi="宋体" w:cs="宋体"/>
                <w:sz w:val="21"/>
                <w:szCs w:val="21"/>
                <w:highlight w:val="none"/>
              </w:rPr>
              <w:t>〗</w:t>
            </w:r>
            <w:r>
              <w:rPr>
                <w:rFonts w:hint="eastAsia" w:ascii="宋体" w:hAnsi="宋体" w:cs="宋体"/>
                <w:color w:val="000000"/>
                <w:szCs w:val="21"/>
              </w:rPr>
              <w:t>收取年化</w:t>
            </w:r>
            <w:r>
              <w:rPr>
                <w:rFonts w:hint="eastAsia" w:ascii="宋体" w:hAnsi="宋体" w:cs="宋体"/>
                <w:szCs w:val="21"/>
              </w:rPr>
              <w:t>〖</w:t>
            </w:r>
            <w:r>
              <w:rPr>
                <w:rFonts w:hint="eastAsia" w:ascii="宋体" w:hAnsi="宋体" w:cs="宋体"/>
                <w:szCs w:val="21"/>
                <w:lang w:val="en-US" w:eastAsia="zh-CN"/>
              </w:rPr>
              <w:t>0.50</w:t>
            </w:r>
            <w:r>
              <w:rPr>
                <w:rFonts w:hint="eastAsia" w:ascii="宋体" w:hAnsi="宋体" w:cs="宋体"/>
                <w:szCs w:val="21"/>
              </w:rPr>
              <w:t>%〗</w:t>
            </w:r>
            <w:r>
              <w:rPr>
                <w:rFonts w:hint="eastAsia" w:ascii="宋体" w:hAnsi="宋体" w:cs="宋体"/>
                <w:color w:val="000000"/>
                <w:szCs w:val="21"/>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H份额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I份额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Cs w:val="21"/>
              </w:rPr>
              <w:t>。</w:t>
            </w:r>
          </w:p>
          <w:p>
            <w:pPr>
              <w:widowControl/>
              <w:spacing w:line="360" w:lineRule="auto"/>
              <w:contextualSpacing/>
              <w:rPr>
                <w:rFonts w:ascii="宋体" w:hAnsi="宋体" w:cs="宋体"/>
                <w:bCs/>
                <w:color w:val="FF0000"/>
                <w:szCs w:val="21"/>
              </w:rPr>
            </w:pPr>
            <w:r>
              <w:rPr>
                <w:rFonts w:hint="eastAsia" w:ascii="宋体" w:hAnsi="宋体" w:cs="宋体"/>
                <w:color w:val="000000"/>
                <w:szCs w:val="21"/>
              </w:rPr>
              <w:t>4.认购费：本理财计划免除认购费。</w:t>
            </w:r>
          </w:p>
          <w:p>
            <w:pPr>
              <w:widowControl/>
              <w:spacing w:line="360" w:lineRule="auto"/>
              <w:contextualSpacing/>
              <w:rPr>
                <w:rFonts w:ascii="宋体" w:hAnsi="宋体" w:cs="宋体"/>
                <w:bCs/>
                <w:szCs w:val="21"/>
              </w:rPr>
            </w:pPr>
            <w:r>
              <w:rPr>
                <w:rFonts w:hint="eastAsia" w:ascii="宋体" w:hAnsi="宋体" w:cs="宋体"/>
                <w:bCs/>
                <w:szCs w:val="21"/>
              </w:rPr>
              <w:t>5.申购费：</w:t>
            </w:r>
            <w:r>
              <w:rPr>
                <w:rFonts w:hint="eastAsia" w:ascii="宋体" w:hAnsi="宋体" w:cs="宋体"/>
                <w:color w:val="000000"/>
                <w:szCs w:val="21"/>
              </w:rPr>
              <w:t>本理财计划免除申购费。</w:t>
            </w:r>
          </w:p>
          <w:p>
            <w:pPr>
              <w:widowControl/>
              <w:spacing w:line="360" w:lineRule="auto"/>
              <w:contextualSpacing/>
              <w:rPr>
                <w:rFonts w:hint="eastAsia" w:ascii="宋体" w:hAnsi="宋体" w:cs="宋体"/>
                <w:bCs/>
                <w:szCs w:val="21"/>
              </w:rPr>
            </w:pPr>
            <w:r>
              <w:rPr>
                <w:rFonts w:hint="eastAsia" w:ascii="宋体" w:hAnsi="宋体" w:cs="宋体"/>
                <w:bCs/>
                <w:szCs w:val="21"/>
              </w:rPr>
              <w:t>6.赎回费：</w:t>
            </w:r>
            <w:r>
              <w:rPr>
                <w:rFonts w:hint="eastAsia" w:ascii="宋体" w:hAnsi="宋体" w:cs="宋体"/>
                <w:color w:val="000000"/>
                <w:szCs w:val="21"/>
              </w:rPr>
              <w:t>本理财计划免除赎回费。</w:t>
            </w:r>
          </w:p>
          <w:p>
            <w:pPr>
              <w:widowControl/>
              <w:spacing w:line="360" w:lineRule="auto"/>
              <w:contextualSpacing/>
              <w:rPr>
                <w:rFonts w:ascii="宋体" w:hAnsi="宋体" w:cs="宋体"/>
                <w:color w:val="000000"/>
                <w:szCs w:val="21"/>
              </w:rPr>
            </w:pPr>
            <w:r>
              <w:rPr>
                <w:rFonts w:hint="eastAsia" w:ascii="宋体" w:hAnsi="宋体" w:cs="宋体"/>
                <w:color w:val="000000"/>
                <w:szCs w:val="21"/>
              </w:rPr>
              <w:t>7.浮动管理费：本理财计划免除浮动管理费。</w:t>
            </w:r>
          </w:p>
          <w:p>
            <w:pPr>
              <w:widowControl/>
              <w:spacing w:line="360" w:lineRule="auto"/>
              <w:contextualSpacing/>
              <w:rPr>
                <w:rFonts w:ascii="宋体" w:hAnsi="宋体" w:cs="宋体"/>
                <w:color w:val="000000"/>
                <w:szCs w:val="21"/>
              </w:rPr>
            </w:pPr>
            <w:r>
              <w:rPr>
                <w:rFonts w:hint="eastAsia" w:ascii="宋体" w:hAnsi="宋体"/>
                <w:b/>
                <w:bCs/>
              </w:rPr>
              <w:t>管理人保留变更上述收取费率标准的权利，如有变更将提前</w:t>
            </w:r>
            <w:r>
              <w:rPr>
                <w:rFonts w:hint="eastAsia" w:ascii="宋体" w:hAnsi="宋体" w:cs="宋体"/>
                <w:b/>
                <w:bCs/>
                <w:kern w:val="0"/>
              </w:rPr>
              <w:t>〖</w:t>
            </w:r>
            <w:r>
              <w:rPr>
                <w:rFonts w:hint="eastAsia" w:ascii="宋体" w:hAnsi="宋体"/>
                <w:b/>
                <w:bCs/>
              </w:rPr>
              <w:t>2</w:t>
            </w:r>
            <w:r>
              <w:rPr>
                <w:rFonts w:hint="eastAsia" w:ascii="宋体" w:hAnsi="宋体" w:cs="宋体"/>
                <w:b/>
                <w:bCs/>
                <w:kern w:val="0"/>
              </w:rPr>
              <w:t>〗</w:t>
            </w:r>
            <w:r>
              <w:rPr>
                <w:rFonts w:hint="eastAsia" w:ascii="宋体" w:hAnsi="宋体"/>
                <w:b/>
                <w:bCs/>
              </w:rPr>
              <w:t>个工作日在管理人或销售机构网站公告。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提前终止</w:t>
            </w:r>
          </w:p>
        </w:tc>
        <w:tc>
          <w:tcPr>
            <w:tcW w:w="7281" w:type="dxa"/>
            <w:noWrap w:val="0"/>
            <w:vAlign w:val="center"/>
          </w:tcPr>
          <w:p>
            <w:pPr>
              <w:widowControl/>
              <w:spacing w:line="360" w:lineRule="auto"/>
              <w:contextualSpacing/>
              <w:rPr>
                <w:rFonts w:ascii="宋体" w:hAnsi="宋体" w:cs="宋体"/>
                <w:b/>
                <w:color w:val="000000"/>
                <w:kern w:val="0"/>
                <w:szCs w:val="21"/>
              </w:rPr>
            </w:pPr>
            <w:r>
              <w:rPr>
                <w:rFonts w:hint="eastAsia" w:ascii="宋体" w:hAnsi="宋体" w:cs="宋体"/>
                <w:b/>
                <w:color w:val="000000"/>
                <w:kern w:val="0"/>
                <w:szCs w:val="21"/>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lang w:eastAsia="zh-CN"/>
              </w:rPr>
              <w:t>全部或部分</w:t>
            </w:r>
            <w:r>
              <w:rPr>
                <w:rFonts w:hint="eastAsia" w:ascii="宋体" w:hAnsi="宋体" w:cs="宋体"/>
                <w:b/>
                <w:color w:val="000000"/>
                <w:kern w:val="0"/>
                <w:szCs w:val="21"/>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税费规定</w:t>
            </w:r>
          </w:p>
        </w:tc>
        <w:tc>
          <w:tcPr>
            <w:tcW w:w="7281" w:type="dxa"/>
            <w:noWrap w:val="0"/>
            <w:vAlign w:val="center"/>
          </w:tcPr>
          <w:p>
            <w:pPr>
              <w:spacing w:line="360" w:lineRule="auto"/>
              <w:outlineLvl w:val="9"/>
              <w:rPr>
                <w:rFonts w:ascii="宋体" w:hAnsi="宋体" w:cs="宋体"/>
                <w:color w:val="000000"/>
                <w:szCs w:val="21"/>
              </w:rPr>
            </w:pPr>
            <w:r>
              <w:rPr>
                <w:rFonts w:hint="eastAsia" w:ascii="宋体" w:hAnsi="宋体" w:cs="宋体"/>
                <w:color w:val="000000"/>
                <w:szCs w:val="21"/>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ascii="宋体" w:hAnsi="宋体" w:cs="宋体"/>
                <w:color w:val="000000"/>
                <w:szCs w:val="21"/>
              </w:rPr>
            </w:pPr>
            <w:r>
              <w:rPr>
                <w:rFonts w:hint="eastAsia" w:ascii="宋体" w:hAnsi="宋体" w:cs="宋体"/>
                <w:color w:val="000000"/>
                <w:szCs w:val="21"/>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kern w:val="0"/>
                <w:szCs w:val="21"/>
              </w:rPr>
            </w:pPr>
            <w:r>
              <w:rPr>
                <w:rFonts w:hint="eastAsia" w:ascii="宋体" w:hAnsi="宋体" w:cs="宋体"/>
                <w:color w:val="000000"/>
                <w:szCs w:val="21"/>
              </w:rPr>
              <w:t>融资服务</w:t>
            </w:r>
          </w:p>
        </w:tc>
        <w:tc>
          <w:tcPr>
            <w:tcW w:w="7281" w:type="dxa"/>
            <w:noWrap w:val="0"/>
            <w:vAlign w:val="bottom"/>
          </w:tcPr>
          <w:p>
            <w:pPr>
              <w:spacing w:line="360" w:lineRule="auto"/>
              <w:rPr>
                <w:rFonts w:ascii="宋体" w:hAnsi="宋体" w:cs="宋体"/>
                <w:b/>
                <w:color w:val="000000"/>
                <w:kern w:val="0"/>
                <w:szCs w:val="21"/>
              </w:rPr>
            </w:pPr>
            <w:r>
              <w:rPr>
                <w:rFonts w:hint="eastAsia" w:ascii="宋体" w:hAnsi="宋体" w:cs="宋体"/>
                <w:b/>
                <w:color w:val="000000"/>
                <w:szCs w:val="21"/>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42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ascii="宋体" w:hAnsi="宋体" w:cs="宋体"/>
                <w:color w:val="000000"/>
                <w:szCs w:val="21"/>
              </w:rPr>
            </w:pPr>
            <w:r>
              <w:rPr>
                <w:rFonts w:hint="eastAsia" w:ascii="宋体" w:hAnsi="宋体" w:cs="宋体"/>
                <w:color w:val="000000"/>
                <w:szCs w:val="21"/>
              </w:rPr>
              <w:t>其他规定</w:t>
            </w:r>
          </w:p>
        </w:tc>
        <w:tc>
          <w:tcPr>
            <w:tcW w:w="7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Cs w:val="21"/>
              </w:rPr>
            </w:pPr>
            <w:r>
              <w:rPr>
                <w:rFonts w:hint="eastAsia" w:ascii="宋体" w:hAnsi="宋体" w:cs="宋体"/>
                <w:color w:val="000000"/>
                <w:szCs w:val="21"/>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Cs w:val="21"/>
              </w:rPr>
              <w:t>（具体以销售机构规定为准）</w:t>
            </w:r>
          </w:p>
          <w:p>
            <w:pPr>
              <w:spacing w:line="360" w:lineRule="auto"/>
              <w:rPr>
                <w:rFonts w:ascii="宋体" w:hAnsi="宋体" w:cs="宋体"/>
                <w:color w:val="000000"/>
                <w:kern w:val="0"/>
                <w:szCs w:val="21"/>
              </w:rPr>
            </w:pPr>
            <w:r>
              <w:rPr>
                <w:rFonts w:hint="eastAsia" w:ascii="宋体" w:hAnsi="宋体" w:cs="宋体"/>
                <w:color w:val="000000"/>
                <w:kern w:val="0"/>
                <w:szCs w:val="21"/>
              </w:rPr>
              <w:t>管理人有权根据市场情况和本理财计划运作情况，对本理财计划的收费项目、条件、标准和方式进行调整。</w:t>
            </w:r>
          </w:p>
        </w:tc>
      </w:tr>
    </w:tbl>
    <w:p>
      <w:pPr>
        <w:spacing w:line="360" w:lineRule="auto"/>
        <w:rPr>
          <w:rFonts w:ascii="宋体" w:hAnsi="宋体" w:cs="宋体"/>
          <w:b/>
          <w:color w:val="000000"/>
          <w:sz w:val="24"/>
        </w:rPr>
      </w:pPr>
      <w:r>
        <w:rPr>
          <w:rFonts w:hint="eastAsia" w:ascii="宋体" w:hAnsi="宋体"/>
          <w:b/>
          <w:color w:val="000000"/>
          <w:sz w:val="24"/>
        </w:rPr>
        <w:t>特别说明：</w:t>
      </w:r>
      <w:r>
        <w:rPr>
          <w:rFonts w:hint="eastAsia" w:ascii="宋体" w:hAnsi="宋体" w:cs="宋体"/>
          <w:b/>
          <w:color w:val="000000"/>
          <w:sz w:val="24"/>
        </w:rPr>
        <w:t>本理财计划属于净值型理财产品，投资须谨慎。管理人对理财本金及收益不提供保证承诺，请投资者基于自身的独立判断进行投资决策。</w:t>
      </w:r>
    </w:p>
    <w:p>
      <w:pPr>
        <w:spacing w:line="360" w:lineRule="auto"/>
        <w:rPr>
          <w:rFonts w:ascii="宋体" w:hAnsi="宋体" w:cs="宋体"/>
          <w:b/>
          <w:color w:val="000000"/>
          <w:sz w:val="24"/>
        </w:rPr>
      </w:pPr>
    </w:p>
    <w:p>
      <w:pPr>
        <w:numPr>
          <w:ilvl w:val="0"/>
          <w:numId w:val="19"/>
        </w:numPr>
        <w:spacing w:line="360" w:lineRule="auto"/>
        <w:rPr>
          <w:rFonts w:ascii="宋体" w:hAnsi="宋体" w:cs="宋体"/>
          <w:b/>
          <w:color w:val="000000"/>
          <w:sz w:val="24"/>
        </w:rPr>
      </w:pPr>
      <w:r>
        <w:rPr>
          <w:rFonts w:hint="eastAsia" w:ascii="宋体" w:hAnsi="宋体" w:cs="宋体"/>
          <w:b/>
          <w:color w:val="000000"/>
          <w:sz w:val="24"/>
        </w:rPr>
        <w:t>投资管理</w:t>
      </w:r>
    </w:p>
    <w:p>
      <w:pPr>
        <w:numPr>
          <w:ilvl w:val="0"/>
          <w:numId w:val="20"/>
        </w:numPr>
        <w:spacing w:line="360" w:lineRule="auto"/>
        <w:jc w:val="left"/>
        <w:rPr>
          <w:rFonts w:ascii="宋体" w:hAnsi="宋体" w:cs="宋体"/>
          <w:b/>
          <w:sz w:val="24"/>
        </w:rPr>
      </w:pPr>
      <w:r>
        <w:rPr>
          <w:rFonts w:hint="eastAsia" w:ascii="宋体" w:hAnsi="宋体" w:cs="宋体"/>
          <w:b/>
          <w:sz w:val="24"/>
        </w:rPr>
        <w:t>投资范围</w:t>
      </w:r>
    </w:p>
    <w:p>
      <w:pPr>
        <w:spacing w:line="360" w:lineRule="auto"/>
        <w:ind w:firstLine="480" w:firstLineChars="200"/>
        <w:jc w:val="left"/>
        <w:rPr>
          <w:rFonts w:ascii="宋体" w:hAnsi="宋体" w:cs="宋体"/>
          <w:bCs/>
          <w:sz w:val="24"/>
        </w:rPr>
      </w:pPr>
      <w:r>
        <w:rPr>
          <w:rFonts w:hint="eastAsia" w:ascii="宋体" w:hAnsi="宋体" w:cs="宋体"/>
          <w:bCs/>
          <w:sz w:val="24"/>
        </w:rPr>
        <w:t>本理财计划主要投资于符合监管要求的各类资产：</w:t>
      </w:r>
    </w:p>
    <w:p>
      <w:pPr>
        <w:numPr>
          <w:ilvl w:val="0"/>
          <w:numId w:val="21"/>
        </w:numPr>
        <w:spacing w:line="360" w:lineRule="auto"/>
        <w:jc w:val="left"/>
        <w:rPr>
          <w:rFonts w:ascii="宋体" w:hAnsi="宋体" w:cs="宋体"/>
          <w:bCs/>
          <w:sz w:val="24"/>
        </w:rPr>
      </w:pPr>
      <w:r>
        <w:rPr>
          <w:rFonts w:hint="eastAsia" w:ascii="宋体" w:hAnsi="宋体" w:cs="宋体"/>
          <w:bCs/>
          <w:sz w:val="24"/>
        </w:rPr>
        <w:t>固定收益类资产：包括但不限于各类债券、存款、货币市场金融工具等高流动性资产、货币市场基金、债券基金、质押式及买断式回购，其他符合监管要求的固定收益类资产及资产管理产品。</w:t>
      </w:r>
    </w:p>
    <w:p>
      <w:pPr>
        <w:numPr>
          <w:ilvl w:val="0"/>
          <w:numId w:val="21"/>
        </w:numPr>
        <w:spacing w:line="360" w:lineRule="auto"/>
        <w:rPr>
          <w:rFonts w:ascii="宋体" w:hAnsi="宋体" w:cs="宋体"/>
          <w:bCs/>
        </w:rPr>
      </w:pPr>
      <w:r>
        <w:rPr>
          <w:rFonts w:hint="eastAsia" w:ascii="宋体" w:hAnsi="宋体" w:cs="宋体"/>
          <w:bCs/>
          <w:sz w:val="24"/>
        </w:rPr>
        <w:t>权益类资产：包括国内发行上市优先股以及其他符合监管要求的权益类资产（不包括未上市企业股权）。</w:t>
      </w:r>
    </w:p>
    <w:p>
      <w:pPr>
        <w:numPr>
          <w:ilvl w:val="0"/>
          <w:numId w:val="21"/>
        </w:numPr>
        <w:spacing w:line="360" w:lineRule="auto"/>
        <w:rPr>
          <w:rFonts w:ascii="宋体" w:hAnsi="宋体" w:cs="宋体"/>
          <w:bCs/>
        </w:rPr>
      </w:pPr>
      <w:r>
        <w:rPr>
          <w:rFonts w:hint="eastAsia" w:ascii="宋体" w:hAnsi="宋体" w:cs="宋体"/>
          <w:bCs/>
          <w:sz w:val="24"/>
        </w:rPr>
        <w:t>其他符合监管要求资产：包括其他符合监管要求的资产或资产管理产品。</w:t>
      </w:r>
    </w:p>
    <w:p>
      <w:pPr>
        <w:numPr>
          <w:ilvl w:val="0"/>
          <w:numId w:val="20"/>
        </w:numPr>
        <w:spacing w:line="360" w:lineRule="auto"/>
        <w:jc w:val="left"/>
        <w:rPr>
          <w:rFonts w:ascii="宋体" w:hAnsi="宋体" w:cs="宋体"/>
          <w:b/>
          <w:sz w:val="24"/>
        </w:rPr>
      </w:pPr>
      <w:r>
        <w:rPr>
          <w:rFonts w:hint="eastAsia" w:ascii="宋体" w:hAnsi="宋体" w:cs="宋体"/>
          <w:b/>
          <w:sz w:val="24"/>
        </w:rPr>
        <w:t>投资比例</w:t>
      </w:r>
    </w:p>
    <w:p>
      <w:pPr>
        <w:spacing w:line="360" w:lineRule="auto"/>
        <w:ind w:firstLine="480" w:firstLineChars="200"/>
        <w:jc w:val="left"/>
        <w:rPr>
          <w:rFonts w:ascii="宋体" w:hAnsi="宋体" w:cs="宋体"/>
          <w:bCs/>
          <w:sz w:val="24"/>
        </w:rPr>
      </w:pPr>
      <w:r>
        <w:rPr>
          <w:rFonts w:hint="eastAsia" w:ascii="宋体" w:hAnsi="宋体" w:cs="宋体"/>
          <w:bCs/>
          <w:sz w:val="24"/>
        </w:rPr>
        <w:t>本理财计划各投资资产占</w:t>
      </w:r>
      <w:r>
        <w:rPr>
          <w:rFonts w:hint="eastAsia" w:ascii="宋体" w:hAnsi="宋体" w:cs="宋体"/>
          <w:bCs/>
          <w:sz w:val="24"/>
          <w:lang w:val="en-US" w:eastAsia="zh-CN"/>
        </w:rPr>
        <w:t>总</w:t>
      </w:r>
      <w:r>
        <w:rPr>
          <w:rFonts w:hint="eastAsia" w:ascii="宋体" w:hAnsi="宋体" w:cs="宋体"/>
          <w:bCs/>
          <w:sz w:val="24"/>
        </w:rPr>
        <w:t>资产的配置比例如下：</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hint="eastAsia" w:ascii="宋体" w:hAnsi="宋体" w:cs="宋体"/>
                <w:bCs/>
                <w:szCs w:val="21"/>
              </w:rPr>
            </w:pPr>
            <w:r>
              <w:rPr>
                <w:rFonts w:hint="eastAsia" w:ascii="宋体" w:hAnsi="宋体" w:cs="宋体"/>
                <w:bCs/>
                <w:szCs w:val="21"/>
              </w:rPr>
              <w:t>类型</w:t>
            </w:r>
          </w:p>
        </w:tc>
        <w:tc>
          <w:tcPr>
            <w:tcW w:w="4740" w:type="dxa"/>
            <w:noWrap w:val="0"/>
            <w:vAlign w:val="top"/>
          </w:tcPr>
          <w:p>
            <w:pPr>
              <w:spacing w:line="360" w:lineRule="auto"/>
              <w:jc w:val="center"/>
              <w:rPr>
                <w:rFonts w:ascii="宋体" w:hAnsi="宋体" w:cs="宋体"/>
                <w:bCs/>
                <w:szCs w:val="21"/>
              </w:rPr>
            </w:pPr>
            <w:r>
              <w:rPr>
                <w:rFonts w:hint="eastAsia" w:ascii="宋体" w:hAnsi="宋体" w:cs="宋体"/>
                <w:bCs/>
                <w:szCs w:val="21"/>
              </w:rPr>
              <w:t>投资资产</w:t>
            </w:r>
          </w:p>
        </w:tc>
        <w:tc>
          <w:tcPr>
            <w:tcW w:w="1996" w:type="dxa"/>
            <w:noWrap w:val="0"/>
            <w:vAlign w:val="top"/>
          </w:tcPr>
          <w:p>
            <w:pPr>
              <w:spacing w:line="360" w:lineRule="auto"/>
              <w:jc w:val="center"/>
              <w:rPr>
                <w:rFonts w:ascii="宋体" w:hAnsi="宋体" w:cs="宋体"/>
                <w:bCs/>
                <w:szCs w:val="21"/>
              </w:rPr>
            </w:pPr>
            <w:r>
              <w:rPr>
                <w:rFonts w:hint="eastAsia" w:ascii="宋体" w:hAnsi="宋体" w:cs="宋体"/>
                <w:bCs/>
                <w:szCs w:val="21"/>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rPr>
            </w:pPr>
            <w:r>
              <w:rPr>
                <w:rFonts w:hint="eastAsia" w:ascii="宋体" w:hAnsi="宋体" w:cs="宋体"/>
                <w:bCs/>
                <w:szCs w:val="21"/>
              </w:rPr>
              <w:t>大类资产类型</w:t>
            </w:r>
          </w:p>
        </w:tc>
        <w:tc>
          <w:tcPr>
            <w:tcW w:w="4740" w:type="dxa"/>
            <w:noWrap w:val="0"/>
            <w:vAlign w:val="top"/>
          </w:tcPr>
          <w:p>
            <w:pPr>
              <w:spacing w:line="360" w:lineRule="auto"/>
              <w:jc w:val="center"/>
              <w:rPr>
                <w:rFonts w:ascii="宋体" w:hAnsi="宋体" w:cs="宋体"/>
                <w:bCs/>
                <w:szCs w:val="21"/>
              </w:rPr>
            </w:pPr>
            <w:r>
              <w:rPr>
                <w:rFonts w:hint="eastAsia" w:ascii="宋体" w:hAnsi="宋体" w:cs="宋体"/>
                <w:bCs/>
                <w:szCs w:val="21"/>
              </w:rPr>
              <w:t>固定收益类资产</w:t>
            </w:r>
          </w:p>
        </w:tc>
        <w:tc>
          <w:tcPr>
            <w:tcW w:w="1996" w:type="dxa"/>
            <w:noWrap w:val="0"/>
            <w:vAlign w:val="center"/>
          </w:tcPr>
          <w:p>
            <w:pPr>
              <w:spacing w:line="360" w:lineRule="auto"/>
              <w:jc w:val="center"/>
              <w:rPr>
                <w:rFonts w:ascii="宋体" w:hAnsi="宋体" w:cs="宋体"/>
                <w:bCs/>
                <w:szCs w:val="21"/>
              </w:rPr>
            </w:pPr>
            <w:r>
              <w:rPr>
                <w:rFonts w:hint="eastAsia" w:ascii="宋体" w:hAnsi="宋体" w:cs="宋体"/>
                <w:bCs/>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rPr>
            </w:pPr>
          </w:p>
        </w:tc>
        <w:tc>
          <w:tcPr>
            <w:tcW w:w="4740" w:type="dxa"/>
            <w:noWrap w:val="0"/>
            <w:vAlign w:val="top"/>
          </w:tcPr>
          <w:p>
            <w:pPr>
              <w:spacing w:line="360" w:lineRule="auto"/>
              <w:jc w:val="center"/>
              <w:rPr>
                <w:rFonts w:ascii="宋体" w:hAnsi="宋体" w:cs="宋体"/>
                <w:bCs/>
                <w:szCs w:val="21"/>
              </w:rPr>
            </w:pPr>
            <w:r>
              <w:rPr>
                <w:rFonts w:hint="eastAsia" w:ascii="宋体" w:hAnsi="宋体" w:cs="宋体"/>
                <w:bCs/>
                <w:szCs w:val="21"/>
              </w:rPr>
              <w:t>权益类资产</w:t>
            </w:r>
          </w:p>
        </w:tc>
        <w:tc>
          <w:tcPr>
            <w:tcW w:w="1996" w:type="dxa"/>
            <w:noWrap w:val="0"/>
            <w:vAlign w:val="center"/>
          </w:tcPr>
          <w:p>
            <w:pPr>
              <w:spacing w:line="360" w:lineRule="auto"/>
              <w:jc w:val="center"/>
              <w:rPr>
                <w:rFonts w:ascii="宋体" w:hAnsi="宋体" w:cs="宋体"/>
                <w:bCs/>
                <w:szCs w:val="21"/>
              </w:rPr>
            </w:pPr>
            <w:r>
              <w:rPr>
                <w:rFonts w:hint="eastAsia" w:ascii="宋体" w:hAnsi="宋体" w:cs="宋体"/>
                <w:bCs/>
                <w:szCs w:val="21"/>
              </w:rPr>
              <w:t>0%-</w:t>
            </w:r>
            <w:r>
              <w:rPr>
                <w:rFonts w:hint="eastAsia" w:ascii="宋体" w:hAnsi="宋体" w:cs="宋体"/>
                <w:bCs/>
                <w:szCs w:val="21"/>
                <w:lang w:val="en-US" w:eastAsia="zh-CN"/>
              </w:rPr>
              <w:t>5</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rPr>
            </w:pPr>
          </w:p>
        </w:tc>
        <w:tc>
          <w:tcPr>
            <w:tcW w:w="4740" w:type="dxa"/>
            <w:noWrap w:val="0"/>
            <w:vAlign w:val="top"/>
          </w:tcPr>
          <w:p>
            <w:pPr>
              <w:spacing w:line="360" w:lineRule="auto"/>
              <w:jc w:val="center"/>
              <w:rPr>
                <w:rFonts w:ascii="宋体" w:hAnsi="宋体" w:cs="宋体"/>
                <w:bCs/>
                <w:szCs w:val="21"/>
              </w:rPr>
            </w:pPr>
            <w:r>
              <w:rPr>
                <w:rFonts w:hint="eastAsia" w:ascii="宋体" w:hAnsi="宋体" w:cs="宋体"/>
                <w:bCs/>
                <w:szCs w:val="21"/>
              </w:rPr>
              <w:t>其他符合监管要求资产</w:t>
            </w:r>
          </w:p>
        </w:tc>
        <w:tc>
          <w:tcPr>
            <w:tcW w:w="1996" w:type="dxa"/>
            <w:noWrap w:val="0"/>
            <w:vAlign w:val="center"/>
          </w:tcPr>
          <w:p>
            <w:pPr>
              <w:spacing w:line="360" w:lineRule="auto"/>
              <w:jc w:val="center"/>
              <w:rPr>
                <w:rFonts w:ascii="宋体" w:hAnsi="宋体" w:cs="宋体"/>
                <w:bCs/>
                <w:szCs w:val="21"/>
              </w:rPr>
            </w:pPr>
            <w:r>
              <w:rPr>
                <w:rFonts w:hint="eastAsia" w:ascii="宋体" w:hAnsi="宋体" w:cs="宋体"/>
                <w:bCs/>
                <w:szCs w:val="21"/>
              </w:rPr>
              <w:t>0%-20%</w:t>
            </w:r>
          </w:p>
        </w:tc>
      </w:tr>
    </w:tbl>
    <w:p>
      <w:pPr>
        <w:pStyle w:val="15"/>
        <w:adjustRightInd/>
        <w:spacing w:line="360" w:lineRule="auto"/>
        <w:ind w:firstLine="456" w:firstLineChars="190"/>
        <w:rPr>
          <w:rFonts w:hint="eastAsia" w:ascii="宋体" w:hAnsi="宋体" w:cs="宋体"/>
          <w:bCs/>
          <w:color w:val="auto"/>
          <w:kern w:val="2"/>
        </w:rPr>
      </w:pPr>
      <w:r>
        <w:rPr>
          <w:rFonts w:hint="eastAsia" w:ascii="宋体" w:hAnsi="宋体" w:cs="宋体"/>
          <w:bCs/>
          <w:color w:val="auto"/>
          <w:kern w:val="2"/>
        </w:rPr>
        <w:t>本理财计划自成立日起1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jc w:val="left"/>
        <w:rPr>
          <w:rFonts w:ascii="宋体" w:hAnsi="宋体" w:cs="宋体"/>
          <w:b/>
          <w:sz w:val="24"/>
        </w:rPr>
      </w:pPr>
      <w:r>
        <w:rPr>
          <w:rFonts w:hint="eastAsia" w:ascii="宋体" w:hAnsi="宋体" w:cs="宋体"/>
          <w:b/>
          <w:sz w:val="24"/>
        </w:rPr>
        <w:t>投资策略</w:t>
      </w:r>
    </w:p>
    <w:p>
      <w:pPr>
        <w:spacing w:line="360" w:lineRule="auto"/>
        <w:ind w:firstLine="480" w:firstLineChars="200"/>
        <w:jc w:val="left"/>
        <w:rPr>
          <w:rFonts w:ascii="宋体" w:hAnsi="宋体" w:cs="宋体"/>
          <w:b/>
          <w:sz w:val="24"/>
        </w:rPr>
      </w:pPr>
      <w:r>
        <w:rPr>
          <w:rFonts w:hint="eastAsia" w:ascii="宋体" w:hAnsi="宋体" w:cs="宋体"/>
          <w:bCs/>
          <w:sz w:val="24"/>
        </w:rPr>
        <w:t>本理财计划本着稳健投资的理念，基于宏观经济形势、货币政策、固定收益资产价格走势，采用安全性和流动性优先、优选投资品种，采取久期策略、杠杆策略和信用策略来获取稳定收益。本产品以固定收益投资为主，主要投资于债券、存款、货币基金等高流动性资产并通过开展债券回购等融入或融出资金，以应对流动性需要和提高资金使用效率。</w:t>
      </w:r>
    </w:p>
    <w:p>
      <w:pPr>
        <w:numPr>
          <w:ilvl w:val="0"/>
          <w:numId w:val="20"/>
        </w:numPr>
        <w:spacing w:line="360" w:lineRule="auto"/>
        <w:jc w:val="left"/>
        <w:rPr>
          <w:rFonts w:ascii="宋体" w:hAnsi="宋体" w:cs="宋体"/>
          <w:b/>
          <w:sz w:val="24"/>
        </w:rPr>
      </w:pPr>
      <w:r>
        <w:rPr>
          <w:rFonts w:hint="eastAsia" w:ascii="宋体" w:hAnsi="宋体" w:cs="宋体"/>
          <w:b/>
          <w:sz w:val="24"/>
        </w:rPr>
        <w:t>投资限制</w:t>
      </w:r>
    </w:p>
    <w:p>
      <w:pPr>
        <w:pStyle w:val="15"/>
        <w:adjustRightInd/>
        <w:spacing w:line="360" w:lineRule="auto"/>
        <w:ind w:firstLine="480" w:firstLineChars="200"/>
        <w:rPr>
          <w:rFonts w:ascii="宋体" w:hAnsi="宋体" w:cs="宋体"/>
          <w:b/>
          <w:sz w:val="24"/>
        </w:rPr>
      </w:pPr>
      <w:r>
        <w:rPr>
          <w:rFonts w:hint="eastAsia" w:ascii="宋体" w:hAnsi="宋体" w:cs="宋体"/>
          <w:bCs/>
          <w:color w:val="auto"/>
          <w:kern w:val="2"/>
          <w:highlight w:val="none"/>
          <w:lang w:val="en-US" w:eastAsia="zh-CN"/>
        </w:rPr>
        <w:t>投资限制中列示的资产品种不代表管理人的实际投向，本理财计划投资范围以“投资范围”章节表述为准。</w:t>
      </w:r>
    </w:p>
    <w:p>
      <w:pPr>
        <w:numPr>
          <w:ilvl w:val="0"/>
          <w:numId w:val="22"/>
        </w:numPr>
        <w:spacing w:line="360" w:lineRule="auto"/>
        <w:jc w:val="left"/>
        <w:rPr>
          <w:rFonts w:ascii="宋体" w:hAnsi="宋体" w:cs="宋体"/>
          <w:bCs/>
          <w:sz w:val="24"/>
        </w:rPr>
      </w:pPr>
      <w:r>
        <w:rPr>
          <w:rFonts w:hint="eastAsia" w:ascii="宋体" w:hAnsi="宋体" w:cs="宋体"/>
          <w:bCs/>
          <w:sz w:val="24"/>
        </w:rPr>
        <w:t>投资集中度限制</w:t>
      </w:r>
    </w:p>
    <w:p>
      <w:pPr>
        <w:numPr>
          <w:ilvl w:val="0"/>
          <w:numId w:val="23"/>
        </w:numPr>
        <w:spacing w:line="360" w:lineRule="auto"/>
        <w:ind w:firstLine="480" w:firstLineChars="200"/>
        <w:jc w:val="left"/>
        <w:rPr>
          <w:rFonts w:ascii="宋体" w:hAnsi="宋体" w:cs="宋体"/>
          <w:bCs/>
          <w:sz w:val="24"/>
        </w:rPr>
      </w:pPr>
      <w:r>
        <w:rPr>
          <w:rFonts w:hint="eastAsia" w:ascii="宋体" w:hAnsi="宋体" w:cs="宋体"/>
          <w:bCs/>
          <w:color w:val="000000"/>
          <w:sz w:val="24"/>
        </w:rPr>
        <w:t>本理</w:t>
      </w:r>
      <w:r>
        <w:rPr>
          <w:rFonts w:hint="eastAsia" w:ascii="宋体" w:hAnsi="宋体" w:cs="宋体"/>
          <w:bCs/>
          <w:sz w:val="24"/>
        </w:rPr>
        <w:t>财计划持有单只证券或单只公募</w:t>
      </w:r>
      <w:r>
        <w:fldChar w:fldCharType="begin"/>
      </w:r>
      <w: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rPr>
        <w:t>证券投资基金</w:t>
      </w:r>
      <w:r>
        <w:rPr>
          <w:rFonts w:ascii="宋体" w:hAnsi="宋体" w:cs="宋体"/>
          <w:bCs/>
          <w:sz w:val="24"/>
        </w:rPr>
        <w:fldChar w:fldCharType="end"/>
      </w:r>
      <w:r>
        <w:rPr>
          <w:rFonts w:ascii="宋体" w:hAnsi="宋体" w:cs="宋体"/>
          <w:bCs/>
          <w:sz w:val="24"/>
        </w:rPr>
        <w:t>的市值不得超过该理财</w:t>
      </w:r>
      <w:r>
        <w:rPr>
          <w:rFonts w:hint="eastAsia" w:ascii="宋体" w:hAnsi="宋体" w:cs="宋体"/>
          <w:bCs/>
          <w:sz w:val="24"/>
        </w:rPr>
        <w:t>计划</w:t>
      </w:r>
      <w:r>
        <w:rPr>
          <w:rFonts w:ascii="宋体" w:hAnsi="宋体" w:cs="宋体"/>
          <w:bCs/>
          <w:sz w:val="24"/>
        </w:rPr>
        <w:t>净资产</w:t>
      </w:r>
      <w:r>
        <w:rPr>
          <w:rFonts w:hint="eastAsia" w:ascii="宋体" w:hAnsi="宋体" w:cs="宋体"/>
          <w:bCs/>
          <w:sz w:val="24"/>
        </w:rPr>
        <w:t>的</w:t>
      </w:r>
      <w:r>
        <w:rPr>
          <w:rFonts w:ascii="宋体" w:hAnsi="宋体" w:cs="宋体"/>
          <w:bCs/>
          <w:sz w:val="24"/>
        </w:rPr>
        <w:t>10%</w:t>
      </w:r>
      <w:r>
        <w:rPr>
          <w:rFonts w:hint="eastAsia" w:ascii="宋体" w:hAnsi="宋体" w:cs="宋体"/>
          <w:bCs/>
          <w:sz w:val="24"/>
        </w:rPr>
        <w:t>。</w:t>
      </w:r>
    </w:p>
    <w:p>
      <w:pPr>
        <w:numPr>
          <w:ilvl w:val="0"/>
          <w:numId w:val="23"/>
        </w:numPr>
        <w:spacing w:line="360" w:lineRule="auto"/>
        <w:ind w:firstLine="480" w:firstLineChars="200"/>
        <w:jc w:val="left"/>
        <w:rPr>
          <w:rFonts w:ascii="宋体" w:hAnsi="宋体" w:cs="宋体"/>
          <w:bCs/>
          <w:sz w:val="24"/>
        </w:rPr>
      </w:pPr>
      <w:r>
        <w:rPr>
          <w:rFonts w:hint="eastAsia" w:ascii="宋体" w:hAnsi="宋体" w:cs="宋体"/>
          <w:bCs/>
          <w:sz w:val="24"/>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sz w:val="24"/>
        </w:rPr>
      </w:pPr>
      <w:r>
        <w:rPr>
          <w:rFonts w:hint="eastAsia" w:ascii="宋体" w:hAnsi="宋体" w:cs="宋体"/>
          <w:bCs/>
          <w:sz w:val="24"/>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hint="eastAsia" w:ascii="宋体" w:hAnsi="宋体" w:cs="宋体"/>
          <w:bCs/>
          <w:sz w:val="24"/>
        </w:rPr>
      </w:pPr>
      <w:r>
        <w:rPr>
          <w:rFonts w:hint="eastAsia" w:ascii="宋体" w:hAnsi="宋体" w:cs="宋体"/>
          <w:bCs/>
          <w:sz w:val="24"/>
        </w:rPr>
        <w:t>管理人发行的全部开放式公募理财计划投资单一上市公司发行的股票,不得超过该上市公司可流通股票的15%。</w:t>
      </w:r>
    </w:p>
    <w:p>
      <w:pPr>
        <w:spacing w:line="360" w:lineRule="auto"/>
        <w:ind w:firstLine="480" w:firstLineChars="200"/>
        <w:jc w:val="left"/>
        <w:rPr>
          <w:rFonts w:ascii="宋体" w:hAnsi="宋体" w:cs="宋体"/>
          <w:bCs/>
          <w:sz w:val="24"/>
        </w:rPr>
      </w:pPr>
      <w:r>
        <w:rPr>
          <w:rFonts w:hint="eastAsia" w:ascii="宋体" w:hAnsi="宋体" w:cs="宋体"/>
          <w:bCs/>
          <w:sz w:val="24"/>
        </w:rPr>
        <w:t>国务院银行业监督管理机构另有规定的除外。</w:t>
      </w:r>
    </w:p>
    <w:p>
      <w:pPr>
        <w:spacing w:line="360" w:lineRule="auto"/>
        <w:ind w:firstLine="480" w:firstLineChars="200"/>
        <w:jc w:val="left"/>
        <w:rPr>
          <w:rFonts w:hint="eastAsia" w:ascii="宋体" w:hAnsi="宋体" w:cs="宋体"/>
          <w:bCs/>
          <w:sz w:val="24"/>
        </w:rPr>
      </w:pPr>
      <w:r>
        <w:rPr>
          <w:rFonts w:hint="eastAsia" w:ascii="宋体" w:hAnsi="宋体" w:cs="宋体"/>
          <w:bCs/>
          <w:sz w:val="24"/>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jc w:val="left"/>
        <w:rPr>
          <w:rFonts w:hint="eastAsia" w:ascii="宋体" w:hAnsi="宋体" w:cs="宋体"/>
          <w:bCs/>
          <w:sz w:val="24"/>
        </w:rPr>
      </w:pPr>
      <w:r>
        <w:rPr>
          <w:rFonts w:hint="eastAsia" w:ascii="宋体" w:hAnsi="宋体" w:cs="宋体"/>
          <w:bCs/>
          <w:sz w:val="24"/>
        </w:rPr>
        <w:t>投资期限限制</w:t>
      </w:r>
    </w:p>
    <w:p>
      <w:pPr>
        <w:spacing w:line="360" w:lineRule="auto"/>
        <w:ind w:firstLine="480" w:firstLineChars="200"/>
        <w:jc w:val="left"/>
        <w:rPr>
          <w:rFonts w:hint="eastAsia" w:ascii="宋体" w:hAnsi="宋体" w:cs="宋体"/>
          <w:bCs/>
          <w:sz w:val="24"/>
        </w:rPr>
      </w:pPr>
      <w:r>
        <w:rPr>
          <w:rFonts w:hint="eastAsia" w:ascii="宋体" w:hAnsi="宋体" w:cs="宋体"/>
          <w:bCs/>
          <w:sz w:val="24"/>
        </w:rPr>
        <w:t>本理财计划投资的非标准化债权类资产到期日不得晚于理财计划最近一次开放日。</w:t>
      </w:r>
    </w:p>
    <w:p>
      <w:pPr>
        <w:numPr>
          <w:ilvl w:val="0"/>
          <w:numId w:val="22"/>
        </w:numPr>
        <w:spacing w:line="360" w:lineRule="auto"/>
        <w:jc w:val="left"/>
        <w:rPr>
          <w:rFonts w:ascii="宋体" w:hAnsi="宋体" w:cs="宋体"/>
          <w:bCs/>
          <w:sz w:val="24"/>
        </w:rPr>
      </w:pPr>
      <w:r>
        <w:rPr>
          <w:rFonts w:hint="eastAsia" w:ascii="宋体" w:hAnsi="宋体" w:cs="宋体"/>
          <w:bCs/>
          <w:sz w:val="24"/>
        </w:rPr>
        <w:t>投资杠杆率限制</w:t>
      </w:r>
    </w:p>
    <w:p>
      <w:pPr>
        <w:spacing w:line="360" w:lineRule="auto"/>
        <w:ind w:firstLine="480" w:firstLineChars="200"/>
        <w:jc w:val="left"/>
        <w:rPr>
          <w:rFonts w:ascii="宋体" w:hAnsi="宋体" w:cs="宋体"/>
          <w:bCs/>
          <w:sz w:val="24"/>
        </w:rPr>
      </w:pPr>
      <w:r>
        <w:rPr>
          <w:rFonts w:hint="eastAsia" w:ascii="宋体" w:hAnsi="宋体" w:cs="宋体"/>
          <w:bCs/>
          <w:sz w:val="24"/>
        </w:rPr>
        <w:t>本理财计划的总资产不得超过净资产的140%。</w:t>
      </w:r>
    </w:p>
    <w:p>
      <w:pPr>
        <w:numPr>
          <w:ilvl w:val="0"/>
          <w:numId w:val="22"/>
        </w:numPr>
        <w:spacing w:line="360" w:lineRule="auto"/>
        <w:jc w:val="left"/>
        <w:rPr>
          <w:rFonts w:hint="eastAsia" w:ascii="宋体" w:hAnsi="宋体" w:cs="宋体"/>
          <w:bCs/>
          <w:sz w:val="24"/>
        </w:rPr>
      </w:pPr>
      <w:r>
        <w:rPr>
          <w:rFonts w:hint="eastAsia" w:ascii="宋体" w:hAnsi="宋体" w:cs="宋体"/>
          <w:bCs/>
          <w:sz w:val="24"/>
        </w:rPr>
        <w:t>流动性限制</w:t>
      </w:r>
    </w:p>
    <w:p>
      <w:pPr>
        <w:numPr>
          <w:ilvl w:val="0"/>
          <w:numId w:val="24"/>
        </w:numPr>
        <w:spacing w:line="360" w:lineRule="auto"/>
        <w:ind w:firstLine="480" w:firstLineChars="200"/>
        <w:jc w:val="left"/>
        <w:rPr>
          <w:rFonts w:hint="eastAsia" w:ascii="宋体" w:hAnsi="宋体" w:cs="宋体"/>
          <w:bCs/>
          <w:sz w:val="24"/>
        </w:rPr>
      </w:pPr>
      <w:r>
        <w:rPr>
          <w:rFonts w:hint="eastAsia" w:ascii="宋体" w:hAnsi="宋体" w:cs="宋体"/>
          <w:bCs/>
          <w:sz w:val="24"/>
        </w:rPr>
        <w:t>本理财计划直接投资于流动性受限资产的市值在开放日不得超过该理财计划资产净值的15%。</w:t>
      </w:r>
    </w:p>
    <w:p>
      <w:pPr>
        <w:numPr>
          <w:ilvl w:val="0"/>
          <w:numId w:val="24"/>
        </w:numPr>
        <w:spacing w:line="360" w:lineRule="auto"/>
        <w:ind w:firstLine="480" w:firstLineChars="200"/>
        <w:jc w:val="left"/>
        <w:rPr>
          <w:rFonts w:hint="eastAsia" w:ascii="宋体" w:hAnsi="宋体" w:cs="宋体"/>
          <w:bCs/>
          <w:sz w:val="24"/>
        </w:rPr>
      </w:pPr>
      <w:r>
        <w:rPr>
          <w:rFonts w:hint="eastAsia" w:ascii="宋体" w:hAnsi="宋体" w:cs="宋体"/>
          <w:bCs/>
          <w:sz w:val="24"/>
        </w:rPr>
        <w:t>本理财计划如定期开放周期不低于90天，应当在开放日及开放日前7个工作日内持有不低于该理财计划资产净值5%的现金或者到期日在一年以内的国债、中央银行票据和政策性金融债券；如定期开放周期低于90天，应当持有不低于该理财产品资产净值5%的现金或者到期日在一年以内的国债、中央银行票据和政策性金融债券。</w:t>
      </w:r>
    </w:p>
    <w:p>
      <w:pPr>
        <w:numPr>
          <w:ilvl w:val="0"/>
          <w:numId w:val="24"/>
        </w:numPr>
        <w:spacing w:line="360" w:lineRule="auto"/>
        <w:ind w:firstLine="480" w:firstLineChars="200"/>
        <w:jc w:val="left"/>
        <w:rPr>
          <w:rFonts w:ascii="宋体" w:hAnsi="宋体" w:cs="宋体"/>
          <w:bCs/>
          <w:sz w:val="24"/>
        </w:rPr>
      </w:pPr>
      <w:r>
        <w:rPr>
          <w:rFonts w:hint="eastAsia" w:ascii="宋体" w:hAnsi="宋体" w:cs="宋体"/>
          <w:bCs/>
          <w:sz w:val="24"/>
        </w:rPr>
        <w:t>在开放日前一工作日内，本理财计划7个工作日可变现资产的可变现价值应当不低于该理财计划资产净值的10%。</w:t>
      </w:r>
    </w:p>
    <w:p>
      <w:pPr>
        <w:numPr>
          <w:ilvl w:val="0"/>
          <w:numId w:val="24"/>
        </w:numPr>
        <w:spacing w:line="360" w:lineRule="auto"/>
        <w:ind w:firstLine="480" w:firstLineChars="200"/>
        <w:jc w:val="left"/>
        <w:rPr>
          <w:rFonts w:ascii="宋体" w:hAnsi="宋体" w:cs="宋体"/>
          <w:bCs/>
          <w:sz w:val="24"/>
        </w:rPr>
      </w:pPr>
      <w:r>
        <w:rPr>
          <w:rFonts w:hint="eastAsia" w:ascii="宋体" w:hAnsi="宋体" w:cs="宋体"/>
          <w:bCs/>
          <w:sz w:val="24"/>
        </w:rPr>
        <w:t>本理财计划如定期开放周期低于90天，计划投资不存在活跃交易市场，并且需要采用估值技术确定公允价值的资产比例不得超过理财产品净资产50%以上。</w:t>
      </w:r>
    </w:p>
    <w:p>
      <w:pPr>
        <w:numPr>
          <w:ilvl w:val="0"/>
          <w:numId w:val="22"/>
        </w:numPr>
        <w:spacing w:line="360" w:lineRule="auto"/>
        <w:jc w:val="left"/>
        <w:rPr>
          <w:rFonts w:hint="eastAsia" w:ascii="宋体" w:hAnsi="宋体" w:cs="宋体"/>
          <w:bCs/>
          <w:sz w:val="24"/>
        </w:rPr>
      </w:pPr>
      <w:r>
        <w:rPr>
          <w:rFonts w:hint="eastAsia" w:ascii="宋体" w:hAnsi="宋体" w:cs="宋体"/>
          <w:bCs/>
          <w:sz w:val="24"/>
        </w:rPr>
        <w:t>其他投资限制</w:t>
      </w:r>
    </w:p>
    <w:p>
      <w:pPr>
        <w:spacing w:line="360" w:lineRule="auto"/>
        <w:ind w:firstLine="480" w:firstLineChars="200"/>
        <w:jc w:val="left"/>
        <w:rPr>
          <w:rFonts w:ascii="宋体" w:hAnsi="宋体" w:cs="宋体"/>
          <w:bCs/>
          <w:sz w:val="24"/>
        </w:rPr>
      </w:pPr>
      <w:r>
        <w:rPr>
          <w:rFonts w:hint="eastAsia" w:ascii="宋体" w:hAnsi="宋体" w:cs="宋体"/>
          <w:bCs/>
          <w:sz w:val="24"/>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rPr>
        <w:t>资产支持证券</w:t>
      </w:r>
      <w:r>
        <w:rPr>
          <w:rFonts w:ascii="宋体" w:hAnsi="宋体" w:cs="宋体"/>
          <w:bCs/>
          <w:sz w:val="24"/>
        </w:rPr>
        <w:fldChar w:fldCharType="end"/>
      </w:r>
      <w:r>
        <w:rPr>
          <w:rFonts w:hint="eastAsia" w:ascii="宋体" w:hAnsi="宋体" w:cs="宋体"/>
          <w:bCs/>
          <w:sz w:val="24"/>
        </w:rPr>
        <w:t>，不得直接或间接投资于未上市公司股权及其受（收）益权。</w:t>
      </w:r>
    </w:p>
    <w:p>
      <w:pPr>
        <w:spacing w:line="360" w:lineRule="auto"/>
        <w:ind w:firstLine="482" w:firstLineChars="200"/>
        <w:jc w:val="left"/>
        <w:rPr>
          <w:rFonts w:hint="eastAsia" w:ascii="宋体" w:hAnsi="宋体" w:cs="宋体"/>
          <w:b/>
          <w:sz w:val="24"/>
        </w:rPr>
      </w:pPr>
      <w:r>
        <w:rPr>
          <w:rFonts w:hint="eastAsia" w:ascii="宋体" w:hAnsi="宋体" w:cs="宋体"/>
          <w:b/>
          <w:sz w:val="24"/>
        </w:rPr>
        <w:t>（五）拟投资市场、资产的流动性风险评估</w:t>
      </w:r>
    </w:p>
    <w:p>
      <w:pPr>
        <w:spacing w:line="360" w:lineRule="auto"/>
        <w:ind w:left="420"/>
        <w:jc w:val="left"/>
        <w:rPr>
          <w:rFonts w:hint="eastAsia" w:ascii="宋体" w:hAnsi="宋体" w:cs="宋体"/>
          <w:bCs/>
          <w:sz w:val="24"/>
        </w:rPr>
      </w:pPr>
      <w:r>
        <w:rPr>
          <w:rFonts w:hint="eastAsia" w:ascii="宋体" w:hAnsi="宋体" w:cs="宋体"/>
          <w:bCs/>
          <w:sz w:val="24"/>
        </w:rPr>
        <w:t>本理财计划拟投资市场可能面临的流动性风险如下：</w:t>
      </w:r>
    </w:p>
    <w:p>
      <w:pPr>
        <w:numPr>
          <w:ilvl w:val="0"/>
          <w:numId w:val="25"/>
        </w:numPr>
        <w:spacing w:line="360" w:lineRule="auto"/>
        <w:jc w:val="left"/>
        <w:rPr>
          <w:rFonts w:hint="eastAsia" w:ascii="宋体" w:hAnsi="宋体" w:cs="宋体"/>
          <w:bCs/>
          <w:sz w:val="24"/>
        </w:rPr>
      </w:pPr>
      <w:r>
        <w:rPr>
          <w:rFonts w:hint="eastAsia" w:ascii="宋体" w:hAnsi="宋体" w:cs="宋体"/>
          <w:bCs/>
          <w:sz w:val="24"/>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5"/>
        </w:numPr>
        <w:spacing w:line="360" w:lineRule="auto"/>
        <w:jc w:val="left"/>
        <w:rPr>
          <w:rFonts w:hint="eastAsia" w:ascii="宋体" w:hAnsi="宋体" w:cs="宋体"/>
          <w:bCs/>
          <w:sz w:val="24"/>
        </w:rPr>
      </w:pPr>
      <w:r>
        <w:rPr>
          <w:rFonts w:hint="eastAsia" w:ascii="宋体" w:hAnsi="宋体" w:cs="宋体"/>
          <w:bCs/>
          <w:sz w:val="24"/>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5"/>
        </w:numPr>
        <w:spacing w:line="360" w:lineRule="auto"/>
        <w:jc w:val="left"/>
        <w:rPr>
          <w:rFonts w:hint="eastAsia" w:ascii="宋体" w:hAnsi="宋体" w:cs="宋体"/>
          <w:bCs/>
          <w:sz w:val="24"/>
        </w:rPr>
      </w:pPr>
      <w:r>
        <w:rPr>
          <w:rFonts w:hint="eastAsia" w:ascii="宋体" w:hAnsi="宋体" w:cs="宋体"/>
          <w:bCs/>
          <w:sz w:val="24"/>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sz w:val="24"/>
        </w:rPr>
      </w:pPr>
      <w:r>
        <w:rPr>
          <w:rFonts w:hint="eastAsia" w:ascii="宋体" w:hAnsi="宋体" w:cs="宋体"/>
          <w:bCs/>
          <w:sz w:val="24"/>
        </w:rPr>
        <w:t>以上风险仅为列举性质，未能详尽列明拟投资市场和资产面临的全部流动性风险</w:t>
      </w:r>
      <w:r>
        <w:rPr>
          <w:rFonts w:ascii="宋体" w:hAnsi="宋体" w:cs="宋体"/>
          <w:bCs/>
          <w:sz w:val="24"/>
        </w:rPr>
        <w:t>可能导致投资者投资本金及收益损失</w:t>
      </w:r>
      <w:r>
        <w:rPr>
          <w:rFonts w:hint="eastAsia" w:ascii="宋体" w:hAnsi="宋体" w:cs="宋体"/>
          <w:bCs/>
          <w:sz w:val="24"/>
        </w:rPr>
        <w:t>或延期兑付</w:t>
      </w:r>
      <w:r>
        <w:rPr>
          <w:rFonts w:ascii="宋体" w:hAnsi="宋体" w:cs="宋体"/>
          <w:bCs/>
          <w:sz w:val="24"/>
        </w:rPr>
        <w:t>的所有因素</w:t>
      </w:r>
      <w:r>
        <w:rPr>
          <w:rFonts w:hint="eastAsia" w:ascii="宋体" w:hAnsi="宋体" w:cs="宋体"/>
          <w:bCs/>
          <w:sz w:val="24"/>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sz w:val="24"/>
        </w:rPr>
      </w:pPr>
    </w:p>
    <w:p>
      <w:pPr>
        <w:numPr>
          <w:ilvl w:val="0"/>
          <w:numId w:val="26"/>
        </w:numPr>
        <w:spacing w:line="360" w:lineRule="auto"/>
        <w:jc w:val="left"/>
        <w:rPr>
          <w:rFonts w:ascii="宋体" w:hAnsi="宋体" w:cs="宋体"/>
          <w:b/>
          <w:sz w:val="24"/>
        </w:rPr>
      </w:pPr>
      <w:r>
        <w:rPr>
          <w:rFonts w:hint="eastAsia" w:ascii="宋体" w:hAnsi="宋体" w:cs="宋体"/>
          <w:b/>
          <w:sz w:val="24"/>
        </w:rPr>
        <w:t>合作机构及主要职责</w:t>
      </w:r>
    </w:p>
    <w:p>
      <w:pPr>
        <w:numPr>
          <w:ilvl w:val="0"/>
          <w:numId w:val="27"/>
        </w:numPr>
        <w:spacing w:line="360" w:lineRule="auto"/>
        <w:jc w:val="left"/>
        <w:rPr>
          <w:rFonts w:ascii="宋体" w:hAnsi="宋体" w:cs="宋体"/>
          <w:b/>
          <w:sz w:val="24"/>
        </w:rPr>
      </w:pPr>
      <w:r>
        <w:rPr>
          <w:rFonts w:hint="eastAsia" w:ascii="宋体" w:hAnsi="宋体" w:cs="宋体"/>
          <w:b/>
          <w:sz w:val="24"/>
        </w:rPr>
        <w:t>托管人</w:t>
      </w:r>
    </w:p>
    <w:tbl>
      <w:tblPr>
        <w:tblStyle w:val="9"/>
        <w:tblW w:w="7793"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noWrap w:val="0"/>
            <w:vAlign w:val="center"/>
          </w:tcPr>
          <w:p>
            <w:pPr>
              <w:spacing w:line="360" w:lineRule="auto"/>
              <w:jc w:val="center"/>
              <w:rPr>
                <w:rFonts w:ascii="宋体" w:hAnsi="宋体" w:cs="宋体"/>
                <w:bCs/>
                <w:szCs w:val="21"/>
              </w:rPr>
            </w:pPr>
            <w:r>
              <w:rPr>
                <w:rFonts w:hint="eastAsia" w:ascii="宋体" w:hAnsi="宋体" w:cs="宋体"/>
                <w:bCs/>
                <w:szCs w:val="21"/>
              </w:rPr>
              <w:t>托管人名称</w:t>
            </w:r>
          </w:p>
        </w:tc>
        <w:tc>
          <w:tcPr>
            <w:tcW w:w="6053" w:type="dxa"/>
            <w:noWrap w:val="0"/>
            <w:vAlign w:val="top"/>
          </w:tcPr>
          <w:p>
            <w:pPr>
              <w:spacing w:line="360" w:lineRule="auto"/>
              <w:jc w:val="left"/>
              <w:rPr>
                <w:rFonts w:ascii="宋体" w:hAnsi="宋体" w:cs="宋体"/>
                <w:bCs/>
                <w:szCs w:val="21"/>
              </w:rPr>
            </w:pPr>
            <w:r>
              <w:rPr>
                <w:rFonts w:hint="eastAsia" w:ascii="宋体" w:hAnsi="宋体" w:cs="宋体"/>
                <w:bCs/>
                <w:szCs w:val="21"/>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noWrap w:val="0"/>
            <w:vAlign w:val="center"/>
          </w:tcPr>
          <w:p>
            <w:pPr>
              <w:spacing w:line="360" w:lineRule="auto"/>
              <w:jc w:val="center"/>
              <w:rPr>
                <w:rFonts w:ascii="宋体" w:hAnsi="宋体" w:cs="宋体"/>
                <w:bCs/>
                <w:szCs w:val="21"/>
              </w:rPr>
            </w:pPr>
            <w:r>
              <w:rPr>
                <w:rFonts w:hint="eastAsia" w:ascii="宋体" w:hAnsi="宋体" w:cs="宋体"/>
                <w:bCs/>
                <w:szCs w:val="21"/>
              </w:rPr>
              <w:t>托管人住所</w:t>
            </w:r>
          </w:p>
        </w:tc>
        <w:tc>
          <w:tcPr>
            <w:tcW w:w="6053" w:type="dxa"/>
            <w:noWrap w:val="0"/>
            <w:vAlign w:val="top"/>
          </w:tcPr>
          <w:p>
            <w:pPr>
              <w:spacing w:line="360" w:lineRule="auto"/>
              <w:jc w:val="left"/>
              <w:rPr>
                <w:rFonts w:hint="eastAsia" w:ascii="宋体" w:hAnsi="宋体" w:eastAsia="宋体" w:cs="宋体"/>
                <w:bCs/>
                <w:szCs w:val="21"/>
                <w:lang w:eastAsia="zh-CN"/>
              </w:rPr>
            </w:pPr>
            <w:r>
              <w:rPr>
                <w:rFonts w:hint="eastAsia" w:ascii="宋体" w:hAnsi="宋体" w:cs="宋体"/>
                <w:bCs/>
                <w:szCs w:val="21"/>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noWrap w:val="0"/>
            <w:vAlign w:val="center"/>
          </w:tcPr>
          <w:p>
            <w:pPr>
              <w:spacing w:line="360" w:lineRule="auto"/>
              <w:jc w:val="center"/>
              <w:rPr>
                <w:rFonts w:ascii="宋体" w:hAnsi="宋体" w:cs="宋体"/>
                <w:bCs/>
                <w:szCs w:val="21"/>
              </w:rPr>
            </w:pPr>
            <w:r>
              <w:rPr>
                <w:rFonts w:hint="eastAsia" w:ascii="宋体" w:hAnsi="宋体" w:cs="宋体"/>
                <w:bCs/>
                <w:szCs w:val="21"/>
              </w:rPr>
              <w:t>托管人职责</w:t>
            </w:r>
          </w:p>
        </w:tc>
        <w:tc>
          <w:tcPr>
            <w:tcW w:w="6053" w:type="dxa"/>
            <w:noWrap w:val="0"/>
            <w:vAlign w:val="top"/>
          </w:tcPr>
          <w:p>
            <w:pPr>
              <w:spacing w:line="360" w:lineRule="auto"/>
              <w:jc w:val="left"/>
              <w:rPr>
                <w:rFonts w:ascii="宋体" w:hAnsi="宋体" w:cs="宋体"/>
                <w:bCs/>
                <w:szCs w:val="21"/>
              </w:rPr>
            </w:pPr>
            <w:r>
              <w:rPr>
                <w:rFonts w:hint="eastAsia" w:ascii="宋体" w:hAnsi="宋体" w:cs="宋体"/>
                <w:bCs/>
                <w:szCs w:val="21"/>
              </w:rPr>
              <w:t>主要提供包括账户开立、资金保管、资金结算、估值核对等理财产品托管服务。</w:t>
            </w:r>
          </w:p>
        </w:tc>
      </w:tr>
    </w:tbl>
    <w:p>
      <w:pPr>
        <w:numPr>
          <w:ilvl w:val="0"/>
          <w:numId w:val="28"/>
        </w:numPr>
        <w:spacing w:line="360" w:lineRule="auto"/>
        <w:jc w:val="left"/>
        <w:rPr>
          <w:rFonts w:ascii="宋体" w:hAnsi="宋体" w:cs="宋体"/>
          <w:b/>
          <w:sz w:val="24"/>
        </w:rPr>
      </w:pPr>
      <w:r>
        <w:rPr>
          <w:rFonts w:hint="eastAsia" w:ascii="宋体" w:hAnsi="宋体" w:cs="宋体"/>
          <w:b/>
          <w:sz w:val="24"/>
        </w:rPr>
        <w:t>销售机构</w:t>
      </w:r>
    </w:p>
    <w:tbl>
      <w:tblPr>
        <w:tblStyle w:val="9"/>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475"/>
        <w:gridCol w:w="1155"/>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noWrap w:val="0"/>
            <w:vAlign w:val="center"/>
          </w:tcPr>
          <w:p>
            <w:pPr>
              <w:spacing w:line="360" w:lineRule="auto"/>
              <w:jc w:val="center"/>
              <w:rPr>
                <w:rFonts w:ascii="宋体" w:hAnsi="宋体" w:cs="宋体"/>
                <w:bCs/>
                <w:szCs w:val="21"/>
              </w:rPr>
            </w:pPr>
            <w:r>
              <w:rPr>
                <w:rFonts w:hint="eastAsia" w:ascii="宋体" w:hAnsi="宋体" w:cs="宋体"/>
                <w:bCs/>
                <w:szCs w:val="21"/>
              </w:rPr>
              <w:t>销售机构信息</w:t>
            </w:r>
          </w:p>
        </w:tc>
        <w:tc>
          <w:tcPr>
            <w:tcW w:w="2475" w:type="dxa"/>
            <w:vMerge w:val="restart"/>
            <w:noWrap w:val="0"/>
            <w:vAlign w:val="center"/>
          </w:tcPr>
          <w:p>
            <w:pPr>
              <w:spacing w:line="360" w:lineRule="auto"/>
              <w:jc w:val="center"/>
              <w:rPr>
                <w:rFonts w:ascii="宋体" w:hAnsi="宋体" w:cs="宋体"/>
                <w:bCs/>
                <w:szCs w:val="21"/>
              </w:rPr>
            </w:pPr>
            <w:r>
              <w:rPr>
                <w:rFonts w:hint="eastAsia" w:ascii="宋体" w:hAnsi="宋体" w:cs="宋体"/>
                <w:bCs/>
                <w:szCs w:val="21"/>
              </w:rPr>
              <w:t>杭州银行股份有限公司</w:t>
            </w:r>
          </w:p>
        </w:tc>
        <w:tc>
          <w:tcPr>
            <w:tcW w:w="1155" w:type="dxa"/>
            <w:noWrap w:val="0"/>
            <w:vAlign w:val="center"/>
          </w:tcPr>
          <w:p>
            <w:pPr>
              <w:spacing w:line="360" w:lineRule="auto"/>
              <w:jc w:val="center"/>
              <w:rPr>
                <w:rFonts w:ascii="宋体" w:hAnsi="宋体" w:cs="宋体"/>
                <w:bCs/>
                <w:szCs w:val="21"/>
              </w:rPr>
            </w:pPr>
            <w:r>
              <w:rPr>
                <w:rFonts w:hint="eastAsia" w:ascii="宋体" w:hAnsi="宋体" w:cs="宋体"/>
                <w:bCs/>
                <w:szCs w:val="21"/>
              </w:rPr>
              <w:t>住所</w:t>
            </w:r>
          </w:p>
        </w:tc>
        <w:tc>
          <w:tcPr>
            <w:tcW w:w="3210" w:type="dxa"/>
            <w:noWrap w:val="0"/>
            <w:vAlign w:val="center"/>
          </w:tcPr>
          <w:p>
            <w:pPr>
              <w:spacing w:line="360" w:lineRule="auto"/>
              <w:jc w:val="left"/>
              <w:rPr>
                <w:rFonts w:hint="eastAsia" w:ascii="宋体" w:hAnsi="宋体" w:eastAsia="宋体" w:cs="宋体"/>
                <w:bCs/>
                <w:szCs w:val="21"/>
                <w:lang w:eastAsia="zh-CN"/>
              </w:rPr>
            </w:pPr>
            <w:r>
              <w:rPr>
                <w:rFonts w:hint="eastAsia" w:ascii="宋体" w:hAnsi="宋体" w:cs="宋体"/>
                <w:bCs/>
                <w:szCs w:val="21"/>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rPr>
            </w:pPr>
          </w:p>
        </w:tc>
        <w:tc>
          <w:tcPr>
            <w:tcW w:w="2475" w:type="dxa"/>
            <w:vMerge w:val="continue"/>
            <w:noWrap w:val="0"/>
            <w:vAlign w:val="center"/>
          </w:tcPr>
          <w:p>
            <w:pPr>
              <w:spacing w:line="360" w:lineRule="auto"/>
              <w:jc w:val="center"/>
              <w:rPr>
                <w:rFonts w:ascii="宋体" w:hAnsi="宋体" w:cs="宋体"/>
                <w:bCs/>
                <w:szCs w:val="21"/>
              </w:rPr>
            </w:pPr>
          </w:p>
        </w:tc>
        <w:tc>
          <w:tcPr>
            <w:tcW w:w="1155" w:type="dxa"/>
            <w:noWrap w:val="0"/>
            <w:vAlign w:val="center"/>
          </w:tcPr>
          <w:p>
            <w:pPr>
              <w:spacing w:line="360" w:lineRule="auto"/>
              <w:jc w:val="center"/>
              <w:rPr>
                <w:rFonts w:ascii="宋体" w:hAnsi="宋体" w:cs="宋体"/>
                <w:bCs/>
                <w:szCs w:val="21"/>
              </w:rPr>
            </w:pPr>
            <w:r>
              <w:rPr>
                <w:rFonts w:hint="eastAsia" w:ascii="宋体" w:hAnsi="宋体" w:cs="宋体"/>
                <w:bCs/>
                <w:szCs w:val="21"/>
              </w:rPr>
              <w:t>客服热线</w:t>
            </w:r>
          </w:p>
        </w:tc>
        <w:tc>
          <w:tcPr>
            <w:tcW w:w="3210" w:type="dxa"/>
            <w:noWrap w:val="0"/>
            <w:vAlign w:val="center"/>
          </w:tcPr>
          <w:p>
            <w:pPr>
              <w:spacing w:line="360" w:lineRule="auto"/>
              <w:jc w:val="center"/>
              <w:rPr>
                <w:rFonts w:ascii="宋体" w:hAnsi="宋体" w:cs="宋体"/>
                <w:bCs/>
                <w:szCs w:val="21"/>
              </w:rPr>
            </w:pPr>
            <w:r>
              <w:rPr>
                <w:rFonts w:hint="eastAsia" w:ascii="宋体" w:hAnsi="宋体" w:cs="宋体"/>
                <w:bCs/>
                <w:szCs w:val="21"/>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rPr>
            </w:pPr>
          </w:p>
        </w:tc>
        <w:tc>
          <w:tcPr>
            <w:tcW w:w="2475" w:type="dxa"/>
            <w:vMerge w:val="restart"/>
            <w:noWrap w:val="0"/>
            <w:vAlign w:val="center"/>
          </w:tcPr>
          <w:p>
            <w:pPr>
              <w:widowControl/>
              <w:jc w:val="center"/>
              <w:rPr>
                <w:rFonts w:ascii="宋体" w:hAnsi="宋体" w:cs="宋体"/>
                <w:bCs/>
                <w:szCs w:val="21"/>
              </w:rPr>
            </w:pPr>
            <w:r>
              <w:rPr>
                <w:rFonts w:hint="eastAsia" w:ascii="宋体" w:hAnsi="宋体" w:cs="宋体"/>
                <w:color w:val="000000"/>
                <w:kern w:val="0"/>
              </w:rPr>
              <w:t>南洋商业银行（中国）有限公司</w:t>
            </w:r>
          </w:p>
        </w:tc>
        <w:tc>
          <w:tcPr>
            <w:tcW w:w="1155"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住所</w:t>
            </w:r>
          </w:p>
        </w:tc>
        <w:tc>
          <w:tcPr>
            <w:tcW w:w="3210"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中国（上海）自由贸易试验区浦明路898号13层至16层、18层至20层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rPr>
            </w:pPr>
          </w:p>
        </w:tc>
        <w:tc>
          <w:tcPr>
            <w:tcW w:w="2475" w:type="dxa"/>
            <w:vMerge w:val="continue"/>
            <w:noWrap w:val="0"/>
            <w:vAlign w:val="center"/>
          </w:tcPr>
          <w:p>
            <w:pPr>
              <w:widowControl/>
              <w:jc w:val="left"/>
              <w:rPr>
                <w:rFonts w:ascii="宋体" w:hAnsi="宋体" w:cs="宋体"/>
                <w:bCs/>
                <w:szCs w:val="21"/>
              </w:rPr>
            </w:pPr>
          </w:p>
        </w:tc>
        <w:tc>
          <w:tcPr>
            <w:tcW w:w="1155"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客服热线</w:t>
            </w:r>
          </w:p>
        </w:tc>
        <w:tc>
          <w:tcPr>
            <w:tcW w:w="3210"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95</w:t>
            </w:r>
            <w:r>
              <w:rPr>
                <w:rFonts w:hint="eastAsia" w:ascii="宋体" w:hAnsi="宋体" w:cs="宋体"/>
                <w:color w:val="000000"/>
                <w:kern w:val="0"/>
                <w:lang w:val="en-US" w:eastAsia="zh-CN"/>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2" w:type="dxa"/>
            <w:vMerge w:val="continue"/>
            <w:noWrap w:val="0"/>
            <w:vAlign w:val="top"/>
          </w:tcPr>
          <w:p>
            <w:pPr>
              <w:spacing w:line="360" w:lineRule="auto"/>
              <w:jc w:val="left"/>
              <w:rPr>
                <w:rFonts w:ascii="宋体" w:hAnsi="宋体" w:cs="宋体"/>
                <w:bCs/>
                <w:szCs w:val="21"/>
              </w:rPr>
            </w:pPr>
          </w:p>
        </w:tc>
        <w:tc>
          <w:tcPr>
            <w:tcW w:w="2475" w:type="dxa"/>
            <w:vMerge w:val="restart"/>
            <w:noWrap w:val="0"/>
            <w:vAlign w:val="center"/>
          </w:tcPr>
          <w:p>
            <w:pPr>
              <w:widowControl/>
              <w:jc w:val="center"/>
              <w:rPr>
                <w:rFonts w:ascii="宋体" w:hAnsi="宋体" w:cs="宋体"/>
                <w:bCs/>
                <w:szCs w:val="21"/>
              </w:rPr>
            </w:pPr>
            <w:r>
              <w:rPr>
                <w:rFonts w:hint="eastAsia" w:ascii="宋体" w:hAnsi="宋体" w:cs="宋体"/>
                <w:color w:val="000000"/>
                <w:kern w:val="0"/>
              </w:rPr>
              <w:t>绍兴银行股份有限公司</w:t>
            </w:r>
          </w:p>
        </w:tc>
        <w:tc>
          <w:tcPr>
            <w:tcW w:w="1155"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住所</w:t>
            </w:r>
          </w:p>
        </w:tc>
        <w:tc>
          <w:tcPr>
            <w:tcW w:w="3210"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rPr>
            </w:pPr>
          </w:p>
        </w:tc>
        <w:tc>
          <w:tcPr>
            <w:tcW w:w="2475" w:type="dxa"/>
            <w:vMerge w:val="continue"/>
            <w:noWrap w:val="0"/>
            <w:vAlign w:val="center"/>
          </w:tcPr>
          <w:p>
            <w:pPr>
              <w:widowControl/>
              <w:jc w:val="left"/>
              <w:rPr>
                <w:rFonts w:ascii="宋体" w:hAnsi="宋体" w:cs="宋体"/>
                <w:bCs/>
                <w:szCs w:val="21"/>
              </w:rPr>
            </w:pPr>
          </w:p>
        </w:tc>
        <w:tc>
          <w:tcPr>
            <w:tcW w:w="1155"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客服热线</w:t>
            </w:r>
          </w:p>
        </w:tc>
        <w:tc>
          <w:tcPr>
            <w:tcW w:w="3210"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rPr>
            </w:pPr>
          </w:p>
        </w:tc>
        <w:tc>
          <w:tcPr>
            <w:tcW w:w="2475" w:type="dxa"/>
            <w:vMerge w:val="restart"/>
            <w:noWrap w:val="0"/>
            <w:vAlign w:val="center"/>
          </w:tcPr>
          <w:p>
            <w:pPr>
              <w:widowControl/>
              <w:jc w:val="center"/>
              <w:rPr>
                <w:rFonts w:ascii="宋体" w:hAnsi="宋体" w:cs="宋体"/>
                <w:bCs/>
                <w:szCs w:val="21"/>
              </w:rPr>
            </w:pPr>
            <w:r>
              <w:rPr>
                <w:rFonts w:hint="eastAsia" w:ascii="宋体" w:hAnsi="宋体" w:cs="宋体"/>
                <w:color w:val="000000"/>
                <w:kern w:val="0"/>
              </w:rPr>
              <w:t>潍坊银行股份有限公司</w:t>
            </w:r>
          </w:p>
        </w:tc>
        <w:tc>
          <w:tcPr>
            <w:tcW w:w="1155"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住所</w:t>
            </w:r>
          </w:p>
        </w:tc>
        <w:tc>
          <w:tcPr>
            <w:tcW w:w="3210"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rPr>
            </w:pPr>
          </w:p>
        </w:tc>
        <w:tc>
          <w:tcPr>
            <w:tcW w:w="2475" w:type="dxa"/>
            <w:vMerge w:val="continue"/>
            <w:noWrap w:val="0"/>
            <w:vAlign w:val="center"/>
          </w:tcPr>
          <w:p>
            <w:pPr>
              <w:widowControl/>
              <w:jc w:val="left"/>
              <w:rPr>
                <w:rFonts w:ascii="宋体" w:hAnsi="宋体" w:cs="宋体"/>
                <w:bCs/>
                <w:szCs w:val="21"/>
              </w:rPr>
            </w:pPr>
          </w:p>
        </w:tc>
        <w:tc>
          <w:tcPr>
            <w:tcW w:w="1155"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客服热线</w:t>
            </w:r>
          </w:p>
        </w:tc>
        <w:tc>
          <w:tcPr>
            <w:tcW w:w="3210"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rPr>
            </w:pPr>
          </w:p>
        </w:tc>
        <w:tc>
          <w:tcPr>
            <w:tcW w:w="2475" w:type="dxa"/>
            <w:vMerge w:val="restart"/>
            <w:noWrap w:val="0"/>
            <w:vAlign w:val="center"/>
          </w:tcPr>
          <w:p>
            <w:pPr>
              <w:widowControl/>
              <w:jc w:val="center"/>
              <w:rPr>
                <w:rFonts w:ascii="宋体" w:hAnsi="宋体" w:cs="宋体"/>
                <w:bCs/>
                <w:szCs w:val="21"/>
              </w:rPr>
            </w:pPr>
            <w:r>
              <w:rPr>
                <w:rFonts w:hint="eastAsia" w:ascii="宋体" w:hAnsi="宋体" w:cs="宋体"/>
                <w:color w:val="000000"/>
                <w:kern w:val="0"/>
              </w:rPr>
              <w:t>中信百信银行股份有限公司</w:t>
            </w:r>
          </w:p>
        </w:tc>
        <w:tc>
          <w:tcPr>
            <w:tcW w:w="1155"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住所</w:t>
            </w:r>
          </w:p>
        </w:tc>
        <w:tc>
          <w:tcPr>
            <w:tcW w:w="3210"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rPr>
            </w:pPr>
          </w:p>
        </w:tc>
        <w:tc>
          <w:tcPr>
            <w:tcW w:w="2475" w:type="dxa"/>
            <w:vMerge w:val="continue"/>
            <w:noWrap w:val="0"/>
            <w:vAlign w:val="center"/>
          </w:tcPr>
          <w:p>
            <w:pPr>
              <w:widowControl/>
              <w:jc w:val="left"/>
              <w:rPr>
                <w:rFonts w:ascii="宋体" w:hAnsi="宋体" w:cs="宋体"/>
                <w:bCs/>
                <w:szCs w:val="21"/>
              </w:rPr>
            </w:pPr>
          </w:p>
        </w:tc>
        <w:tc>
          <w:tcPr>
            <w:tcW w:w="1155"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客服热线</w:t>
            </w:r>
          </w:p>
        </w:tc>
        <w:tc>
          <w:tcPr>
            <w:tcW w:w="3210" w:type="dxa"/>
            <w:noWrap w:val="0"/>
            <w:vAlign w:val="center"/>
          </w:tcPr>
          <w:p>
            <w:pPr>
              <w:widowControl/>
              <w:jc w:val="center"/>
              <w:rPr>
                <w:rFonts w:hint="eastAsia" w:ascii="宋体" w:hAnsi="宋体" w:cs="宋体"/>
                <w:bCs/>
                <w:szCs w:val="21"/>
              </w:rPr>
            </w:pPr>
            <w:r>
              <w:rPr>
                <w:rFonts w:hint="eastAsia" w:ascii="宋体" w:hAnsi="宋体" w:cs="宋体"/>
                <w:color w:val="000000"/>
                <w:kern w:val="0"/>
                <w:lang w:val="en-US" w:eastAsia="zh-CN"/>
              </w:rPr>
              <w:t>956</w:t>
            </w:r>
            <w:r>
              <w:rPr>
                <w:rFonts w:hint="eastAsia" w:ascii="宋体" w:hAnsi="宋体" w:cs="宋体"/>
                <w:color w:val="000000"/>
                <w:kern w:val="0"/>
              </w:rPr>
              <w:t>1</w:t>
            </w:r>
            <w:r>
              <w:rPr>
                <w:rFonts w:hint="eastAsia" w:ascii="宋体" w:hAnsi="宋体" w:cs="宋体"/>
                <w:color w:val="000000"/>
                <w:kern w:val="0"/>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rPr>
            </w:pPr>
          </w:p>
        </w:tc>
        <w:tc>
          <w:tcPr>
            <w:tcW w:w="2475" w:type="dxa"/>
            <w:vMerge w:val="restart"/>
            <w:noWrap w:val="0"/>
            <w:vAlign w:val="center"/>
          </w:tcPr>
          <w:p>
            <w:pPr>
              <w:widowControl/>
              <w:jc w:val="center"/>
              <w:rPr>
                <w:rFonts w:ascii="宋体" w:hAnsi="宋体" w:cs="宋体"/>
                <w:bCs/>
                <w:szCs w:val="21"/>
              </w:rPr>
            </w:pPr>
            <w:r>
              <w:rPr>
                <w:rFonts w:hint="eastAsia" w:ascii="宋体" w:hAnsi="宋体" w:cs="宋体"/>
                <w:color w:val="000000"/>
                <w:kern w:val="0"/>
              </w:rPr>
              <w:t>大连农村商业银行股份有限公司</w:t>
            </w:r>
          </w:p>
        </w:tc>
        <w:tc>
          <w:tcPr>
            <w:tcW w:w="1155"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住所</w:t>
            </w:r>
          </w:p>
        </w:tc>
        <w:tc>
          <w:tcPr>
            <w:tcW w:w="3210"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辽宁省大连经济技术开发区五彩城A区1栋-A1号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rPr>
            </w:pPr>
          </w:p>
        </w:tc>
        <w:tc>
          <w:tcPr>
            <w:tcW w:w="2475" w:type="dxa"/>
            <w:vMerge w:val="continue"/>
            <w:noWrap w:val="0"/>
            <w:vAlign w:val="center"/>
          </w:tcPr>
          <w:p>
            <w:pPr>
              <w:widowControl/>
              <w:jc w:val="left"/>
              <w:rPr>
                <w:rFonts w:ascii="宋体" w:hAnsi="宋体" w:cs="宋体"/>
                <w:bCs/>
                <w:szCs w:val="21"/>
              </w:rPr>
            </w:pPr>
          </w:p>
        </w:tc>
        <w:tc>
          <w:tcPr>
            <w:tcW w:w="1155"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客服热线</w:t>
            </w:r>
          </w:p>
        </w:tc>
        <w:tc>
          <w:tcPr>
            <w:tcW w:w="3210"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96689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rPr>
            </w:pPr>
          </w:p>
        </w:tc>
        <w:tc>
          <w:tcPr>
            <w:tcW w:w="2475" w:type="dxa"/>
            <w:vMerge w:val="restart"/>
            <w:noWrap w:val="0"/>
            <w:vAlign w:val="center"/>
          </w:tcPr>
          <w:p>
            <w:pPr>
              <w:widowControl/>
              <w:jc w:val="center"/>
              <w:rPr>
                <w:rFonts w:ascii="宋体" w:hAnsi="宋体" w:cs="宋体"/>
                <w:bCs/>
                <w:szCs w:val="21"/>
              </w:rPr>
            </w:pPr>
            <w:r>
              <w:rPr>
                <w:rFonts w:hint="eastAsia" w:ascii="宋体" w:hAnsi="宋体" w:cs="宋体"/>
                <w:color w:val="000000"/>
                <w:kern w:val="0"/>
              </w:rPr>
              <w:t>杭银理财有限责任公司</w:t>
            </w:r>
          </w:p>
        </w:tc>
        <w:tc>
          <w:tcPr>
            <w:tcW w:w="1155"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住所</w:t>
            </w:r>
          </w:p>
        </w:tc>
        <w:tc>
          <w:tcPr>
            <w:tcW w:w="3210"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rPr>
            </w:pPr>
          </w:p>
        </w:tc>
        <w:tc>
          <w:tcPr>
            <w:tcW w:w="2475" w:type="dxa"/>
            <w:vMerge w:val="continue"/>
            <w:noWrap w:val="0"/>
            <w:vAlign w:val="center"/>
          </w:tcPr>
          <w:p>
            <w:pPr>
              <w:widowControl/>
              <w:jc w:val="left"/>
              <w:rPr>
                <w:rFonts w:ascii="宋体" w:hAnsi="宋体" w:cs="宋体"/>
                <w:bCs/>
                <w:szCs w:val="21"/>
              </w:rPr>
            </w:pPr>
          </w:p>
        </w:tc>
        <w:tc>
          <w:tcPr>
            <w:tcW w:w="1155"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客服热线</w:t>
            </w:r>
          </w:p>
        </w:tc>
        <w:tc>
          <w:tcPr>
            <w:tcW w:w="3210"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rPr>
            </w:pPr>
          </w:p>
        </w:tc>
        <w:tc>
          <w:tcPr>
            <w:tcW w:w="2475" w:type="dxa"/>
            <w:vMerge w:val="restart"/>
            <w:noWrap w:val="0"/>
            <w:vAlign w:val="center"/>
          </w:tcPr>
          <w:p>
            <w:pPr>
              <w:widowControl/>
              <w:jc w:val="center"/>
              <w:rPr>
                <w:rFonts w:ascii="宋体" w:hAnsi="宋体" w:cs="宋体"/>
                <w:bCs/>
                <w:szCs w:val="21"/>
              </w:rPr>
            </w:pPr>
            <w:r>
              <w:rPr>
                <w:rFonts w:hint="eastAsia" w:ascii="宋体" w:hAnsi="宋体" w:cs="宋体"/>
                <w:color w:val="000000"/>
                <w:kern w:val="0"/>
              </w:rPr>
              <w:t>浙江永康农村商业银行股份有限公司</w:t>
            </w:r>
          </w:p>
        </w:tc>
        <w:tc>
          <w:tcPr>
            <w:tcW w:w="1155"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住所</w:t>
            </w:r>
          </w:p>
        </w:tc>
        <w:tc>
          <w:tcPr>
            <w:tcW w:w="3210"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rPr>
            </w:pPr>
          </w:p>
        </w:tc>
        <w:tc>
          <w:tcPr>
            <w:tcW w:w="2475" w:type="dxa"/>
            <w:vMerge w:val="continue"/>
            <w:noWrap w:val="0"/>
            <w:vAlign w:val="center"/>
          </w:tcPr>
          <w:p>
            <w:pPr>
              <w:widowControl/>
              <w:jc w:val="left"/>
              <w:rPr>
                <w:rFonts w:ascii="宋体" w:hAnsi="宋体" w:cs="宋体"/>
                <w:bCs/>
                <w:szCs w:val="21"/>
              </w:rPr>
            </w:pPr>
          </w:p>
        </w:tc>
        <w:tc>
          <w:tcPr>
            <w:tcW w:w="1155"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客服热线</w:t>
            </w:r>
          </w:p>
        </w:tc>
        <w:tc>
          <w:tcPr>
            <w:tcW w:w="3210"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rPr>
            </w:pPr>
          </w:p>
        </w:tc>
        <w:tc>
          <w:tcPr>
            <w:tcW w:w="2475" w:type="dxa"/>
            <w:vMerge w:val="restart"/>
            <w:noWrap w:val="0"/>
            <w:vAlign w:val="center"/>
          </w:tcPr>
          <w:p>
            <w:pPr>
              <w:widowControl/>
              <w:jc w:val="center"/>
              <w:rPr>
                <w:rFonts w:ascii="宋体" w:hAnsi="宋体" w:cs="宋体"/>
                <w:bCs/>
                <w:szCs w:val="21"/>
              </w:rPr>
            </w:pPr>
            <w:r>
              <w:rPr>
                <w:rFonts w:hint="eastAsia" w:ascii="宋体" w:hAnsi="宋体" w:cs="宋体"/>
                <w:color w:val="000000"/>
                <w:kern w:val="0"/>
              </w:rPr>
              <w:t>浙江丽水莲都农村商业银行股份有限公司</w:t>
            </w:r>
          </w:p>
        </w:tc>
        <w:tc>
          <w:tcPr>
            <w:tcW w:w="1155"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住所</w:t>
            </w:r>
          </w:p>
        </w:tc>
        <w:tc>
          <w:tcPr>
            <w:tcW w:w="3210"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浙江省丽水市莲都区解放街438号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rPr>
            </w:pPr>
          </w:p>
        </w:tc>
        <w:tc>
          <w:tcPr>
            <w:tcW w:w="2475" w:type="dxa"/>
            <w:vMerge w:val="continue"/>
            <w:noWrap w:val="0"/>
            <w:vAlign w:val="center"/>
          </w:tcPr>
          <w:p>
            <w:pPr>
              <w:widowControl/>
              <w:jc w:val="left"/>
              <w:rPr>
                <w:rFonts w:ascii="宋体" w:hAnsi="宋体" w:cs="宋体"/>
                <w:bCs/>
                <w:szCs w:val="21"/>
              </w:rPr>
            </w:pPr>
          </w:p>
        </w:tc>
        <w:tc>
          <w:tcPr>
            <w:tcW w:w="1155"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客服热线</w:t>
            </w:r>
          </w:p>
        </w:tc>
        <w:tc>
          <w:tcPr>
            <w:tcW w:w="3210"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0578-2027170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rPr>
            </w:pPr>
          </w:p>
        </w:tc>
        <w:tc>
          <w:tcPr>
            <w:tcW w:w="2475" w:type="dxa"/>
            <w:vMerge w:val="restart"/>
            <w:noWrap w:val="0"/>
            <w:vAlign w:val="center"/>
          </w:tcPr>
          <w:p>
            <w:pPr>
              <w:widowControl/>
              <w:jc w:val="center"/>
              <w:rPr>
                <w:rFonts w:ascii="宋体" w:hAnsi="宋体" w:cs="宋体"/>
                <w:bCs/>
                <w:szCs w:val="21"/>
              </w:rPr>
            </w:pPr>
            <w:r>
              <w:rPr>
                <w:rFonts w:hint="eastAsia" w:ascii="宋体" w:hAnsi="宋体" w:cs="宋体"/>
                <w:color w:val="000000"/>
                <w:kern w:val="0"/>
              </w:rPr>
              <w:t>浙江舟山普陀农村商业银行股份有限公司</w:t>
            </w:r>
          </w:p>
        </w:tc>
        <w:tc>
          <w:tcPr>
            <w:tcW w:w="1155"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住所</w:t>
            </w:r>
          </w:p>
        </w:tc>
        <w:tc>
          <w:tcPr>
            <w:tcW w:w="3210"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浙江省舟山市普陀区东港街道麒麟街225号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rPr>
            </w:pPr>
          </w:p>
        </w:tc>
        <w:tc>
          <w:tcPr>
            <w:tcW w:w="2475" w:type="dxa"/>
            <w:vMerge w:val="continue"/>
            <w:noWrap w:val="0"/>
            <w:vAlign w:val="center"/>
          </w:tcPr>
          <w:p>
            <w:pPr>
              <w:widowControl/>
              <w:jc w:val="left"/>
              <w:rPr>
                <w:rFonts w:ascii="宋体" w:hAnsi="宋体" w:cs="宋体"/>
                <w:bCs/>
                <w:szCs w:val="21"/>
              </w:rPr>
            </w:pPr>
          </w:p>
        </w:tc>
        <w:tc>
          <w:tcPr>
            <w:tcW w:w="1155"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客服热线</w:t>
            </w:r>
          </w:p>
        </w:tc>
        <w:tc>
          <w:tcPr>
            <w:tcW w:w="3210"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0580-3811083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rPr>
            </w:pPr>
          </w:p>
        </w:tc>
        <w:tc>
          <w:tcPr>
            <w:tcW w:w="2475" w:type="dxa"/>
            <w:vMerge w:val="restart"/>
            <w:noWrap w:val="0"/>
            <w:vAlign w:val="center"/>
          </w:tcPr>
          <w:p>
            <w:pPr>
              <w:widowControl/>
              <w:jc w:val="center"/>
              <w:rPr>
                <w:rFonts w:ascii="宋体" w:hAnsi="宋体" w:cs="宋体"/>
                <w:bCs/>
                <w:szCs w:val="21"/>
              </w:rPr>
            </w:pPr>
            <w:r>
              <w:rPr>
                <w:rFonts w:hint="eastAsia" w:ascii="宋体" w:hAnsi="宋体" w:cs="宋体"/>
                <w:color w:val="000000"/>
                <w:kern w:val="0"/>
              </w:rPr>
              <w:t>宁波余姚农村商业银行股份有限公司</w:t>
            </w:r>
          </w:p>
        </w:tc>
        <w:tc>
          <w:tcPr>
            <w:tcW w:w="1155"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住所</w:t>
            </w:r>
          </w:p>
        </w:tc>
        <w:tc>
          <w:tcPr>
            <w:tcW w:w="3210"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浙江省余姚市新建路69号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rPr>
            </w:pPr>
          </w:p>
        </w:tc>
        <w:tc>
          <w:tcPr>
            <w:tcW w:w="2475" w:type="dxa"/>
            <w:vMerge w:val="continue"/>
            <w:noWrap w:val="0"/>
            <w:vAlign w:val="center"/>
          </w:tcPr>
          <w:p>
            <w:pPr>
              <w:widowControl/>
              <w:jc w:val="left"/>
              <w:rPr>
                <w:rFonts w:ascii="宋体" w:hAnsi="宋体" w:cs="宋体"/>
                <w:bCs/>
                <w:szCs w:val="21"/>
              </w:rPr>
            </w:pPr>
          </w:p>
        </w:tc>
        <w:tc>
          <w:tcPr>
            <w:tcW w:w="1155"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客服热线</w:t>
            </w:r>
          </w:p>
        </w:tc>
        <w:tc>
          <w:tcPr>
            <w:tcW w:w="3210"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0574-62628862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rPr>
            </w:pPr>
          </w:p>
        </w:tc>
        <w:tc>
          <w:tcPr>
            <w:tcW w:w="2475" w:type="dxa"/>
            <w:vMerge w:val="restart"/>
            <w:noWrap w:val="0"/>
            <w:vAlign w:val="center"/>
          </w:tcPr>
          <w:p>
            <w:pPr>
              <w:widowControl/>
              <w:jc w:val="center"/>
              <w:rPr>
                <w:rFonts w:ascii="宋体" w:hAnsi="宋体" w:cs="宋体"/>
                <w:bCs/>
                <w:szCs w:val="21"/>
              </w:rPr>
            </w:pPr>
            <w:r>
              <w:rPr>
                <w:rFonts w:hint="eastAsia" w:ascii="宋体" w:hAnsi="宋体" w:cs="宋体"/>
                <w:color w:val="000000"/>
                <w:kern w:val="0"/>
              </w:rPr>
              <w:t>浙江文成农村商业银行股份有限公司</w:t>
            </w:r>
          </w:p>
        </w:tc>
        <w:tc>
          <w:tcPr>
            <w:tcW w:w="1155"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住所</w:t>
            </w:r>
          </w:p>
        </w:tc>
        <w:tc>
          <w:tcPr>
            <w:tcW w:w="3210"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浙江省温州市文成县大学镇伯温路6号文成农商银行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rPr>
            </w:pPr>
          </w:p>
        </w:tc>
        <w:tc>
          <w:tcPr>
            <w:tcW w:w="2475" w:type="dxa"/>
            <w:vMerge w:val="continue"/>
            <w:noWrap w:val="0"/>
            <w:vAlign w:val="center"/>
          </w:tcPr>
          <w:p>
            <w:pPr>
              <w:widowControl/>
              <w:jc w:val="left"/>
              <w:rPr>
                <w:rFonts w:ascii="宋体" w:hAnsi="宋体" w:cs="宋体"/>
                <w:bCs/>
                <w:szCs w:val="21"/>
              </w:rPr>
            </w:pPr>
          </w:p>
        </w:tc>
        <w:tc>
          <w:tcPr>
            <w:tcW w:w="1155"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客服热线</w:t>
            </w:r>
          </w:p>
        </w:tc>
        <w:tc>
          <w:tcPr>
            <w:tcW w:w="3210"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rPr>
            </w:pPr>
          </w:p>
        </w:tc>
        <w:tc>
          <w:tcPr>
            <w:tcW w:w="2475" w:type="dxa"/>
            <w:vMerge w:val="restart"/>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福建海峡银行股份有限公司</w:t>
            </w:r>
          </w:p>
        </w:tc>
        <w:tc>
          <w:tcPr>
            <w:tcW w:w="1155" w:type="dxa"/>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住所</w:t>
            </w:r>
          </w:p>
        </w:tc>
        <w:tc>
          <w:tcPr>
            <w:tcW w:w="3210" w:type="dxa"/>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福建省福州市台江区江滨中大道358号海峡银行大厦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rPr>
            </w:pPr>
          </w:p>
        </w:tc>
        <w:tc>
          <w:tcPr>
            <w:tcW w:w="2475" w:type="dxa"/>
            <w:vMerge w:val="continue"/>
            <w:noWrap w:val="0"/>
            <w:vAlign w:val="center"/>
          </w:tcPr>
          <w:p>
            <w:pPr>
              <w:widowControl/>
              <w:jc w:val="left"/>
              <w:rPr>
                <w:rFonts w:hint="eastAsia" w:ascii="宋体" w:hAnsi="宋体" w:cs="宋体"/>
                <w:color w:val="000000"/>
                <w:kern w:val="0"/>
              </w:rPr>
            </w:pPr>
          </w:p>
        </w:tc>
        <w:tc>
          <w:tcPr>
            <w:tcW w:w="1155" w:type="dxa"/>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客服热线</w:t>
            </w:r>
          </w:p>
        </w:tc>
        <w:tc>
          <w:tcPr>
            <w:tcW w:w="3210" w:type="dxa"/>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4008939999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rPr>
            </w:pPr>
          </w:p>
        </w:tc>
        <w:tc>
          <w:tcPr>
            <w:tcW w:w="2475" w:type="dxa"/>
            <w:vMerge w:val="restart"/>
            <w:noWrap w:val="0"/>
            <w:vAlign w:val="center"/>
          </w:tcPr>
          <w:p>
            <w:pPr>
              <w:widowControl/>
              <w:jc w:val="center"/>
              <w:rPr>
                <w:rFonts w:ascii="宋体" w:hAnsi="宋体" w:cs="宋体"/>
                <w:bCs/>
                <w:szCs w:val="21"/>
              </w:rPr>
            </w:pPr>
            <w:r>
              <w:rPr>
                <w:rFonts w:ascii="宋体" w:hAnsi="宋体" w:cs="宋体"/>
                <w:bCs/>
                <w:szCs w:val="21"/>
              </w:rPr>
              <w:t>兰州银行股份有限公司</w:t>
            </w:r>
          </w:p>
        </w:tc>
        <w:tc>
          <w:tcPr>
            <w:tcW w:w="1155"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住所</w:t>
            </w:r>
          </w:p>
        </w:tc>
        <w:tc>
          <w:tcPr>
            <w:tcW w:w="3210" w:type="dxa"/>
            <w:noWrap w:val="0"/>
            <w:vAlign w:val="center"/>
          </w:tcPr>
          <w:p>
            <w:pPr>
              <w:widowControl/>
              <w:jc w:val="center"/>
              <w:rPr>
                <w:rFonts w:hint="eastAsia" w:ascii="宋体" w:hAnsi="宋体" w:cs="宋体"/>
                <w:bCs/>
                <w:szCs w:val="21"/>
              </w:rPr>
            </w:pPr>
            <w:r>
              <w:rPr>
                <w:rFonts w:hint="eastAsia" w:ascii="宋体" w:hAnsi="宋体" w:cs="宋体"/>
                <w:bCs/>
                <w:szCs w:val="21"/>
              </w:rPr>
              <w:t>甘肃省兰州市酒泉路211号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rPr>
            </w:pPr>
          </w:p>
        </w:tc>
        <w:tc>
          <w:tcPr>
            <w:tcW w:w="2475" w:type="dxa"/>
            <w:vMerge w:val="continue"/>
            <w:noWrap w:val="0"/>
            <w:vAlign w:val="center"/>
          </w:tcPr>
          <w:p>
            <w:pPr>
              <w:widowControl/>
              <w:jc w:val="left"/>
              <w:rPr>
                <w:rFonts w:ascii="宋体" w:hAnsi="宋体" w:cs="宋体"/>
                <w:bCs/>
                <w:szCs w:val="21"/>
              </w:rPr>
            </w:pPr>
          </w:p>
        </w:tc>
        <w:tc>
          <w:tcPr>
            <w:tcW w:w="1155" w:type="dxa"/>
            <w:noWrap w:val="0"/>
            <w:vAlign w:val="center"/>
          </w:tcPr>
          <w:p>
            <w:pPr>
              <w:widowControl/>
              <w:jc w:val="center"/>
              <w:rPr>
                <w:rFonts w:hint="eastAsia" w:ascii="宋体" w:hAnsi="宋体" w:cs="宋体"/>
                <w:bCs/>
                <w:szCs w:val="21"/>
              </w:rPr>
            </w:pPr>
            <w:r>
              <w:rPr>
                <w:rFonts w:hint="eastAsia" w:ascii="宋体" w:hAnsi="宋体" w:cs="宋体"/>
                <w:color w:val="000000"/>
                <w:kern w:val="0"/>
              </w:rPr>
              <w:t>客服热线</w:t>
            </w:r>
          </w:p>
        </w:tc>
        <w:tc>
          <w:tcPr>
            <w:tcW w:w="3210" w:type="dxa"/>
            <w:noWrap w:val="0"/>
            <w:vAlign w:val="center"/>
          </w:tcPr>
          <w:p>
            <w:pPr>
              <w:widowControl/>
              <w:jc w:val="center"/>
              <w:rPr>
                <w:rFonts w:hint="eastAsia" w:ascii="宋体" w:hAnsi="宋体" w:cs="宋体"/>
                <w:bCs/>
                <w:szCs w:val="21"/>
              </w:rPr>
            </w:pPr>
            <w:r>
              <w:rPr>
                <w:rFonts w:hint="eastAsia" w:ascii="宋体" w:hAnsi="宋体" w:cs="宋体"/>
                <w:bCs/>
                <w:szCs w:val="21"/>
              </w:rPr>
              <w:t>4008896799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noWrap w:val="0"/>
            <w:vAlign w:val="center"/>
          </w:tcPr>
          <w:p>
            <w:pPr>
              <w:spacing w:line="360" w:lineRule="auto"/>
              <w:jc w:val="center"/>
              <w:rPr>
                <w:rFonts w:ascii="宋体" w:hAnsi="宋体" w:cs="宋体"/>
                <w:bCs/>
                <w:szCs w:val="21"/>
              </w:rPr>
            </w:pPr>
            <w:r>
              <w:rPr>
                <w:rFonts w:hint="eastAsia" w:ascii="宋体" w:hAnsi="宋体" w:cs="宋体"/>
                <w:bCs/>
                <w:szCs w:val="21"/>
              </w:rPr>
              <w:t>销售机构职责</w:t>
            </w:r>
          </w:p>
        </w:tc>
        <w:tc>
          <w:tcPr>
            <w:tcW w:w="6840" w:type="dxa"/>
            <w:gridSpan w:val="3"/>
            <w:noWrap w:val="0"/>
            <w:vAlign w:val="top"/>
          </w:tcPr>
          <w:p>
            <w:pPr>
              <w:spacing w:line="360" w:lineRule="auto"/>
              <w:jc w:val="left"/>
              <w:rPr>
                <w:rFonts w:ascii="宋体" w:hAnsi="宋体" w:cs="宋体"/>
                <w:bCs/>
                <w:szCs w:val="21"/>
              </w:rPr>
            </w:pPr>
            <w:r>
              <w:rPr>
                <w:rFonts w:hint="eastAsia" w:ascii="宋体" w:hAnsi="宋体" w:cs="宋体"/>
                <w:bCs/>
                <w:szCs w:val="21"/>
              </w:rPr>
              <w:t>主要负责理财计划推广、投资者风险承受能力评估、投资者适当性管理、理财计划份额认购、申购及赎回办理。</w:t>
            </w:r>
          </w:p>
          <w:p>
            <w:pPr>
              <w:spacing w:line="360" w:lineRule="auto"/>
              <w:jc w:val="left"/>
              <w:rPr>
                <w:rFonts w:ascii="宋体" w:hAnsi="宋体" w:cs="宋体"/>
                <w:bCs/>
                <w:szCs w:val="21"/>
              </w:rPr>
            </w:pPr>
            <w:r>
              <w:rPr>
                <w:rFonts w:hint="eastAsia" w:ascii="宋体" w:hAnsi="宋体" w:cs="宋体"/>
                <w:bCs/>
                <w:szCs w:val="21"/>
              </w:rPr>
              <w:t>协助管理人负责与投资者签订理财计划合同、与投资者沟通及进行信息披露、接受投资者咨询和维护等销售服务。</w:t>
            </w:r>
          </w:p>
        </w:tc>
      </w:tr>
    </w:tbl>
    <w:p>
      <w:pPr>
        <w:spacing w:line="360" w:lineRule="auto"/>
        <w:ind w:firstLine="480" w:firstLineChars="200"/>
        <w:rPr>
          <w:rFonts w:ascii="宋体" w:hAnsi="宋体" w:cs="宋体"/>
          <w:b/>
          <w:sz w:val="24"/>
        </w:rPr>
      </w:pPr>
      <w:r>
        <w:rPr>
          <w:rFonts w:hint="eastAsia" w:ascii="宋体" w:hAnsi="宋体" w:cs="宋体"/>
          <w:bCs/>
          <w:color w:val="000000"/>
          <w:sz w:val="24"/>
        </w:rPr>
        <w:t>在本理财计划发行后新增准入的销售机构将以管理人对外公告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sz w:val="24"/>
        </w:rPr>
        <w:t>为准。</w:t>
      </w:r>
    </w:p>
    <w:p>
      <w:pPr>
        <w:spacing w:line="360" w:lineRule="auto"/>
        <w:jc w:val="left"/>
        <w:rPr>
          <w:rFonts w:hint="eastAsia" w:ascii="宋体" w:hAnsi="宋体" w:cs="宋体"/>
          <w:bCs/>
          <w:sz w:val="24"/>
        </w:rPr>
      </w:pPr>
    </w:p>
    <w:p>
      <w:pPr>
        <w:numPr>
          <w:ilvl w:val="0"/>
          <w:numId w:val="26"/>
        </w:numPr>
        <w:spacing w:line="360" w:lineRule="auto"/>
        <w:jc w:val="left"/>
        <w:rPr>
          <w:rFonts w:ascii="宋体" w:hAnsi="宋体" w:cs="宋体"/>
          <w:b/>
          <w:sz w:val="24"/>
        </w:rPr>
      </w:pPr>
      <w:r>
        <w:rPr>
          <w:rFonts w:hint="eastAsia" w:ascii="宋体" w:hAnsi="宋体" w:cs="宋体"/>
          <w:b/>
          <w:sz w:val="24"/>
        </w:rPr>
        <w:t>估值</w:t>
      </w:r>
    </w:p>
    <w:p>
      <w:pPr>
        <w:numPr>
          <w:ilvl w:val="0"/>
          <w:numId w:val="29"/>
        </w:numPr>
        <w:spacing w:line="360" w:lineRule="auto"/>
        <w:jc w:val="left"/>
        <w:rPr>
          <w:rFonts w:ascii="宋体" w:hAnsi="宋体" w:cs="宋体"/>
          <w:b/>
          <w:sz w:val="24"/>
        </w:rPr>
      </w:pPr>
      <w:r>
        <w:rPr>
          <w:rFonts w:hint="eastAsia" w:ascii="宋体" w:hAnsi="宋体" w:cs="宋体"/>
          <w:b/>
          <w:sz w:val="24"/>
        </w:rPr>
        <w:t>估值日</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本理财计划估值日为每个</w:t>
      </w:r>
      <w:r>
        <w:rPr>
          <w:rFonts w:hint="eastAsia" w:ascii="宋体" w:hAnsi="宋体" w:cs="宋体"/>
          <w:bCs/>
          <w:color w:val="000000"/>
          <w:sz w:val="24"/>
          <w:lang w:val="en-US" w:eastAsia="zh-CN"/>
        </w:rPr>
        <w:t>工作日</w:t>
      </w:r>
      <w:r>
        <w:rPr>
          <w:rFonts w:hint="eastAsia" w:ascii="宋体" w:hAnsi="宋体" w:cs="宋体"/>
          <w:bCs/>
          <w:color w:val="000000"/>
          <w:sz w:val="24"/>
        </w:rPr>
        <w:t>，定期由理财管理人和理财托管人核对估值结果并向投资者披露，具体日期以管理人公告为准。</w:t>
      </w:r>
    </w:p>
    <w:p>
      <w:pPr>
        <w:numPr>
          <w:ilvl w:val="0"/>
          <w:numId w:val="29"/>
        </w:numPr>
        <w:spacing w:line="360" w:lineRule="auto"/>
        <w:jc w:val="left"/>
        <w:rPr>
          <w:rFonts w:ascii="宋体" w:hAnsi="宋体" w:cs="宋体"/>
          <w:b/>
          <w:sz w:val="24"/>
        </w:rPr>
      </w:pPr>
      <w:r>
        <w:rPr>
          <w:rFonts w:hint="eastAsia" w:ascii="宋体" w:hAnsi="宋体" w:cs="宋体"/>
          <w:b/>
          <w:sz w:val="24"/>
        </w:rPr>
        <w:t>估值对象</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本理财计划所投资的所有资产及负债。</w:t>
      </w:r>
    </w:p>
    <w:p>
      <w:pPr>
        <w:numPr>
          <w:ilvl w:val="0"/>
          <w:numId w:val="29"/>
        </w:numPr>
        <w:spacing w:line="360" w:lineRule="auto"/>
        <w:jc w:val="left"/>
        <w:rPr>
          <w:rFonts w:ascii="宋体" w:hAnsi="宋体" w:cs="宋体"/>
          <w:b/>
          <w:sz w:val="24"/>
        </w:rPr>
      </w:pPr>
      <w:r>
        <w:rPr>
          <w:rFonts w:hint="eastAsia" w:ascii="宋体" w:hAnsi="宋体" w:cs="宋体"/>
          <w:b/>
          <w:sz w:val="24"/>
        </w:rPr>
        <w:t>估值目的</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客观、准确反映理财计划的价值。</w:t>
      </w:r>
    </w:p>
    <w:p>
      <w:pPr>
        <w:numPr>
          <w:ilvl w:val="0"/>
          <w:numId w:val="29"/>
        </w:numPr>
        <w:spacing w:line="360" w:lineRule="auto"/>
        <w:jc w:val="left"/>
        <w:rPr>
          <w:rFonts w:ascii="宋体" w:hAnsi="宋体" w:cs="宋体"/>
          <w:b/>
          <w:sz w:val="24"/>
        </w:rPr>
      </w:pPr>
      <w:r>
        <w:rPr>
          <w:rFonts w:hint="eastAsia" w:ascii="宋体" w:hAnsi="宋体" w:cs="宋体"/>
          <w:b/>
          <w:sz w:val="24"/>
        </w:rPr>
        <w:t>估值方法</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rPr>
      </w:pPr>
      <w:r>
        <w:rPr>
          <w:rFonts w:hint="eastAsia"/>
          <w:sz w:val="24"/>
        </w:rPr>
        <w:t>理财计划所投资各类资产按照会计准则和监管要求进行会计分类，并按如下规则进行计量：</w:t>
      </w:r>
    </w:p>
    <w:p>
      <w:pPr>
        <w:numPr>
          <w:ilvl w:val="0"/>
          <w:numId w:val="30"/>
        </w:numPr>
        <w:spacing w:line="360" w:lineRule="auto"/>
        <w:rPr>
          <w:rFonts w:hint="eastAsia" w:ascii="宋体" w:hAnsi="宋体" w:cs="宋体"/>
          <w:bCs/>
          <w:color w:val="000000"/>
          <w:sz w:val="24"/>
        </w:rPr>
      </w:pPr>
      <w:r>
        <w:rPr>
          <w:rFonts w:hint="eastAsia" w:ascii="宋体" w:hAnsi="宋体" w:cs="宋体"/>
          <w:bCs/>
          <w:color w:val="000000"/>
          <w:sz w:val="24"/>
        </w:rPr>
        <w:t>货币市场工具类资产</w:t>
      </w:r>
    </w:p>
    <w:p>
      <w:pPr>
        <w:pStyle w:val="15"/>
        <w:adjustRightInd/>
        <w:spacing w:line="360" w:lineRule="auto"/>
        <w:ind w:firstLine="480" w:firstLineChars="200"/>
        <w:rPr>
          <w:rFonts w:hint="eastAsia" w:ascii="宋体" w:hAnsi="宋体" w:cs="宋体"/>
          <w:bCs/>
          <w:kern w:val="2"/>
        </w:rPr>
      </w:pPr>
      <w:r>
        <w:rPr>
          <w:rFonts w:hint="eastAsia" w:ascii="宋体" w:hAnsi="宋体" w:cs="宋体"/>
          <w:bCs/>
          <w:kern w:val="2"/>
        </w:rPr>
        <w:t>银行存款及回购，以本金列示，按商定利率在实际持有期间内逐日计提利息。</w:t>
      </w:r>
    </w:p>
    <w:p>
      <w:pPr>
        <w:numPr>
          <w:ilvl w:val="0"/>
          <w:numId w:val="30"/>
        </w:numPr>
        <w:spacing w:line="360" w:lineRule="auto"/>
        <w:rPr>
          <w:rFonts w:hint="eastAsia" w:ascii="宋体" w:hAnsi="宋体" w:cs="宋体"/>
          <w:bCs/>
          <w:color w:val="000000"/>
          <w:sz w:val="24"/>
        </w:rPr>
      </w:pPr>
      <w:r>
        <w:rPr>
          <w:rFonts w:hint="eastAsia" w:ascii="宋体" w:hAnsi="宋体" w:cs="宋体"/>
          <w:bCs/>
          <w:color w:val="000000"/>
          <w:sz w:val="24"/>
        </w:rPr>
        <w:t>债券及同业存单类资产</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0"/>
        </w:numPr>
        <w:spacing w:line="360" w:lineRule="auto"/>
        <w:rPr>
          <w:rFonts w:hint="eastAsia" w:ascii="宋体" w:hAnsi="宋体" w:cs="宋体"/>
          <w:bCs/>
          <w:color w:val="000000"/>
          <w:sz w:val="24"/>
        </w:rPr>
      </w:pPr>
      <w:r>
        <w:rPr>
          <w:rFonts w:hint="eastAsia" w:ascii="宋体" w:hAnsi="宋体" w:cs="宋体"/>
          <w:bCs/>
          <w:color w:val="000000"/>
          <w:sz w:val="24"/>
        </w:rPr>
        <w:t>债权类资产</w:t>
      </w:r>
    </w:p>
    <w:p>
      <w:pPr>
        <w:spacing w:line="360" w:lineRule="auto"/>
        <w:rPr>
          <w:rFonts w:ascii="宋体" w:hAnsi="宋体" w:cs="宋体"/>
          <w:bCs/>
          <w:color w:val="000000"/>
          <w:sz w:val="24"/>
        </w:rPr>
      </w:pPr>
      <w:r>
        <w:rPr>
          <w:rFonts w:hint="eastAsia" w:ascii="宋体" w:hAnsi="宋体" w:cs="宋体"/>
          <w:bCs/>
          <w:color w:val="000000"/>
          <w:sz w:val="24"/>
        </w:rPr>
        <w:t xml:space="preserve">    对于符合监管要求的债权类资产，按照摊余成本法进行计量。其余债权类资产，按市价法估值。市价法不能确定其公允价值的，采用估值技术进行估值。</w:t>
      </w:r>
    </w:p>
    <w:p>
      <w:pPr>
        <w:numPr>
          <w:ilvl w:val="0"/>
          <w:numId w:val="30"/>
        </w:numPr>
        <w:spacing w:line="360" w:lineRule="auto"/>
        <w:rPr>
          <w:rFonts w:hint="eastAsia" w:ascii="宋体" w:hAnsi="宋体" w:cs="宋体"/>
          <w:bCs/>
          <w:color w:val="000000"/>
          <w:sz w:val="24"/>
        </w:rPr>
      </w:pPr>
      <w:r>
        <w:rPr>
          <w:rFonts w:hint="eastAsia" w:ascii="宋体" w:hAnsi="宋体" w:cs="宋体"/>
          <w:bCs/>
          <w:color w:val="000000"/>
          <w:sz w:val="24"/>
        </w:rPr>
        <w:t>股权类资产</w:t>
      </w:r>
    </w:p>
    <w:p>
      <w:pPr>
        <w:numPr>
          <w:ilvl w:val="0"/>
          <w:numId w:val="31"/>
        </w:numPr>
        <w:spacing w:line="360" w:lineRule="auto"/>
        <w:ind w:firstLine="480" w:firstLineChars="200"/>
        <w:rPr>
          <w:rFonts w:ascii="宋体" w:hAnsi="宋体" w:cs="宋体"/>
          <w:bCs/>
          <w:color w:val="000000"/>
          <w:sz w:val="24"/>
        </w:rPr>
      </w:pPr>
      <w:r>
        <w:rPr>
          <w:rFonts w:hint="eastAsia" w:ascii="宋体" w:hAnsi="宋体" w:cs="宋体"/>
          <w:bCs/>
          <w:color w:val="000000"/>
          <w:sz w:val="24"/>
        </w:rPr>
        <w:t>上市流通股票按估值日其所在证券交易所的收盘价估值；估值日无交易，且最近交易日后未发生影响公允价值计量的重大事件的，以最近交易日的收盘价估值。</w:t>
      </w:r>
    </w:p>
    <w:p>
      <w:pPr>
        <w:numPr>
          <w:ilvl w:val="0"/>
          <w:numId w:val="31"/>
        </w:numPr>
        <w:spacing w:line="360" w:lineRule="auto"/>
        <w:ind w:firstLine="480" w:firstLineChars="200"/>
        <w:rPr>
          <w:rFonts w:ascii="宋体" w:hAnsi="宋体" w:cs="宋体"/>
          <w:bCs/>
          <w:color w:val="000000"/>
          <w:sz w:val="24"/>
        </w:rPr>
      </w:pPr>
      <w:r>
        <w:rPr>
          <w:rFonts w:hint="eastAsia" w:ascii="宋体" w:hAnsi="宋体" w:cs="宋体"/>
          <w:bCs/>
          <w:color w:val="000000"/>
          <w:sz w:val="24"/>
        </w:rPr>
        <w:t>未上市股票的估值：</w:t>
      </w:r>
    </w:p>
    <w:p>
      <w:pPr>
        <w:spacing w:line="360" w:lineRule="auto"/>
        <w:rPr>
          <w:rFonts w:hint="eastAsia" w:ascii="宋体" w:hAnsi="宋体"/>
          <w:sz w:val="24"/>
        </w:rPr>
      </w:pPr>
      <w:r>
        <w:rPr>
          <w:rFonts w:hint="eastAsia" w:ascii="宋体" w:hAnsi="宋体" w:cs="宋体"/>
          <w:bCs/>
          <w:color w:val="000000"/>
          <w:sz w:val="24"/>
        </w:rPr>
        <w:t xml:space="preserve">      1）</w:t>
      </w:r>
      <w:r>
        <w:rPr>
          <w:rFonts w:hint="eastAsia" w:ascii="宋体" w:hAnsi="宋体"/>
          <w:sz w:val="24"/>
        </w:rPr>
        <w:t>送股、转增股、配股和公开增发新股等发行未上市的股票，按估值日在证券交易所挂牌的同一股票的市价估值；</w:t>
      </w:r>
    </w:p>
    <w:p>
      <w:pPr>
        <w:spacing w:line="360" w:lineRule="auto"/>
        <w:rPr>
          <w:rFonts w:hint="eastAsia" w:ascii="宋体" w:hAnsi="宋体"/>
          <w:sz w:val="24"/>
        </w:rPr>
      </w:pPr>
      <w:r>
        <w:rPr>
          <w:rFonts w:hint="eastAsia" w:ascii="宋体" w:hAnsi="宋体"/>
          <w:sz w:val="24"/>
        </w:rPr>
        <w:t xml:space="preserve">      2）首次公开发行有明确锁定期的股票，同一股票在交易所上市后，按交易所上市的同一股票的市价估值；</w:t>
      </w:r>
    </w:p>
    <w:p>
      <w:pPr>
        <w:spacing w:line="360" w:lineRule="auto"/>
        <w:rPr>
          <w:rFonts w:hint="eastAsia" w:ascii="宋体" w:hAnsi="宋体"/>
          <w:sz w:val="24"/>
        </w:rPr>
      </w:pPr>
      <w:r>
        <w:rPr>
          <w:rFonts w:hint="eastAsia" w:ascii="宋体" w:hAnsi="宋体"/>
          <w:sz w:val="24"/>
        </w:rPr>
        <w:t xml:space="preserve">      3）首次发行未上市的股票，按发行价格进行估值；</w:t>
      </w:r>
    </w:p>
    <w:p>
      <w:pPr>
        <w:spacing w:line="360" w:lineRule="auto"/>
        <w:rPr>
          <w:rFonts w:hint="eastAsia" w:ascii="宋体" w:hAnsi="宋体"/>
          <w:sz w:val="24"/>
        </w:rPr>
      </w:pPr>
      <w:r>
        <w:rPr>
          <w:rFonts w:hint="eastAsia" w:ascii="宋体" w:hAnsi="宋体"/>
          <w:sz w:val="24"/>
        </w:rPr>
        <w:t xml:space="preserve">      4）因持有股票而享有的配股权，采用估值技术确定公允价值。</w:t>
      </w:r>
    </w:p>
    <w:p>
      <w:pPr>
        <w:numPr>
          <w:ilvl w:val="0"/>
          <w:numId w:val="31"/>
        </w:numPr>
        <w:spacing w:line="360" w:lineRule="auto"/>
        <w:ind w:firstLine="480" w:firstLineChars="200"/>
        <w:rPr>
          <w:rFonts w:ascii="宋体" w:hAnsi="宋体" w:cs="宋体"/>
          <w:bCs/>
          <w:color w:val="000000"/>
          <w:sz w:val="24"/>
        </w:rPr>
      </w:pPr>
      <w:r>
        <w:rPr>
          <w:rFonts w:hint="eastAsia" w:ascii="宋体" w:hAnsi="宋体" w:cs="宋体"/>
          <w:bCs/>
          <w:color w:val="000000"/>
          <w:sz w:val="24"/>
        </w:rPr>
        <w:t>非上市股权的估值：</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非上市股权类资产，按照国家最新规定，采用合理的估值技术进行估值。</w:t>
      </w:r>
    </w:p>
    <w:p>
      <w:pPr>
        <w:numPr>
          <w:ilvl w:val="0"/>
          <w:numId w:val="30"/>
        </w:numPr>
        <w:spacing w:line="360" w:lineRule="auto"/>
        <w:rPr>
          <w:rFonts w:hint="eastAsia" w:ascii="宋体" w:hAnsi="宋体" w:cs="宋体"/>
          <w:bCs/>
          <w:color w:val="000000"/>
          <w:sz w:val="24"/>
        </w:rPr>
      </w:pPr>
      <w:r>
        <w:rPr>
          <w:rFonts w:hint="eastAsia" w:ascii="宋体" w:hAnsi="宋体" w:cs="宋体"/>
          <w:bCs/>
          <w:color w:val="000000"/>
          <w:sz w:val="24"/>
        </w:rPr>
        <w:t>基金、资产管理计划类资产</w:t>
      </w:r>
    </w:p>
    <w:p>
      <w:pPr>
        <w:spacing w:line="360" w:lineRule="auto"/>
        <w:ind w:firstLine="480" w:firstLineChars="200"/>
        <w:rPr>
          <w:rFonts w:hint="eastAsia" w:ascii="宋体" w:hAnsi="宋体"/>
          <w:sz w:val="24"/>
        </w:rPr>
      </w:pPr>
      <w:r>
        <w:rPr>
          <w:rFonts w:hint="eastAsia" w:ascii="宋体" w:hAnsi="宋体" w:cs="宋体"/>
          <w:bCs/>
          <w:color w:val="000000"/>
          <w:sz w:val="24"/>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hint="eastAsia" w:ascii="宋体" w:hAnsi="宋体" w:cs="宋体"/>
          <w:bCs/>
          <w:color w:val="000000"/>
          <w:sz w:val="24"/>
          <w:highlight w:val="yellow"/>
        </w:rPr>
      </w:pPr>
      <w:r>
        <w:rPr>
          <w:rFonts w:hint="eastAsia" w:ascii="宋体" w:hAnsi="宋体" w:cs="宋体"/>
          <w:bCs/>
          <w:color w:val="000000"/>
          <w:sz w:val="24"/>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0"/>
        </w:numPr>
        <w:spacing w:line="360" w:lineRule="auto"/>
        <w:rPr>
          <w:rFonts w:hint="eastAsia" w:ascii="宋体" w:hAnsi="宋体" w:cs="宋体"/>
          <w:bCs/>
          <w:color w:val="000000"/>
          <w:sz w:val="24"/>
        </w:rPr>
      </w:pPr>
      <w:r>
        <w:rPr>
          <w:rFonts w:hint="eastAsia" w:ascii="宋体" w:hAnsi="宋体" w:cs="宋体"/>
          <w:bCs/>
          <w:color w:val="000000"/>
          <w:sz w:val="24"/>
        </w:rPr>
        <w:t>其他资产的估值方法</w:t>
      </w:r>
    </w:p>
    <w:p>
      <w:pPr>
        <w:pStyle w:val="15"/>
        <w:spacing w:line="360" w:lineRule="auto"/>
        <w:ind w:firstLine="480" w:firstLineChars="200"/>
        <w:rPr>
          <w:rFonts w:hint="eastAsia" w:ascii="宋体" w:hAnsi="宋体" w:cs="宋体"/>
          <w:bCs/>
          <w:kern w:val="2"/>
        </w:rPr>
      </w:pPr>
      <w:r>
        <w:rPr>
          <w:rFonts w:hint="eastAsia" w:ascii="宋体" w:hAnsi="宋体" w:cs="宋体"/>
          <w:bCs/>
          <w:kern w:val="2"/>
        </w:rPr>
        <w:t>其他资产存在公允价值的，按照监管要求进行公允价值估值，公允价值不能确定的按国家最新规定进行估值。</w:t>
      </w:r>
    </w:p>
    <w:p>
      <w:pPr>
        <w:pStyle w:val="15"/>
        <w:spacing w:line="360" w:lineRule="auto"/>
        <w:ind w:firstLine="480" w:firstLineChars="200"/>
        <w:rPr>
          <w:rFonts w:hint="eastAsia" w:ascii="宋体" w:hAnsi="宋体" w:cs="宋体"/>
          <w:bCs/>
          <w:kern w:val="2"/>
        </w:rPr>
      </w:pPr>
      <w:r>
        <w:rPr>
          <w:rFonts w:hint="eastAsia" w:ascii="宋体" w:hAnsi="宋体" w:cs="宋体"/>
          <w:bCs/>
          <w:kern w:val="2"/>
        </w:rPr>
        <w:t>以</w:t>
      </w:r>
      <w:r>
        <w:rPr>
          <w:rFonts w:hint="eastAsia" w:ascii="宋体" w:hAnsi="宋体" w:cs="宋体"/>
          <w:bCs/>
        </w:rPr>
        <w:t>摊余成本法计量的资产，按照会计准则规定采用合理的减值计量模型或第三方减值计量结果进行减值计提。计提减值不等同于金融资产已发生损失，仅为对未来风险的审慎预期。</w:t>
      </w:r>
    </w:p>
    <w:p>
      <w:pPr>
        <w:pStyle w:val="15"/>
        <w:tabs>
          <w:tab w:val="left" w:pos="0"/>
        </w:tabs>
        <w:spacing w:line="360" w:lineRule="auto"/>
        <w:ind w:firstLine="480" w:firstLineChars="200"/>
        <w:rPr>
          <w:rFonts w:ascii="宋体" w:hAnsi="宋体" w:cs="宋体"/>
          <w:bCs/>
          <w:kern w:val="2"/>
        </w:rPr>
      </w:pPr>
      <w:r>
        <w:rPr>
          <w:rFonts w:hint="eastAsia" w:ascii="宋体" w:hAnsi="宋体" w:cs="宋体"/>
          <w:bCs/>
          <w:kern w:val="2"/>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5"/>
        <w:tabs>
          <w:tab w:val="left" w:pos="0"/>
        </w:tabs>
        <w:spacing w:line="360" w:lineRule="auto"/>
        <w:ind w:firstLine="482" w:firstLineChars="200"/>
        <w:rPr>
          <w:rFonts w:ascii="宋体" w:hAnsi="宋体" w:cs="宋体"/>
          <w:b/>
          <w:kern w:val="2"/>
        </w:rPr>
      </w:pPr>
      <w:r>
        <w:rPr>
          <w:rFonts w:hint="eastAsia" w:ascii="宋体" w:hAnsi="宋体" w:cs="宋体"/>
          <w:b/>
          <w:kern w:val="2"/>
        </w:rPr>
        <w:t>如在本理财计划发行、募集、管理期间，有权管理机关对财务报告准则、估值核算方法标准进行调整，管理人有权根据相关机关要求对本理财计划的估值方法进行相应修改。</w:t>
      </w:r>
    </w:p>
    <w:p>
      <w:pPr>
        <w:numPr>
          <w:ilvl w:val="0"/>
          <w:numId w:val="29"/>
        </w:numPr>
        <w:spacing w:line="360" w:lineRule="auto"/>
        <w:jc w:val="left"/>
        <w:rPr>
          <w:rFonts w:ascii="宋体" w:hAnsi="宋体" w:cs="宋体"/>
          <w:b/>
          <w:sz w:val="24"/>
        </w:rPr>
      </w:pPr>
      <w:r>
        <w:rPr>
          <w:rFonts w:hint="eastAsia" w:ascii="宋体" w:hAnsi="宋体" w:cs="宋体"/>
          <w:b/>
          <w:sz w:val="24"/>
        </w:rPr>
        <w:t xml:space="preserve">估值差错处理 </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9"/>
        </w:numPr>
        <w:spacing w:line="360" w:lineRule="auto"/>
        <w:jc w:val="left"/>
        <w:rPr>
          <w:rFonts w:ascii="宋体" w:hAnsi="宋体" w:cs="宋体"/>
          <w:b/>
          <w:sz w:val="24"/>
        </w:rPr>
      </w:pPr>
      <w:r>
        <w:rPr>
          <w:rFonts w:hint="eastAsia" w:ascii="宋体" w:hAnsi="宋体" w:cs="宋体"/>
          <w:b/>
          <w:sz w:val="24"/>
        </w:rPr>
        <w:t>暂停估值情形</w:t>
      </w:r>
    </w:p>
    <w:p>
      <w:pPr>
        <w:numPr>
          <w:ilvl w:val="0"/>
          <w:numId w:val="32"/>
        </w:numPr>
        <w:spacing w:line="360" w:lineRule="auto"/>
        <w:jc w:val="left"/>
        <w:rPr>
          <w:rFonts w:ascii="宋体" w:hAnsi="宋体" w:cs="宋体"/>
          <w:bCs/>
          <w:color w:val="000000"/>
          <w:sz w:val="24"/>
        </w:rPr>
      </w:pPr>
      <w:r>
        <w:rPr>
          <w:rFonts w:hint="eastAsia" w:ascii="宋体" w:hAnsi="宋体" w:cs="宋体"/>
          <w:bCs/>
          <w:color w:val="000000"/>
          <w:sz w:val="24"/>
        </w:rPr>
        <w:t>理财计划投资所涉及的交易市场遇法定节假日或因其他原因暂停营业时暂停估值，该种情况理财计划估值日期提前到上一交易日。</w:t>
      </w:r>
    </w:p>
    <w:p>
      <w:pPr>
        <w:numPr>
          <w:ilvl w:val="0"/>
          <w:numId w:val="32"/>
        </w:numPr>
        <w:spacing w:line="360" w:lineRule="auto"/>
        <w:jc w:val="left"/>
        <w:rPr>
          <w:rFonts w:ascii="宋体" w:hAnsi="宋体" w:cs="宋体"/>
          <w:bCs/>
          <w:color w:val="000000"/>
          <w:sz w:val="24"/>
        </w:rPr>
      </w:pPr>
      <w:r>
        <w:rPr>
          <w:rFonts w:hint="eastAsia" w:ascii="宋体" w:hAnsi="宋体" w:cs="宋体"/>
          <w:bCs/>
          <w:color w:val="000000"/>
          <w:sz w:val="24"/>
        </w:rPr>
        <w:t>因不可抗力或其他情形致使理财计划管理人、理财计划托管人无法准确评估资产价值时。</w:t>
      </w:r>
    </w:p>
    <w:p>
      <w:pPr>
        <w:numPr>
          <w:ilvl w:val="0"/>
          <w:numId w:val="32"/>
        </w:numPr>
        <w:spacing w:line="360" w:lineRule="auto"/>
        <w:jc w:val="left"/>
        <w:rPr>
          <w:rFonts w:ascii="宋体" w:hAnsi="宋体" w:cs="宋体"/>
          <w:bCs/>
          <w:color w:val="000000"/>
          <w:sz w:val="24"/>
        </w:rPr>
      </w:pPr>
      <w:r>
        <w:rPr>
          <w:rFonts w:hint="eastAsia" w:ascii="宋体" w:hAnsi="宋体" w:cs="宋体"/>
          <w:bCs/>
          <w:color w:val="000000"/>
          <w:sz w:val="24"/>
        </w:rPr>
        <w:t>当前一估值日理财计划资产净值50%以上的资产不具备活跃交易市场或者在活跃市场中无报价，且不能采用估值技术可靠计量公允价值时，管理人应当暂停该理财计划估值，并按照监管规定采取延缓支付赎回款项或暂停接受理财计划认购、赎回申请等措施。</w:t>
      </w:r>
    </w:p>
    <w:p>
      <w:pPr>
        <w:numPr>
          <w:ilvl w:val="0"/>
          <w:numId w:val="32"/>
        </w:numPr>
        <w:spacing w:line="360" w:lineRule="auto"/>
        <w:jc w:val="left"/>
        <w:rPr>
          <w:rFonts w:ascii="宋体" w:hAnsi="宋体" w:cs="宋体"/>
          <w:b/>
          <w:sz w:val="24"/>
        </w:rPr>
      </w:pPr>
      <w:r>
        <w:rPr>
          <w:rFonts w:hint="eastAsia" w:ascii="宋体" w:hAnsi="宋体" w:cs="宋体"/>
          <w:bCs/>
          <w:color w:val="000000"/>
          <w:sz w:val="24"/>
        </w:rPr>
        <w:t>理财计划管理人、托管人有合理理由认为将影响本理财计划估值的其他情形发生。</w:t>
      </w:r>
    </w:p>
    <w:p>
      <w:pPr>
        <w:numPr>
          <w:ilvl w:val="0"/>
          <w:numId w:val="29"/>
        </w:numPr>
        <w:spacing w:line="360" w:lineRule="auto"/>
        <w:jc w:val="left"/>
        <w:rPr>
          <w:rFonts w:ascii="宋体" w:hAnsi="宋体" w:cs="宋体"/>
          <w:b/>
          <w:sz w:val="24"/>
        </w:rPr>
      </w:pPr>
      <w:r>
        <w:rPr>
          <w:rFonts w:hint="eastAsia" w:ascii="宋体" w:hAnsi="宋体" w:cs="宋体"/>
          <w:b/>
          <w:sz w:val="24"/>
        </w:rPr>
        <w:t>资产账册的建立</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ascii="宋体" w:hAnsi="宋体" w:cs="宋体"/>
          <w:bCs/>
          <w:color w:val="000000"/>
          <w:sz w:val="24"/>
        </w:rPr>
      </w:pPr>
    </w:p>
    <w:p>
      <w:pPr>
        <w:numPr>
          <w:ilvl w:val="0"/>
          <w:numId w:val="26"/>
        </w:numPr>
        <w:spacing w:line="360" w:lineRule="auto"/>
        <w:jc w:val="left"/>
        <w:rPr>
          <w:rFonts w:ascii="宋体" w:hAnsi="宋体" w:cs="宋体"/>
          <w:b/>
          <w:sz w:val="24"/>
        </w:rPr>
      </w:pPr>
      <w:r>
        <w:rPr>
          <w:rFonts w:hint="eastAsia" w:ascii="宋体" w:hAnsi="宋体" w:cs="宋体"/>
          <w:b/>
          <w:sz w:val="24"/>
        </w:rPr>
        <w:t>费用及税收</w:t>
      </w:r>
    </w:p>
    <w:p>
      <w:pPr>
        <w:numPr>
          <w:ilvl w:val="0"/>
          <w:numId w:val="33"/>
        </w:numPr>
        <w:spacing w:line="360" w:lineRule="auto"/>
        <w:jc w:val="left"/>
        <w:rPr>
          <w:rFonts w:ascii="宋体" w:hAnsi="宋体" w:cs="宋体"/>
          <w:b/>
          <w:sz w:val="24"/>
        </w:rPr>
      </w:pPr>
      <w:r>
        <w:rPr>
          <w:rFonts w:hint="eastAsia" w:ascii="宋体" w:hAnsi="宋体" w:cs="宋体"/>
          <w:b/>
          <w:sz w:val="24"/>
        </w:rPr>
        <w:t>费用种类</w:t>
      </w:r>
    </w:p>
    <w:p>
      <w:pPr>
        <w:spacing w:line="360" w:lineRule="auto"/>
        <w:ind w:firstLine="480" w:firstLineChars="200"/>
        <w:jc w:val="left"/>
        <w:rPr>
          <w:rFonts w:ascii="宋体" w:hAnsi="宋体" w:cs="宋体"/>
          <w:b/>
          <w:sz w:val="24"/>
        </w:rPr>
      </w:pPr>
      <w:r>
        <w:rPr>
          <w:rFonts w:hint="eastAsia" w:ascii="宋体" w:hAnsi="宋体" w:cs="宋体"/>
          <w:bCs/>
          <w:color w:val="000000"/>
          <w:sz w:val="24"/>
        </w:rPr>
        <w:t>本理财计划涉及费用包括销售服务费、托管费、固定管理费、认购费、申购费、赎回费、浮动管理费以及理财计划运作和清算中产生的其他费用等。</w:t>
      </w:r>
    </w:p>
    <w:p>
      <w:pPr>
        <w:numPr>
          <w:ilvl w:val="0"/>
          <w:numId w:val="33"/>
        </w:numPr>
        <w:spacing w:line="360" w:lineRule="auto"/>
        <w:jc w:val="left"/>
        <w:rPr>
          <w:rFonts w:ascii="宋体" w:hAnsi="宋体" w:cs="宋体"/>
          <w:b/>
          <w:sz w:val="24"/>
        </w:rPr>
      </w:pPr>
      <w:r>
        <w:rPr>
          <w:rFonts w:hint="eastAsia" w:ascii="宋体" w:hAnsi="宋体" w:cs="宋体"/>
          <w:b/>
          <w:sz w:val="24"/>
        </w:rPr>
        <w:t>费用计提方法、标准及支付方式</w:t>
      </w:r>
    </w:p>
    <w:p>
      <w:pPr>
        <w:numPr>
          <w:ilvl w:val="0"/>
          <w:numId w:val="34"/>
        </w:numPr>
        <w:spacing w:line="360" w:lineRule="auto"/>
        <w:jc w:val="left"/>
        <w:rPr>
          <w:rFonts w:ascii="宋体" w:hAnsi="宋体" w:cs="宋体"/>
          <w:b/>
          <w:sz w:val="24"/>
        </w:rPr>
      </w:pPr>
      <w:r>
        <w:rPr>
          <w:rFonts w:hint="eastAsia" w:ascii="宋体" w:hAnsi="宋体" w:cs="宋体"/>
          <w:b/>
          <w:sz w:val="24"/>
        </w:rPr>
        <w:t>销售服务费</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rPr>
        <w:t>年化销售服务费率为</w:t>
      </w:r>
      <w:r>
        <w:rPr>
          <w:rFonts w:hint="eastAsia" w:ascii="宋体" w:hAnsi="宋体" w:cs="宋体"/>
          <w:szCs w:val="21"/>
        </w:rPr>
        <w:t>〖</w:t>
      </w:r>
      <w:r>
        <w:rPr>
          <w:rFonts w:hint="eastAsia" w:ascii="宋体" w:hAnsi="宋体" w:cs="宋体"/>
          <w:sz w:val="24"/>
          <w:lang w:val="en-US" w:eastAsia="zh-CN"/>
        </w:rPr>
        <w:t>0.30</w:t>
      </w:r>
      <w:r>
        <w:rPr>
          <w:rFonts w:hint="eastAsia" w:ascii="宋体" w:hAnsi="宋体" w:cs="宋体"/>
          <w:bCs/>
          <w:color w:val="000000"/>
          <w:sz w:val="24"/>
        </w:rPr>
        <w:t>%</w:t>
      </w:r>
      <w:r>
        <w:rPr>
          <w:rFonts w:hint="eastAsia" w:ascii="宋体" w:hAnsi="宋体" w:cs="宋体"/>
          <w:szCs w:val="21"/>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rPr>
        <w:t>计算方法如下：</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H＝E×</w:t>
      </w:r>
      <w:r>
        <w:rPr>
          <w:rFonts w:hint="eastAsia" w:ascii="宋体" w:hAnsi="宋体" w:cs="宋体"/>
          <w:szCs w:val="21"/>
        </w:rPr>
        <w:t>〖</w:t>
      </w:r>
      <w:r>
        <w:rPr>
          <w:rFonts w:hint="eastAsia" w:ascii="宋体" w:hAnsi="宋体" w:cs="宋体"/>
          <w:sz w:val="24"/>
          <w:lang w:val="en-US" w:eastAsia="zh-CN"/>
        </w:rPr>
        <w:t>0.30</w:t>
      </w:r>
      <w:r>
        <w:rPr>
          <w:rFonts w:hint="eastAsia" w:ascii="宋体" w:hAnsi="宋体" w:cs="宋体"/>
          <w:bCs/>
          <w:color w:val="000000"/>
          <w:sz w:val="24"/>
        </w:rPr>
        <w:t>%</w:t>
      </w:r>
      <w:r>
        <w:rPr>
          <w:rFonts w:hint="eastAsia" w:ascii="宋体" w:hAnsi="宋体" w:cs="宋体"/>
          <w:szCs w:val="21"/>
        </w:rPr>
        <w:t>〗</w:t>
      </w:r>
      <w:r>
        <w:rPr>
          <w:rFonts w:hint="eastAsia" w:ascii="宋体" w:hAnsi="宋体" w:cs="宋体"/>
          <w:bCs/>
          <w:color w:val="000000"/>
          <w:sz w:val="24"/>
        </w:rPr>
        <w:t>/365</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rPr>
        <w:t>每日应计提的销售服务费</w:t>
      </w:r>
    </w:p>
    <w:p>
      <w:pPr>
        <w:spacing w:line="360" w:lineRule="auto"/>
        <w:ind w:firstLine="480" w:firstLineChars="200"/>
        <w:jc w:val="left"/>
        <w:rPr>
          <w:rFonts w:ascii="宋体" w:hAnsi="宋体" w:cs="宋体"/>
          <w:bCs/>
          <w:color w:val="FF0000"/>
          <w:sz w:val="24"/>
        </w:rPr>
      </w:pPr>
      <w:r>
        <w:rPr>
          <w:rFonts w:hint="eastAsia" w:ascii="宋体" w:hAnsi="宋体" w:cs="宋体"/>
          <w:bCs/>
          <w:color w:val="000000"/>
          <w:sz w:val="24"/>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rPr>
        <w:t>前一日资产净值</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销售服务费原则上按日计提。</w:t>
      </w:r>
    </w:p>
    <w:p>
      <w:pPr>
        <w:numPr>
          <w:ilvl w:val="0"/>
          <w:numId w:val="34"/>
        </w:numPr>
        <w:spacing w:line="360" w:lineRule="auto"/>
        <w:jc w:val="left"/>
        <w:rPr>
          <w:rFonts w:ascii="宋体" w:hAnsi="宋体" w:cs="宋体"/>
          <w:b/>
          <w:sz w:val="24"/>
        </w:rPr>
      </w:pPr>
      <w:r>
        <w:rPr>
          <w:rFonts w:hint="eastAsia" w:ascii="宋体" w:hAnsi="宋体" w:cs="宋体"/>
          <w:b/>
          <w:sz w:val="24"/>
        </w:rPr>
        <w:t>托管费</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理财计划财产的年化托管费为</w:t>
      </w:r>
      <w:r>
        <w:rPr>
          <w:rFonts w:hint="eastAsia" w:ascii="宋体" w:hAnsi="宋体" w:cs="宋体"/>
          <w:sz w:val="24"/>
        </w:rPr>
        <w:t>〖</w:t>
      </w:r>
      <w:r>
        <w:rPr>
          <w:rFonts w:hint="eastAsia" w:ascii="宋体" w:hAnsi="宋体" w:cs="宋体"/>
          <w:sz w:val="24"/>
          <w:lang w:val="en-US" w:eastAsia="zh-CN"/>
        </w:rPr>
        <w:t>0.025</w:t>
      </w:r>
      <w:r>
        <w:rPr>
          <w:rFonts w:hint="eastAsia" w:ascii="宋体" w:hAnsi="宋体" w:cs="宋体"/>
          <w:bCs/>
          <w:color w:val="000000"/>
          <w:sz w:val="24"/>
        </w:rPr>
        <w:t>%</w:t>
      </w:r>
      <w:r>
        <w:rPr>
          <w:rFonts w:hint="eastAsia" w:ascii="宋体" w:hAnsi="宋体" w:cs="宋体"/>
          <w:sz w:val="24"/>
        </w:rPr>
        <w:t>〗</w:t>
      </w:r>
      <w:r>
        <w:rPr>
          <w:rFonts w:hint="eastAsia" w:ascii="宋体" w:hAnsi="宋体" w:cs="宋体"/>
          <w:bCs/>
          <w:color w:val="000000"/>
          <w:sz w:val="24"/>
        </w:rPr>
        <w:t>，计算方法如下：</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H＝E×</w:t>
      </w:r>
      <w:r>
        <w:rPr>
          <w:rFonts w:hint="eastAsia" w:ascii="宋体" w:hAnsi="宋体" w:cs="宋体"/>
          <w:sz w:val="24"/>
        </w:rPr>
        <w:t>〖</w:t>
      </w:r>
      <w:r>
        <w:rPr>
          <w:rFonts w:hint="eastAsia" w:ascii="宋体" w:hAnsi="宋体" w:cs="宋体"/>
          <w:sz w:val="24"/>
          <w:lang w:val="en-US" w:eastAsia="zh-CN"/>
        </w:rPr>
        <w:t>0.025</w:t>
      </w:r>
      <w:r>
        <w:rPr>
          <w:rFonts w:hint="eastAsia" w:ascii="宋体" w:hAnsi="宋体" w:cs="宋体"/>
          <w:bCs/>
          <w:color w:val="000000"/>
          <w:sz w:val="24"/>
        </w:rPr>
        <w:t>%</w:t>
      </w:r>
      <w:r>
        <w:rPr>
          <w:rFonts w:hint="eastAsia" w:ascii="宋体" w:hAnsi="宋体" w:cs="宋体"/>
          <w:sz w:val="24"/>
        </w:rPr>
        <w:t>〗</w:t>
      </w:r>
      <w:r>
        <w:rPr>
          <w:rFonts w:hint="eastAsia" w:ascii="宋体" w:hAnsi="宋体" w:cs="宋体"/>
          <w:bCs/>
          <w:color w:val="000000"/>
          <w:sz w:val="24"/>
        </w:rPr>
        <w:t>/365</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H为每日应计提的托管费</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E为本理财计划</w:t>
      </w:r>
      <w:r>
        <w:rPr>
          <w:rFonts w:hint="eastAsia" w:ascii="宋体" w:hAnsi="宋体" w:cs="宋体"/>
          <w:szCs w:val="21"/>
        </w:rPr>
        <w:t>〖</w:t>
      </w:r>
      <w:r>
        <w:rPr>
          <w:rFonts w:hint="eastAsia" w:ascii="宋体" w:hAnsi="宋体" w:cs="宋体"/>
          <w:bCs/>
          <w:color w:val="000000"/>
          <w:sz w:val="24"/>
        </w:rPr>
        <w:t>前一日资产净值</w:t>
      </w:r>
      <w:r>
        <w:rPr>
          <w:rFonts w:hint="eastAsia" w:ascii="宋体" w:hAnsi="宋体" w:cs="宋体"/>
          <w:szCs w:val="21"/>
        </w:rPr>
        <w:t>〗</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托管费原则上按日计提。</w:t>
      </w:r>
    </w:p>
    <w:p>
      <w:pPr>
        <w:numPr>
          <w:ilvl w:val="0"/>
          <w:numId w:val="34"/>
        </w:numPr>
        <w:spacing w:line="360" w:lineRule="auto"/>
        <w:jc w:val="left"/>
        <w:rPr>
          <w:rFonts w:ascii="宋体" w:hAnsi="宋体" w:cs="宋体"/>
          <w:b/>
          <w:sz w:val="24"/>
        </w:rPr>
      </w:pPr>
      <w:r>
        <w:rPr>
          <w:rFonts w:hint="eastAsia" w:ascii="宋体" w:hAnsi="宋体" w:cs="宋体"/>
          <w:b/>
          <w:sz w:val="24"/>
        </w:rPr>
        <w:t>固定管理费</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rPr>
        <w:t>年化固定管理费率为</w:t>
      </w:r>
      <w:r>
        <w:rPr>
          <w:rFonts w:hint="eastAsia" w:ascii="宋体" w:hAnsi="宋体" w:cs="宋体"/>
          <w:sz w:val="24"/>
        </w:rPr>
        <w:t>〖</w:t>
      </w:r>
      <w:r>
        <w:rPr>
          <w:rFonts w:hint="eastAsia" w:ascii="宋体" w:hAnsi="宋体" w:cs="宋体"/>
          <w:sz w:val="24"/>
          <w:lang w:val="en-US" w:eastAsia="zh-CN"/>
        </w:rPr>
        <w:t>0.40</w:t>
      </w:r>
      <w:r>
        <w:rPr>
          <w:rFonts w:hint="eastAsia" w:ascii="宋体" w:hAnsi="宋体" w:cs="宋体"/>
          <w:bCs/>
          <w:color w:val="000000"/>
          <w:sz w:val="24"/>
        </w:rPr>
        <w:t>%</w:t>
      </w:r>
      <w:r>
        <w:rPr>
          <w:rFonts w:hint="eastAsia" w:ascii="宋体" w:hAnsi="宋体" w:cs="宋体"/>
          <w:sz w:val="24"/>
        </w:rPr>
        <w:t>〗</w:t>
      </w:r>
      <w:r>
        <w:rPr>
          <w:rFonts w:hint="eastAsia" w:ascii="宋体" w:hAnsi="宋体" w:cs="宋体"/>
          <w:sz w:val="24"/>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rPr>
        <w:t>计算方法如下：</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H＝E×</w:t>
      </w:r>
      <w:r>
        <w:rPr>
          <w:rFonts w:hint="eastAsia" w:ascii="宋体" w:hAnsi="宋体" w:cs="宋体"/>
          <w:sz w:val="24"/>
        </w:rPr>
        <w:t>〖</w:t>
      </w:r>
      <w:r>
        <w:rPr>
          <w:rFonts w:hint="eastAsia" w:ascii="宋体" w:hAnsi="宋体" w:cs="宋体"/>
          <w:sz w:val="24"/>
          <w:lang w:val="en-US" w:eastAsia="zh-CN"/>
        </w:rPr>
        <w:t>0.40</w:t>
      </w:r>
      <w:r>
        <w:rPr>
          <w:rFonts w:hint="eastAsia" w:ascii="宋体" w:hAnsi="宋体" w:cs="宋体"/>
          <w:bCs/>
          <w:color w:val="000000"/>
          <w:sz w:val="24"/>
        </w:rPr>
        <w:t>%</w:t>
      </w:r>
      <w:r>
        <w:rPr>
          <w:rFonts w:hint="eastAsia" w:ascii="宋体" w:hAnsi="宋体" w:cs="宋体"/>
          <w:sz w:val="24"/>
        </w:rPr>
        <w:t>〗</w:t>
      </w:r>
      <w:r>
        <w:rPr>
          <w:rFonts w:hint="eastAsia" w:ascii="宋体" w:hAnsi="宋体" w:cs="宋体"/>
          <w:bCs/>
          <w:color w:val="000000"/>
          <w:sz w:val="24"/>
        </w:rPr>
        <w:t>/365</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rPr>
        <w:t>每日应计提的管理费</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rPr>
        <w:t>前一日资产净值</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固定管理费原则上按日计提。理财计划实际运作结果不达业绩比较基准</w:t>
      </w:r>
      <w:r>
        <w:rPr>
          <w:rFonts w:hint="eastAsia" w:ascii="宋体" w:hAnsi="宋体" w:cs="宋体"/>
          <w:bCs/>
          <w:color w:val="000000"/>
          <w:sz w:val="24"/>
          <w:highlight w:val="none"/>
          <w:lang w:eastAsia="zh-CN"/>
        </w:rPr>
        <w:t>下限</w:t>
      </w:r>
      <w:r>
        <w:rPr>
          <w:rFonts w:hint="eastAsia" w:ascii="宋体" w:hAnsi="宋体" w:cs="宋体"/>
          <w:bCs/>
          <w:color w:val="000000"/>
          <w:sz w:val="24"/>
        </w:rPr>
        <w:t>时，管理人有权减免固定管理费。</w:t>
      </w:r>
    </w:p>
    <w:p>
      <w:pPr>
        <w:numPr>
          <w:ilvl w:val="0"/>
          <w:numId w:val="34"/>
        </w:numPr>
        <w:spacing w:line="360" w:lineRule="auto"/>
        <w:jc w:val="left"/>
        <w:rPr>
          <w:rFonts w:ascii="宋体" w:hAnsi="宋体" w:cs="宋体"/>
          <w:b/>
          <w:sz w:val="24"/>
        </w:rPr>
      </w:pPr>
      <w:r>
        <w:rPr>
          <w:rFonts w:hint="eastAsia" w:ascii="宋体" w:hAnsi="宋体" w:cs="宋体"/>
          <w:b/>
          <w:sz w:val="24"/>
        </w:rPr>
        <w:t>认购费</w:t>
      </w:r>
    </w:p>
    <w:p>
      <w:pPr>
        <w:spacing w:line="360" w:lineRule="auto"/>
        <w:ind w:firstLine="480" w:firstLineChars="200"/>
        <w:jc w:val="left"/>
        <w:rPr>
          <w:rFonts w:ascii="宋体" w:hAnsi="宋体" w:cs="宋体"/>
          <w:bCs/>
          <w:color w:val="FF0000"/>
          <w:sz w:val="24"/>
        </w:rPr>
      </w:pPr>
      <w:r>
        <w:rPr>
          <w:rFonts w:hint="eastAsia" w:ascii="宋体" w:hAnsi="宋体" w:cs="宋体"/>
          <w:bCs/>
          <w:color w:val="000000"/>
          <w:sz w:val="24"/>
        </w:rPr>
        <w:t>本理财计划免除认购费。</w:t>
      </w:r>
    </w:p>
    <w:p>
      <w:pPr>
        <w:numPr>
          <w:ilvl w:val="0"/>
          <w:numId w:val="35"/>
        </w:numPr>
        <w:spacing w:line="360" w:lineRule="auto"/>
        <w:jc w:val="left"/>
        <w:rPr>
          <w:rFonts w:ascii="宋体" w:hAnsi="宋体" w:cs="宋体"/>
          <w:b/>
          <w:sz w:val="24"/>
        </w:rPr>
      </w:pPr>
      <w:r>
        <w:rPr>
          <w:rFonts w:hint="eastAsia" w:ascii="宋体" w:hAnsi="宋体" w:cs="宋体"/>
          <w:b/>
          <w:sz w:val="24"/>
        </w:rPr>
        <w:t>申购费</w:t>
      </w:r>
    </w:p>
    <w:p>
      <w:pPr>
        <w:spacing w:line="360" w:lineRule="auto"/>
        <w:ind w:firstLine="480" w:firstLineChars="200"/>
        <w:jc w:val="left"/>
        <w:rPr>
          <w:rFonts w:ascii="宋体" w:hAnsi="宋体" w:cs="宋体"/>
          <w:b/>
          <w:sz w:val="24"/>
        </w:rPr>
      </w:pPr>
      <w:r>
        <w:rPr>
          <w:rFonts w:hint="eastAsia" w:ascii="宋体" w:hAnsi="宋体" w:cs="宋体"/>
          <w:bCs/>
          <w:color w:val="000000"/>
          <w:sz w:val="24"/>
        </w:rPr>
        <w:t>本理财计划免除申购费。</w:t>
      </w:r>
    </w:p>
    <w:p>
      <w:pPr>
        <w:numPr>
          <w:ilvl w:val="0"/>
          <w:numId w:val="35"/>
        </w:numPr>
        <w:spacing w:line="360" w:lineRule="auto"/>
        <w:jc w:val="left"/>
        <w:rPr>
          <w:rFonts w:ascii="宋体" w:hAnsi="宋体" w:cs="宋体"/>
          <w:b/>
          <w:sz w:val="24"/>
        </w:rPr>
      </w:pPr>
      <w:r>
        <w:rPr>
          <w:rFonts w:hint="eastAsia" w:ascii="宋体" w:hAnsi="宋体" w:cs="宋体"/>
          <w:b/>
          <w:sz w:val="24"/>
        </w:rPr>
        <w:t>赎回费</w:t>
      </w:r>
    </w:p>
    <w:p>
      <w:pPr>
        <w:numPr>
          <w:ilvl w:val="0"/>
          <w:numId w:val="0"/>
        </w:numPr>
        <w:spacing w:line="360" w:lineRule="auto"/>
        <w:ind w:firstLine="480" w:firstLineChars="200"/>
        <w:jc w:val="left"/>
        <w:rPr>
          <w:rFonts w:ascii="宋体" w:hAnsi="宋体" w:cs="宋体"/>
          <w:b/>
          <w:sz w:val="24"/>
        </w:rPr>
      </w:pPr>
      <w:r>
        <w:rPr>
          <w:rFonts w:hint="eastAsia" w:ascii="宋体" w:hAnsi="宋体" w:cs="宋体"/>
          <w:bCs/>
          <w:color w:val="000000"/>
          <w:sz w:val="24"/>
        </w:rPr>
        <w:t>本理财计划免除赎回费。</w:t>
      </w:r>
    </w:p>
    <w:p>
      <w:pPr>
        <w:numPr>
          <w:ilvl w:val="0"/>
          <w:numId w:val="36"/>
        </w:numPr>
        <w:spacing w:line="360" w:lineRule="auto"/>
        <w:jc w:val="left"/>
        <w:rPr>
          <w:rFonts w:ascii="宋体" w:hAnsi="宋体" w:cs="宋体"/>
          <w:b/>
          <w:sz w:val="24"/>
        </w:rPr>
      </w:pPr>
      <w:r>
        <w:rPr>
          <w:rFonts w:hint="eastAsia" w:ascii="宋体" w:hAnsi="宋体" w:cs="宋体"/>
          <w:b/>
          <w:sz w:val="24"/>
        </w:rPr>
        <w:t>浮动管理费</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本理财计划免除浮动管理费。</w:t>
      </w:r>
    </w:p>
    <w:p>
      <w:pPr>
        <w:numPr>
          <w:ilvl w:val="0"/>
          <w:numId w:val="37"/>
        </w:numPr>
        <w:spacing w:line="360" w:lineRule="auto"/>
        <w:jc w:val="left"/>
        <w:rPr>
          <w:rFonts w:ascii="宋体" w:hAnsi="宋体" w:cs="宋体"/>
          <w:b/>
          <w:sz w:val="24"/>
        </w:rPr>
      </w:pPr>
      <w:r>
        <w:rPr>
          <w:rFonts w:hint="eastAsia" w:ascii="宋体" w:hAnsi="宋体" w:cs="宋体"/>
          <w:b/>
          <w:sz w:val="24"/>
        </w:rPr>
        <w:t>其他费用</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除上述费用外，由受托管理资产承担的费用包括但不限于：</w:t>
      </w:r>
    </w:p>
    <w:p>
      <w:pPr>
        <w:numPr>
          <w:ilvl w:val="0"/>
          <w:numId w:val="38"/>
        </w:numPr>
        <w:spacing w:line="360" w:lineRule="auto"/>
        <w:ind w:firstLine="480" w:firstLineChars="200"/>
        <w:jc w:val="left"/>
        <w:rPr>
          <w:rFonts w:ascii="宋体" w:hAnsi="宋体" w:cs="宋体"/>
          <w:bCs/>
          <w:sz w:val="24"/>
        </w:rPr>
      </w:pPr>
      <w:r>
        <w:rPr>
          <w:rFonts w:hint="eastAsia" w:ascii="宋体" w:hAnsi="宋体" w:cs="宋体"/>
          <w:bCs/>
          <w:sz w:val="24"/>
        </w:rPr>
        <w:t>财产管理、运用或处分过程中发生的税费。</w:t>
      </w:r>
    </w:p>
    <w:p>
      <w:pPr>
        <w:numPr>
          <w:ilvl w:val="0"/>
          <w:numId w:val="38"/>
        </w:numPr>
        <w:spacing w:line="360" w:lineRule="auto"/>
        <w:ind w:firstLine="480" w:firstLineChars="200"/>
        <w:jc w:val="left"/>
        <w:rPr>
          <w:rFonts w:ascii="宋体" w:hAnsi="宋体" w:cs="宋体"/>
          <w:bCs/>
          <w:sz w:val="24"/>
        </w:rPr>
      </w:pPr>
      <w:r>
        <w:rPr>
          <w:rFonts w:hint="eastAsia" w:ascii="宋体" w:hAnsi="宋体" w:cs="宋体"/>
          <w:bCs/>
          <w:sz w:val="24"/>
        </w:rPr>
        <w:t>代理机构手续费、管理费、财务顾问费、保管费。</w:t>
      </w:r>
    </w:p>
    <w:p>
      <w:pPr>
        <w:numPr>
          <w:ilvl w:val="0"/>
          <w:numId w:val="38"/>
        </w:numPr>
        <w:spacing w:line="360" w:lineRule="auto"/>
        <w:ind w:firstLine="480" w:firstLineChars="200"/>
        <w:jc w:val="left"/>
        <w:rPr>
          <w:rFonts w:ascii="宋体" w:hAnsi="宋体" w:cs="宋体"/>
          <w:bCs/>
          <w:sz w:val="24"/>
        </w:rPr>
      </w:pPr>
      <w:r>
        <w:rPr>
          <w:rFonts w:hint="eastAsia" w:ascii="宋体" w:hAnsi="宋体" w:cs="宋体"/>
          <w:bCs/>
          <w:sz w:val="24"/>
        </w:rPr>
        <w:t>审计费、律师费、公证费等费用。</w:t>
      </w:r>
    </w:p>
    <w:p>
      <w:pPr>
        <w:numPr>
          <w:ilvl w:val="0"/>
          <w:numId w:val="38"/>
        </w:numPr>
        <w:spacing w:line="360" w:lineRule="auto"/>
        <w:ind w:firstLine="480" w:firstLineChars="200"/>
        <w:jc w:val="left"/>
        <w:rPr>
          <w:rFonts w:ascii="宋体" w:hAnsi="宋体" w:cs="宋体"/>
          <w:bCs/>
          <w:sz w:val="24"/>
        </w:rPr>
      </w:pPr>
      <w:r>
        <w:rPr>
          <w:rFonts w:hint="eastAsia" w:ascii="宋体" w:hAnsi="宋体" w:cs="宋体"/>
          <w:bCs/>
          <w:sz w:val="24"/>
        </w:rPr>
        <w:t>管理人自行或委托第三方向本理财计划所投资产所涉及相关主体进行追偿所发生的费用（包括但不限于诉讼费、仲裁费、律师费、保全费等全部费用）。</w:t>
      </w:r>
    </w:p>
    <w:p>
      <w:pPr>
        <w:numPr>
          <w:ilvl w:val="0"/>
          <w:numId w:val="38"/>
        </w:numPr>
        <w:spacing w:line="360" w:lineRule="auto"/>
        <w:ind w:firstLine="480" w:firstLineChars="200"/>
        <w:jc w:val="left"/>
        <w:rPr>
          <w:rFonts w:ascii="宋体" w:hAnsi="宋体" w:cs="宋体"/>
          <w:bCs/>
          <w:sz w:val="24"/>
        </w:rPr>
      </w:pPr>
      <w:r>
        <w:rPr>
          <w:rFonts w:hint="eastAsia" w:ascii="宋体" w:hAnsi="宋体" w:cs="宋体"/>
          <w:bCs/>
          <w:sz w:val="24"/>
        </w:rPr>
        <w:t>理财计划的交易费用（包括但不限于交易佣金、相关账户费用等）及投资其他资管产品的费用。</w:t>
      </w:r>
    </w:p>
    <w:p>
      <w:pPr>
        <w:numPr>
          <w:ilvl w:val="0"/>
          <w:numId w:val="38"/>
        </w:numPr>
        <w:spacing w:line="360" w:lineRule="auto"/>
        <w:ind w:firstLine="480" w:firstLineChars="200"/>
        <w:jc w:val="left"/>
        <w:rPr>
          <w:rFonts w:ascii="宋体" w:hAnsi="宋体" w:cs="宋体"/>
          <w:bCs/>
          <w:sz w:val="24"/>
        </w:rPr>
      </w:pPr>
      <w:r>
        <w:rPr>
          <w:rFonts w:hint="eastAsia" w:ascii="宋体" w:hAnsi="宋体" w:cs="宋体"/>
          <w:bCs/>
          <w:sz w:val="24"/>
        </w:rPr>
        <w:t>监管规定的其他费用。</w:t>
      </w:r>
    </w:p>
    <w:p>
      <w:pPr>
        <w:spacing w:line="360" w:lineRule="auto"/>
        <w:jc w:val="left"/>
        <w:rPr>
          <w:rFonts w:ascii="宋体" w:hAnsi="宋体" w:cs="宋体"/>
          <w:bCs/>
          <w:sz w:val="24"/>
        </w:rPr>
      </w:pPr>
      <w:r>
        <w:rPr>
          <w:rFonts w:hint="eastAsia" w:ascii="宋体" w:hAnsi="宋体" w:cs="宋体"/>
          <w:bCs/>
          <w:sz w:val="24"/>
        </w:rPr>
        <w:t xml:space="preserve">  </w:t>
      </w:r>
      <w:r>
        <w:rPr>
          <w:rFonts w:hint="eastAsia" w:ascii="宋体" w:hAnsi="宋体" w:cs="宋体"/>
          <w:b/>
          <w:sz w:val="24"/>
        </w:rPr>
        <w:t xml:space="preserve">  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9"/>
        </w:numPr>
        <w:spacing w:line="360" w:lineRule="auto"/>
        <w:jc w:val="left"/>
        <w:rPr>
          <w:rFonts w:ascii="宋体" w:hAnsi="宋体" w:cs="宋体"/>
          <w:b/>
          <w:sz w:val="24"/>
        </w:rPr>
      </w:pPr>
      <w:r>
        <w:rPr>
          <w:rFonts w:hint="eastAsia" w:ascii="宋体" w:hAnsi="宋体" w:cs="宋体"/>
          <w:b/>
          <w:sz w:val="24"/>
        </w:rPr>
        <w:t>税收说明</w:t>
      </w:r>
    </w:p>
    <w:p>
      <w:pPr>
        <w:numPr>
          <w:ilvl w:val="0"/>
          <w:numId w:val="40"/>
        </w:numPr>
        <w:spacing w:line="360" w:lineRule="auto"/>
        <w:jc w:val="left"/>
      </w:pPr>
      <w:r>
        <w:rPr>
          <w:rFonts w:hint="eastAsia" w:ascii="宋体" w:hAnsi="宋体" w:cs="宋体"/>
          <w:bCs/>
          <w:color w:val="000000"/>
          <w:sz w:val="24"/>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0"/>
        </w:numPr>
        <w:spacing w:line="360" w:lineRule="auto"/>
        <w:jc w:val="left"/>
        <w:rPr>
          <w:rFonts w:ascii="宋体" w:hAnsi="宋体" w:cs="宋体"/>
          <w:bCs/>
          <w:color w:val="000000"/>
          <w:sz w:val="24"/>
        </w:rPr>
      </w:pPr>
      <w:r>
        <w:rPr>
          <w:rFonts w:hint="eastAsia" w:ascii="宋体" w:hAnsi="宋体" w:cs="宋体"/>
          <w:bCs/>
          <w:color w:val="000000"/>
          <w:sz w:val="24"/>
        </w:rPr>
        <w:t>除法律法规特别要求外，投资者应缴纳的税收由投资者自行缴纳，理财计划管理人不承担代扣代缴或纳税的义务。</w:t>
      </w:r>
    </w:p>
    <w:p>
      <w:pPr>
        <w:numPr>
          <w:ilvl w:val="0"/>
          <w:numId w:val="40"/>
        </w:numPr>
        <w:spacing w:line="360" w:lineRule="auto"/>
        <w:jc w:val="left"/>
        <w:rPr>
          <w:rFonts w:ascii="宋体" w:hAnsi="宋体" w:cs="宋体"/>
          <w:b/>
          <w:sz w:val="24"/>
        </w:rPr>
      </w:pPr>
      <w:r>
        <w:rPr>
          <w:rFonts w:hint="eastAsia" w:ascii="宋体" w:hAnsi="宋体" w:cs="宋体"/>
          <w:bCs/>
          <w:color w:val="000000"/>
          <w:sz w:val="24"/>
        </w:rPr>
        <w:t>后续国家法律法规如对相关税收政策进行调整，理财计划管理人有权根据税收政策相应调整理财计划运营过程中发生的税费计算及缴纳方式。</w:t>
      </w:r>
    </w:p>
    <w:p>
      <w:pPr>
        <w:spacing w:line="360" w:lineRule="auto"/>
        <w:jc w:val="left"/>
        <w:rPr>
          <w:rFonts w:ascii="宋体" w:hAnsi="宋体" w:cs="宋体"/>
          <w:b/>
          <w:sz w:val="24"/>
        </w:rPr>
      </w:pPr>
    </w:p>
    <w:p>
      <w:pPr>
        <w:numPr>
          <w:ilvl w:val="0"/>
          <w:numId w:val="26"/>
        </w:numPr>
        <w:spacing w:line="360" w:lineRule="auto"/>
        <w:jc w:val="left"/>
        <w:rPr>
          <w:rFonts w:ascii="宋体" w:hAnsi="宋体" w:cs="宋体"/>
          <w:b/>
          <w:sz w:val="24"/>
        </w:rPr>
      </w:pPr>
      <w:r>
        <w:rPr>
          <w:rFonts w:hint="eastAsia" w:ascii="宋体" w:hAnsi="宋体" w:cs="宋体"/>
          <w:b/>
          <w:sz w:val="24"/>
        </w:rPr>
        <w:t>收益计算</w:t>
      </w:r>
    </w:p>
    <w:p>
      <w:pPr>
        <w:numPr>
          <w:ilvl w:val="0"/>
          <w:numId w:val="41"/>
        </w:numPr>
        <w:spacing w:line="360" w:lineRule="auto"/>
        <w:jc w:val="left"/>
        <w:rPr>
          <w:rFonts w:ascii="宋体" w:hAnsi="宋体" w:cs="宋体"/>
          <w:b/>
          <w:sz w:val="24"/>
        </w:rPr>
      </w:pPr>
      <w:r>
        <w:rPr>
          <w:rFonts w:hint="eastAsia" w:ascii="宋体" w:hAnsi="宋体" w:cs="宋体"/>
          <w:b/>
          <w:sz w:val="24"/>
        </w:rPr>
        <w:t>计算公式</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投资者理财收益＝赎回份额×确认日</w:t>
      </w:r>
      <w:r>
        <w:rPr>
          <w:rFonts w:hint="eastAsia" w:ascii="宋体" w:hAnsi="宋体" w:cs="宋体"/>
          <w:bCs/>
          <w:color w:val="000000"/>
          <w:sz w:val="24"/>
          <w:highlight w:val="none"/>
        </w:rPr>
        <w:t>（提前终止日）</w:t>
      </w:r>
      <w:r>
        <w:rPr>
          <w:rFonts w:hint="eastAsia" w:ascii="宋体" w:hAnsi="宋体" w:cs="宋体"/>
          <w:bCs/>
          <w:color w:val="000000"/>
          <w:sz w:val="24"/>
        </w:rPr>
        <w:t>前一日单位净值+份额持有期间累计分红</w:t>
      </w:r>
      <w:r>
        <w:rPr>
          <w:rFonts w:hint="eastAsia" w:ascii="宋体" w:hAnsi="宋体" w:cs="宋体"/>
          <w:bCs/>
          <w:color w:val="000000"/>
          <w:sz w:val="24"/>
          <w:lang w:eastAsia="zh-CN"/>
        </w:rPr>
        <w:t>（</w:t>
      </w:r>
      <w:r>
        <w:rPr>
          <w:rFonts w:hint="eastAsia" w:ascii="宋体" w:hAnsi="宋体" w:cs="宋体"/>
          <w:bCs/>
          <w:color w:val="000000"/>
          <w:sz w:val="24"/>
          <w:lang w:val="en-US" w:eastAsia="zh-CN"/>
        </w:rPr>
        <w:t>如有</w:t>
      </w:r>
      <w:r>
        <w:rPr>
          <w:rFonts w:hint="eastAsia" w:ascii="宋体" w:hAnsi="宋体" w:cs="宋体"/>
          <w:bCs/>
          <w:color w:val="000000"/>
          <w:sz w:val="24"/>
          <w:lang w:eastAsia="zh-CN"/>
        </w:rPr>
        <w:t>）</w:t>
      </w:r>
      <w:r>
        <w:rPr>
          <w:rFonts w:hint="eastAsia" w:ascii="宋体" w:hAnsi="宋体" w:cs="宋体"/>
          <w:bCs/>
          <w:color w:val="000000"/>
          <w:sz w:val="24"/>
        </w:rPr>
        <w:t>-认购或申购金额</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份额=认购或申购金额/</w:t>
      </w:r>
      <w:r>
        <w:rPr>
          <w:rFonts w:hint="eastAsia" w:ascii="宋体" w:hAnsi="宋体" w:cs="宋体"/>
          <w:bCs/>
          <w:color w:val="000000"/>
          <w:sz w:val="24"/>
          <w:lang w:val="en-US" w:eastAsia="zh-CN"/>
        </w:rPr>
        <w:t>认购</w:t>
      </w:r>
      <w:r>
        <w:rPr>
          <w:rFonts w:hint="eastAsia" w:ascii="宋体" w:hAnsi="宋体" w:cs="宋体"/>
          <w:bCs/>
          <w:color w:val="000000"/>
          <w:sz w:val="24"/>
        </w:rPr>
        <w:t>或确认日前一日的单位净值</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确认日</w:t>
      </w:r>
      <w:r>
        <w:rPr>
          <w:rFonts w:hint="eastAsia" w:ascii="宋体" w:hAnsi="宋体" w:cs="宋体"/>
          <w:bCs/>
          <w:color w:val="000000"/>
          <w:sz w:val="24"/>
          <w:highlight w:val="none"/>
        </w:rPr>
        <w:t>（提前终止日）</w:t>
      </w:r>
      <w:r>
        <w:rPr>
          <w:rFonts w:hint="eastAsia" w:ascii="宋体" w:hAnsi="宋体" w:cs="宋体"/>
          <w:bCs/>
          <w:color w:val="000000"/>
          <w:sz w:val="24"/>
        </w:rPr>
        <w:t>前一日单位净值为提取相关费用及税费后的单位理财计划份额净值。</w:t>
      </w:r>
    </w:p>
    <w:p>
      <w:pPr>
        <w:numPr>
          <w:ilvl w:val="0"/>
          <w:numId w:val="41"/>
        </w:numPr>
        <w:spacing w:line="360" w:lineRule="auto"/>
        <w:jc w:val="left"/>
        <w:rPr>
          <w:rFonts w:ascii="宋体" w:hAnsi="宋体" w:cs="宋体"/>
          <w:b/>
          <w:sz w:val="24"/>
        </w:rPr>
      </w:pPr>
      <w:r>
        <w:rPr>
          <w:rFonts w:hint="eastAsia" w:ascii="宋体" w:hAnsi="宋体" w:cs="宋体"/>
          <w:b/>
          <w:sz w:val="24"/>
        </w:rPr>
        <w:t>示例说明</w:t>
      </w:r>
    </w:p>
    <w:p>
      <w:pPr>
        <w:numPr>
          <w:ilvl w:val="0"/>
          <w:numId w:val="42"/>
        </w:numPr>
        <w:spacing w:line="360" w:lineRule="auto"/>
        <w:jc w:val="left"/>
        <w:rPr>
          <w:rFonts w:ascii="宋体" w:hAnsi="宋体" w:cs="宋体"/>
          <w:b/>
          <w:sz w:val="24"/>
        </w:rPr>
      </w:pPr>
      <w:r>
        <w:rPr>
          <w:rFonts w:hint="eastAsia" w:ascii="宋体" w:hAnsi="宋体" w:cs="宋体"/>
          <w:b/>
          <w:sz w:val="24"/>
        </w:rPr>
        <w:t>示例一</w:t>
      </w:r>
    </w:p>
    <w:p>
      <w:pPr>
        <w:spacing w:line="360" w:lineRule="auto"/>
        <w:ind w:firstLine="482" w:firstLineChars="200"/>
        <w:jc w:val="left"/>
        <w:rPr>
          <w:rFonts w:ascii="宋体" w:hAnsi="宋体" w:cs="宋体"/>
          <w:b/>
          <w:sz w:val="24"/>
        </w:rPr>
      </w:pPr>
      <w:r>
        <w:rPr>
          <w:rFonts w:hint="eastAsia" w:ascii="宋体" w:hAnsi="宋体" w:cs="宋体"/>
          <w:b/>
          <w:color w:val="000000"/>
          <w:sz w:val="24"/>
        </w:rPr>
        <w:t>扣除托管费、固定管理费、销售服务费</w:t>
      </w:r>
      <w:r>
        <w:rPr>
          <w:rFonts w:hint="eastAsia" w:ascii="宋体" w:hAnsi="宋体" w:cs="宋体"/>
          <w:b/>
          <w:color w:val="000000"/>
          <w:sz w:val="24"/>
        </w:rPr>
        <w:t>（如有）</w:t>
      </w:r>
      <w:r>
        <w:rPr>
          <w:rFonts w:hint="eastAsia" w:ascii="宋体" w:hAnsi="宋体" w:cs="宋体"/>
          <w:b/>
          <w:color w:val="000000"/>
          <w:sz w:val="24"/>
        </w:rPr>
        <w:t>后，投资产生盈利。</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以某投资者投资10万元〖</w:t>
      </w:r>
      <w:r>
        <w:rPr>
          <w:rFonts w:hint="eastAsia" w:ascii="宋体" w:hAnsi="宋体" w:cs="宋体"/>
          <w:bCs/>
          <w:color w:val="000000"/>
          <w:sz w:val="24"/>
          <w:lang w:val="en-US" w:eastAsia="zh-CN"/>
        </w:rPr>
        <w:t>A份额</w:t>
      </w:r>
      <w:r>
        <w:rPr>
          <w:rFonts w:hint="eastAsia" w:ascii="宋体" w:hAnsi="宋体" w:cs="宋体"/>
          <w:bCs/>
          <w:color w:val="000000"/>
          <w:sz w:val="24"/>
        </w:rPr>
        <w:t>〗为例，假设购买时理财计划净值为1.00</w:t>
      </w:r>
      <w:r>
        <w:rPr>
          <w:rFonts w:hint="eastAsia" w:ascii="宋体" w:hAnsi="宋体" w:cs="宋体"/>
          <w:bCs/>
          <w:color w:val="000000"/>
          <w:sz w:val="24"/>
          <w:lang w:val="en-US" w:eastAsia="zh-CN"/>
        </w:rPr>
        <w:t>0000</w:t>
      </w:r>
      <w:r>
        <w:rPr>
          <w:rFonts w:hint="eastAsia" w:ascii="宋体" w:hAnsi="宋体" w:cs="宋体"/>
          <w:bCs/>
          <w:color w:val="000000"/>
          <w:sz w:val="24"/>
        </w:rPr>
        <w:t>元，折算份额为100,000.00份，假设投资理财计划364天。赎回时扣除托管费、固定管理费、销售服务费后，如理财计划单位净值为1.0426</w:t>
      </w:r>
      <w:r>
        <w:rPr>
          <w:rFonts w:hint="eastAsia" w:ascii="宋体" w:hAnsi="宋体" w:cs="宋体"/>
          <w:bCs/>
          <w:color w:val="000000"/>
          <w:sz w:val="24"/>
          <w:lang w:val="en-US" w:eastAsia="zh-CN"/>
        </w:rPr>
        <w:t>00</w:t>
      </w:r>
      <w:r>
        <w:rPr>
          <w:rFonts w:hint="eastAsia" w:ascii="宋体" w:hAnsi="宋体" w:cs="宋体"/>
          <w:bCs/>
          <w:color w:val="000000"/>
          <w:sz w:val="24"/>
        </w:rPr>
        <w:t>，期间无分红，此时，(1.0426</w:t>
      </w:r>
      <w:r>
        <w:rPr>
          <w:rFonts w:hint="eastAsia" w:ascii="宋体" w:hAnsi="宋体" w:cs="宋体"/>
          <w:bCs/>
          <w:color w:val="000000"/>
          <w:sz w:val="24"/>
          <w:lang w:val="en-US" w:eastAsia="zh-CN"/>
        </w:rPr>
        <w:t>00</w:t>
      </w:r>
      <w:r>
        <w:rPr>
          <w:rFonts w:hint="eastAsia" w:ascii="宋体" w:hAnsi="宋体" w:cs="宋体"/>
          <w:bCs/>
          <w:color w:val="000000"/>
          <w:sz w:val="24"/>
        </w:rPr>
        <w:t>/1.00</w:t>
      </w:r>
      <w:r>
        <w:rPr>
          <w:rFonts w:hint="eastAsia" w:ascii="宋体" w:hAnsi="宋体" w:cs="宋体"/>
          <w:bCs/>
          <w:color w:val="000000"/>
          <w:sz w:val="24"/>
          <w:lang w:val="en-US" w:eastAsia="zh-CN"/>
        </w:rPr>
        <w:t>0000</w:t>
      </w:r>
      <w:r>
        <w:rPr>
          <w:rFonts w:hint="eastAsia" w:ascii="宋体" w:hAnsi="宋体" w:cs="宋体"/>
          <w:bCs/>
          <w:color w:val="000000"/>
          <w:sz w:val="24"/>
        </w:rPr>
        <w:t>-1)×365/364=4.27%，即投资收益达到〖4.27%〗，投资者最终收益为：100,000.00×(1.0426</w:t>
      </w:r>
      <w:r>
        <w:rPr>
          <w:rFonts w:hint="eastAsia" w:ascii="宋体" w:hAnsi="宋体" w:cs="宋体"/>
          <w:bCs/>
          <w:color w:val="000000"/>
          <w:sz w:val="24"/>
          <w:lang w:val="en-US" w:eastAsia="zh-CN"/>
        </w:rPr>
        <w:t>00</w:t>
      </w:r>
      <w:r>
        <w:rPr>
          <w:rFonts w:hint="eastAsia" w:ascii="宋体" w:hAnsi="宋体" w:cs="宋体"/>
          <w:bCs/>
          <w:color w:val="000000"/>
          <w:sz w:val="24"/>
        </w:rPr>
        <w:t>-1.00</w:t>
      </w:r>
      <w:r>
        <w:rPr>
          <w:rFonts w:hint="eastAsia" w:ascii="宋体" w:hAnsi="宋体" w:cs="宋体"/>
          <w:bCs/>
          <w:color w:val="000000"/>
          <w:sz w:val="24"/>
          <w:lang w:val="en-US" w:eastAsia="zh-CN"/>
        </w:rPr>
        <w:t>0000</w:t>
      </w:r>
      <w:r>
        <w:rPr>
          <w:rFonts w:hint="eastAsia" w:ascii="宋体" w:hAnsi="宋体" w:cs="宋体"/>
          <w:bCs/>
          <w:color w:val="000000"/>
          <w:sz w:val="24"/>
        </w:rPr>
        <w:t>）=4,260.00（元）</w:t>
      </w:r>
    </w:p>
    <w:p>
      <w:pPr>
        <w:numPr>
          <w:ilvl w:val="0"/>
          <w:numId w:val="42"/>
        </w:numPr>
        <w:spacing w:line="360" w:lineRule="auto"/>
        <w:jc w:val="left"/>
        <w:rPr>
          <w:rFonts w:ascii="宋体" w:hAnsi="宋体" w:cs="宋体"/>
          <w:b/>
          <w:sz w:val="24"/>
        </w:rPr>
      </w:pPr>
      <w:r>
        <w:rPr>
          <w:rFonts w:hint="eastAsia" w:ascii="宋体" w:hAnsi="宋体" w:cs="宋体"/>
          <w:b/>
          <w:sz w:val="24"/>
        </w:rPr>
        <w:t>示例二</w:t>
      </w:r>
    </w:p>
    <w:p>
      <w:pPr>
        <w:spacing w:line="360" w:lineRule="auto"/>
        <w:ind w:firstLine="482" w:firstLineChars="200"/>
        <w:jc w:val="left"/>
        <w:rPr>
          <w:rFonts w:hint="eastAsia" w:ascii="宋体" w:hAnsi="宋体" w:cs="宋体"/>
          <w:b/>
          <w:color w:val="000000"/>
          <w:sz w:val="24"/>
        </w:rPr>
      </w:pPr>
      <w:r>
        <w:rPr>
          <w:rFonts w:hint="eastAsia" w:ascii="宋体" w:hAnsi="宋体" w:cs="宋体"/>
          <w:b/>
          <w:color w:val="000000"/>
          <w:sz w:val="24"/>
        </w:rPr>
        <w:t>扣除托管费、固定管理费、销售服务费</w:t>
      </w:r>
      <w:r>
        <w:rPr>
          <w:rFonts w:hint="eastAsia" w:ascii="宋体" w:hAnsi="宋体" w:cs="宋体"/>
          <w:b/>
          <w:color w:val="000000"/>
          <w:sz w:val="24"/>
        </w:rPr>
        <w:t>（如有）</w:t>
      </w:r>
      <w:r>
        <w:rPr>
          <w:rFonts w:hint="eastAsia" w:ascii="宋体" w:hAnsi="宋体" w:cs="宋体"/>
          <w:b/>
          <w:color w:val="000000"/>
          <w:sz w:val="24"/>
        </w:rPr>
        <w:t>后，投资发生亏损。</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rPr>
        <w:t>为例，假设购买时理财计划净值为1.00</w:t>
      </w:r>
      <w:r>
        <w:rPr>
          <w:rFonts w:hint="eastAsia" w:ascii="宋体" w:hAnsi="宋体" w:cs="宋体"/>
          <w:bCs/>
          <w:color w:val="000000"/>
          <w:sz w:val="24"/>
          <w:lang w:val="en-US" w:eastAsia="zh-CN"/>
        </w:rPr>
        <w:t>0000</w:t>
      </w:r>
      <w:r>
        <w:rPr>
          <w:rFonts w:hint="eastAsia" w:ascii="宋体" w:hAnsi="宋体" w:cs="宋体"/>
          <w:bCs/>
          <w:color w:val="000000"/>
          <w:sz w:val="24"/>
        </w:rPr>
        <w:t>元，折算份额为100,000.00份，假设投资理财计划364天。赎回时扣除托管费、固定管理费、销售服务费后，如理财计划单位净值为0.9975</w:t>
      </w:r>
      <w:r>
        <w:rPr>
          <w:rFonts w:hint="eastAsia" w:ascii="宋体" w:hAnsi="宋体" w:cs="宋体"/>
          <w:bCs/>
          <w:color w:val="000000"/>
          <w:sz w:val="24"/>
          <w:lang w:val="en-US" w:eastAsia="zh-CN"/>
        </w:rPr>
        <w:t>00</w:t>
      </w:r>
      <w:r>
        <w:rPr>
          <w:rFonts w:hint="eastAsia" w:ascii="宋体" w:hAnsi="宋体" w:cs="宋体"/>
          <w:bCs/>
          <w:color w:val="000000"/>
          <w:sz w:val="24"/>
        </w:rPr>
        <w:t>，期间无分红，投资者最终收益为：100,000.00×（0.9975</w:t>
      </w:r>
      <w:r>
        <w:rPr>
          <w:rFonts w:hint="eastAsia" w:ascii="宋体" w:hAnsi="宋体" w:cs="宋体"/>
          <w:bCs/>
          <w:color w:val="000000"/>
          <w:sz w:val="24"/>
          <w:lang w:val="en-US" w:eastAsia="zh-CN"/>
        </w:rPr>
        <w:t>00</w:t>
      </w:r>
      <w:r>
        <w:rPr>
          <w:rFonts w:hint="eastAsia" w:ascii="宋体" w:hAnsi="宋体" w:cs="宋体"/>
          <w:bCs/>
          <w:color w:val="000000"/>
          <w:sz w:val="24"/>
        </w:rPr>
        <w:t>-1.00</w:t>
      </w:r>
      <w:r>
        <w:rPr>
          <w:rFonts w:hint="eastAsia" w:ascii="宋体" w:hAnsi="宋体" w:cs="宋体"/>
          <w:bCs/>
          <w:color w:val="000000"/>
          <w:sz w:val="24"/>
          <w:lang w:val="en-US" w:eastAsia="zh-CN"/>
        </w:rPr>
        <w:t>0000</w:t>
      </w:r>
      <w:r>
        <w:rPr>
          <w:rFonts w:hint="eastAsia" w:ascii="宋体" w:hAnsi="宋体" w:cs="宋体"/>
          <w:bCs/>
          <w:color w:val="000000"/>
          <w:sz w:val="24"/>
        </w:rPr>
        <w:t>）=-250.00（元）。</w:t>
      </w:r>
    </w:p>
    <w:p>
      <w:pPr>
        <w:numPr>
          <w:ilvl w:val="0"/>
          <w:numId w:val="41"/>
        </w:numPr>
        <w:spacing w:line="360" w:lineRule="auto"/>
        <w:jc w:val="left"/>
        <w:rPr>
          <w:rFonts w:ascii="宋体" w:hAnsi="宋体" w:cs="宋体"/>
          <w:b/>
          <w:sz w:val="24"/>
        </w:rPr>
      </w:pPr>
      <w:r>
        <w:rPr>
          <w:rFonts w:hint="eastAsia" w:ascii="宋体" w:hAnsi="宋体" w:cs="宋体"/>
          <w:b/>
          <w:sz w:val="24"/>
        </w:rPr>
        <w:t>最不利情况分析</w:t>
      </w:r>
    </w:p>
    <w:p>
      <w:pPr>
        <w:spacing w:line="360" w:lineRule="auto"/>
        <w:ind w:firstLine="482" w:firstLineChars="200"/>
        <w:jc w:val="left"/>
        <w:rPr>
          <w:rFonts w:hint="eastAsia" w:ascii="宋体" w:hAnsi="宋体" w:cs="宋体"/>
          <w:b/>
          <w:color w:val="000000"/>
          <w:sz w:val="24"/>
        </w:rPr>
      </w:pPr>
      <w:r>
        <w:rPr>
          <w:rFonts w:hint="eastAsia" w:ascii="宋体" w:hAnsi="宋体" w:cs="宋体"/>
          <w:b/>
          <w:color w:val="000000"/>
          <w:sz w:val="24"/>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2" w:firstLineChars="200"/>
        <w:jc w:val="left"/>
        <w:rPr>
          <w:rFonts w:hint="eastAsia" w:ascii="宋体" w:hAnsi="宋体" w:cs="宋体"/>
          <w:b/>
          <w:color w:val="000000"/>
          <w:sz w:val="24"/>
        </w:rPr>
      </w:pPr>
    </w:p>
    <w:p>
      <w:pPr>
        <w:numPr>
          <w:ilvl w:val="0"/>
          <w:numId w:val="26"/>
        </w:numPr>
        <w:spacing w:line="360" w:lineRule="auto"/>
        <w:jc w:val="left"/>
        <w:rPr>
          <w:rFonts w:ascii="宋体" w:hAnsi="宋体" w:cs="宋体"/>
          <w:b/>
          <w:sz w:val="24"/>
        </w:rPr>
      </w:pPr>
      <w:r>
        <w:rPr>
          <w:rFonts w:hint="eastAsia" w:ascii="宋体" w:hAnsi="宋体" w:cs="宋体"/>
          <w:b/>
          <w:sz w:val="24"/>
        </w:rPr>
        <w:t>交易规则</w:t>
      </w:r>
    </w:p>
    <w:p>
      <w:pPr>
        <w:numPr>
          <w:ilvl w:val="0"/>
          <w:numId w:val="43"/>
        </w:numPr>
        <w:spacing w:line="360" w:lineRule="auto"/>
        <w:jc w:val="left"/>
        <w:rPr>
          <w:rFonts w:ascii="宋体" w:hAnsi="宋体" w:cs="宋体"/>
          <w:b/>
          <w:sz w:val="24"/>
        </w:rPr>
      </w:pPr>
      <w:r>
        <w:rPr>
          <w:rFonts w:hint="eastAsia" w:ascii="宋体" w:hAnsi="宋体" w:cs="宋体"/>
          <w:b/>
          <w:sz w:val="24"/>
        </w:rPr>
        <w:t>认购</w:t>
      </w:r>
    </w:p>
    <w:p>
      <w:pPr>
        <w:numPr>
          <w:ilvl w:val="0"/>
          <w:numId w:val="44"/>
        </w:numPr>
        <w:spacing w:line="360" w:lineRule="auto"/>
        <w:jc w:val="left"/>
        <w:rPr>
          <w:rFonts w:ascii="宋体" w:hAnsi="宋体" w:cs="宋体"/>
          <w:bCs/>
          <w:color w:val="000000"/>
          <w:sz w:val="24"/>
        </w:rPr>
      </w:pPr>
      <w:r>
        <w:rPr>
          <w:rFonts w:hint="eastAsia" w:ascii="宋体" w:hAnsi="宋体" w:cs="宋体"/>
          <w:bCs/>
          <w:color w:val="000000"/>
          <w:sz w:val="24"/>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4"/>
        </w:numPr>
        <w:spacing w:line="360" w:lineRule="auto"/>
        <w:jc w:val="left"/>
        <w:rPr>
          <w:rFonts w:ascii="宋体" w:hAnsi="宋体" w:cs="宋体"/>
          <w:bCs/>
          <w:color w:val="000000"/>
          <w:sz w:val="24"/>
        </w:rPr>
      </w:pPr>
      <w:r>
        <w:rPr>
          <w:rFonts w:hint="eastAsia" w:ascii="宋体" w:hAnsi="宋体" w:cs="宋体"/>
          <w:bCs/>
          <w:color w:val="000000"/>
          <w:sz w:val="24"/>
        </w:rPr>
        <w:t>理财计划认购期内，投资者可以对本理财计划进行认购、追加、撤单，相应投资资金将在投资者指定账户中冻结。</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3. 如新增认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3"/>
        </w:numPr>
        <w:spacing w:line="360" w:lineRule="auto"/>
        <w:jc w:val="left"/>
        <w:rPr>
          <w:rFonts w:ascii="宋体" w:hAnsi="宋体" w:cs="宋体"/>
          <w:b/>
          <w:sz w:val="24"/>
        </w:rPr>
      </w:pPr>
      <w:r>
        <w:rPr>
          <w:rFonts w:hint="eastAsia" w:ascii="宋体" w:hAnsi="宋体" w:cs="宋体"/>
          <w:b/>
          <w:sz w:val="24"/>
        </w:rPr>
        <w:t>成立</w:t>
      </w:r>
    </w:p>
    <w:p>
      <w:pPr>
        <w:numPr>
          <w:ilvl w:val="0"/>
          <w:numId w:val="45"/>
        </w:numPr>
        <w:spacing w:line="360" w:lineRule="auto"/>
        <w:jc w:val="left"/>
        <w:rPr>
          <w:rFonts w:ascii="宋体" w:hAnsi="宋体" w:cs="宋体"/>
          <w:bCs/>
          <w:color w:val="000000"/>
          <w:sz w:val="24"/>
        </w:rPr>
      </w:pPr>
      <w:r>
        <w:rPr>
          <w:rFonts w:hint="eastAsia" w:ascii="宋体" w:hAnsi="宋体" w:cs="宋体"/>
          <w:bCs/>
          <w:color w:val="000000"/>
          <w:sz w:val="24"/>
        </w:rPr>
        <w:t>销售机构有权以投资者的投资金额为限从投资者理财账户中进行资金扣划，无需投资者另行授权。</w:t>
      </w:r>
    </w:p>
    <w:p>
      <w:pPr>
        <w:numPr>
          <w:ilvl w:val="0"/>
          <w:numId w:val="45"/>
        </w:numPr>
        <w:spacing w:line="360" w:lineRule="auto"/>
        <w:jc w:val="left"/>
        <w:rPr>
          <w:rFonts w:ascii="宋体" w:hAnsi="宋体" w:cs="宋体"/>
          <w:b/>
          <w:sz w:val="24"/>
        </w:rPr>
      </w:pPr>
      <w:r>
        <w:rPr>
          <w:rFonts w:hint="eastAsia" w:ascii="宋体" w:hAnsi="宋体" w:cs="宋体"/>
          <w:bCs/>
          <w:color w:val="000000"/>
          <w:sz w:val="24"/>
        </w:rPr>
        <w:t>管理人将在理财计划成立日对认购期的认购及追加申请进行确认和划款。</w:t>
      </w:r>
    </w:p>
    <w:p>
      <w:pPr>
        <w:numPr>
          <w:ilvl w:val="0"/>
          <w:numId w:val="43"/>
        </w:numPr>
        <w:spacing w:line="360" w:lineRule="auto"/>
        <w:jc w:val="left"/>
        <w:rPr>
          <w:rFonts w:ascii="宋体" w:hAnsi="宋体" w:cs="宋体"/>
          <w:b/>
          <w:sz w:val="24"/>
        </w:rPr>
      </w:pPr>
      <w:r>
        <w:rPr>
          <w:rFonts w:hint="eastAsia" w:ascii="宋体" w:hAnsi="宋体" w:cs="宋体"/>
          <w:b/>
          <w:sz w:val="24"/>
        </w:rPr>
        <w:t>申购及赎回</w:t>
      </w:r>
    </w:p>
    <w:p>
      <w:pPr>
        <w:numPr>
          <w:ilvl w:val="0"/>
          <w:numId w:val="46"/>
        </w:numPr>
        <w:spacing w:line="360" w:lineRule="auto"/>
        <w:jc w:val="left"/>
        <w:rPr>
          <w:rFonts w:ascii="宋体" w:hAnsi="宋体" w:cs="宋体"/>
          <w:bCs/>
          <w:sz w:val="24"/>
        </w:rPr>
      </w:pPr>
      <w:r>
        <w:rPr>
          <w:rFonts w:hint="eastAsia" w:ascii="宋体" w:hAnsi="宋体" w:cs="宋体"/>
          <w:bCs/>
          <w:sz w:val="24"/>
        </w:rPr>
        <w:t>交易确认及时间</w:t>
      </w:r>
    </w:p>
    <w:p>
      <w:pPr>
        <w:numPr>
          <w:ilvl w:val="0"/>
          <w:numId w:val="47"/>
        </w:numPr>
        <w:spacing w:line="360" w:lineRule="auto"/>
        <w:ind w:firstLine="480" w:firstLineChars="200"/>
        <w:jc w:val="left"/>
        <w:rPr>
          <w:rFonts w:hint="eastAsia" w:ascii="宋体" w:hAnsi="宋体" w:cs="宋体"/>
          <w:bCs/>
          <w:sz w:val="24"/>
        </w:rPr>
      </w:pPr>
      <w:r>
        <w:rPr>
          <w:rFonts w:hint="eastAsia" w:ascii="宋体" w:hAnsi="宋体" w:cs="宋体"/>
          <w:bCs/>
          <w:sz w:val="24"/>
        </w:rPr>
        <w:t>本理财计划在每个开放期的工作时间可进行申购</w:t>
      </w:r>
      <w:r>
        <w:rPr>
          <w:rFonts w:hint="eastAsia" w:ascii="宋体" w:hAnsi="宋体" w:cs="宋体"/>
          <w:bCs/>
          <w:sz w:val="24"/>
          <w:lang w:val="en-US" w:eastAsia="zh-CN"/>
        </w:rPr>
        <w:t>、赎回和撤单</w:t>
      </w:r>
      <w:r>
        <w:rPr>
          <w:rFonts w:hint="eastAsia" w:ascii="宋体" w:hAnsi="宋体" w:cs="宋体"/>
          <w:bCs/>
          <w:sz w:val="24"/>
          <w:lang w:val="en-US" w:eastAsia="zh-CN"/>
        </w:rPr>
        <w:t>申请</w:t>
      </w:r>
      <w:r>
        <w:rPr>
          <w:rFonts w:hint="eastAsia" w:ascii="宋体" w:hAnsi="宋体" w:cs="宋体"/>
          <w:bCs/>
          <w:sz w:val="24"/>
        </w:rPr>
        <w:t>，申购</w:t>
      </w:r>
      <w:r>
        <w:rPr>
          <w:rFonts w:hint="eastAsia" w:ascii="宋体" w:hAnsi="宋体" w:cs="宋体"/>
          <w:bCs/>
          <w:sz w:val="24"/>
          <w:lang w:val="en-US" w:eastAsia="zh-CN"/>
        </w:rPr>
        <w:t>和赎回</w:t>
      </w:r>
      <w:r>
        <w:rPr>
          <w:rFonts w:hint="eastAsia" w:ascii="宋体" w:hAnsi="宋体" w:cs="宋体"/>
          <w:bCs/>
          <w:sz w:val="24"/>
        </w:rPr>
        <w:t>申请将在确认日进行确认，即开放期后的第〖1〗个交易日进行确认。</w:t>
      </w:r>
    </w:p>
    <w:p>
      <w:pPr>
        <w:numPr>
          <w:ilvl w:val="0"/>
          <w:numId w:val="47"/>
        </w:numPr>
        <w:spacing w:line="360" w:lineRule="auto"/>
        <w:ind w:firstLine="480" w:firstLineChars="200"/>
        <w:jc w:val="left"/>
        <w:rPr>
          <w:rFonts w:ascii="宋体" w:hAnsi="宋体" w:cs="宋体"/>
          <w:bCs/>
          <w:sz w:val="24"/>
        </w:rPr>
      </w:pPr>
      <w:r>
        <w:rPr>
          <w:rFonts w:hint="eastAsia" w:ascii="宋体" w:hAnsi="宋体" w:cs="宋体"/>
          <w:bCs/>
          <w:sz w:val="24"/>
        </w:rPr>
        <w:t>工作时间为每个交易日上午〖9:00〗至下午〖</w:t>
      </w:r>
      <w:r>
        <w:rPr>
          <w:rFonts w:hint="eastAsia" w:ascii="宋体" w:hAnsi="宋体" w:cs="宋体"/>
          <w:bCs/>
          <w:sz w:val="24"/>
          <w:lang w:eastAsia="zh-CN"/>
        </w:rPr>
        <w:t>1</w:t>
      </w:r>
      <w:r>
        <w:rPr>
          <w:rFonts w:hint="eastAsia" w:ascii="宋体" w:hAnsi="宋体" w:cs="宋体"/>
          <w:bCs/>
          <w:sz w:val="24"/>
          <w:lang w:val="en-US" w:eastAsia="zh-CN"/>
        </w:rPr>
        <w:t>7</w:t>
      </w:r>
      <w:r>
        <w:rPr>
          <w:rFonts w:hint="eastAsia" w:ascii="宋体" w:hAnsi="宋体" w:cs="宋体"/>
          <w:bCs/>
          <w:sz w:val="24"/>
          <w:lang w:eastAsia="zh-CN"/>
        </w:rPr>
        <w:t>:</w:t>
      </w:r>
      <w:r>
        <w:rPr>
          <w:rFonts w:hint="eastAsia" w:ascii="宋体" w:hAnsi="宋体" w:cs="宋体"/>
          <w:bCs/>
          <w:sz w:val="24"/>
          <w:lang w:val="en-US" w:eastAsia="zh-CN"/>
        </w:rPr>
        <w:t>0</w:t>
      </w:r>
      <w:r>
        <w:rPr>
          <w:rFonts w:hint="eastAsia" w:ascii="宋体" w:hAnsi="宋体" w:cs="宋体"/>
          <w:bCs/>
          <w:sz w:val="24"/>
          <w:lang w:val="en-US" w:eastAsia="zh-CN"/>
        </w:rPr>
        <w:t>0</w:t>
      </w:r>
      <w:r>
        <w:rPr>
          <w:rFonts w:hint="eastAsia" w:ascii="宋体" w:hAnsi="宋体" w:cs="宋体"/>
          <w:bCs/>
          <w:sz w:val="24"/>
        </w:rPr>
        <w:t>〗</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具体以销售机构销售要素为准</w:t>
      </w:r>
      <w:r>
        <w:rPr>
          <w:rFonts w:hint="eastAsia" w:ascii="宋体" w:hAnsi="宋体" w:cs="宋体"/>
          <w:bCs/>
          <w:color w:val="auto"/>
          <w:sz w:val="24"/>
          <w:szCs w:val="24"/>
          <w:lang w:eastAsia="zh-CN"/>
        </w:rPr>
        <w:t>）</w:t>
      </w:r>
      <w:r>
        <w:rPr>
          <w:rFonts w:hint="eastAsia" w:ascii="宋体" w:hAnsi="宋体" w:cs="宋体"/>
          <w:bCs/>
          <w:sz w:val="24"/>
        </w:rPr>
        <w:t>。</w:t>
      </w:r>
    </w:p>
    <w:p>
      <w:pPr>
        <w:numPr>
          <w:ilvl w:val="0"/>
          <w:numId w:val="47"/>
        </w:numPr>
        <w:spacing w:line="360" w:lineRule="auto"/>
        <w:ind w:firstLine="480" w:firstLineChars="200"/>
        <w:jc w:val="left"/>
        <w:rPr>
          <w:rFonts w:hint="eastAsia" w:ascii="宋体" w:hAnsi="宋体" w:cs="宋体"/>
          <w:bCs/>
          <w:sz w:val="24"/>
        </w:rPr>
      </w:pPr>
      <w:r>
        <w:rPr>
          <w:rFonts w:hint="eastAsia" w:ascii="宋体" w:hAnsi="宋体" w:cs="宋体"/>
          <w:bCs/>
          <w:color w:val="auto"/>
          <w:sz w:val="24"/>
          <w:szCs w:val="24"/>
        </w:rPr>
        <w:t>在开放期</w:t>
      </w:r>
      <w:r>
        <w:rPr>
          <w:rFonts w:hint="eastAsia" w:ascii="宋体" w:hAnsi="宋体" w:cs="宋体"/>
          <w:bCs/>
          <w:color w:val="auto"/>
          <w:sz w:val="24"/>
          <w:szCs w:val="24"/>
          <w:lang w:val="en-US" w:eastAsia="zh-CN"/>
        </w:rPr>
        <w:t>的</w:t>
      </w:r>
      <w:r>
        <w:rPr>
          <w:rFonts w:hint="eastAsia" w:ascii="宋体" w:hAnsi="宋体" w:cs="宋体"/>
          <w:bCs/>
          <w:color w:val="auto"/>
          <w:sz w:val="24"/>
          <w:szCs w:val="24"/>
        </w:rPr>
        <w:t>工作时间内提交的申购/赎回申请，将作为当日申请处理；在开放期</w:t>
      </w:r>
      <w:r>
        <w:rPr>
          <w:rFonts w:hint="eastAsia" w:ascii="宋体" w:hAnsi="宋体" w:cs="宋体"/>
          <w:bCs/>
          <w:color w:val="auto"/>
          <w:sz w:val="24"/>
          <w:szCs w:val="24"/>
          <w:lang w:val="en-US" w:eastAsia="zh-CN"/>
        </w:rPr>
        <w:t>的</w:t>
      </w:r>
      <w:r>
        <w:rPr>
          <w:rFonts w:hint="eastAsia" w:ascii="宋体" w:hAnsi="宋体" w:cs="宋体"/>
          <w:bCs/>
          <w:color w:val="auto"/>
          <w:sz w:val="24"/>
          <w:szCs w:val="24"/>
        </w:rPr>
        <w:t>工作时间结束后及非开放期提交的申购/赎回申请，将作为下一开放期的申请处理。</w:t>
      </w:r>
    </w:p>
    <w:p>
      <w:pPr>
        <w:numPr>
          <w:ilvl w:val="0"/>
          <w:numId w:val="47"/>
        </w:numPr>
        <w:spacing w:line="360" w:lineRule="auto"/>
        <w:ind w:firstLine="480" w:firstLineChars="200"/>
        <w:jc w:val="left"/>
        <w:rPr>
          <w:rFonts w:ascii="宋体" w:hAnsi="宋体" w:cs="宋体"/>
          <w:bCs/>
          <w:sz w:val="24"/>
        </w:rPr>
      </w:pPr>
      <w:r>
        <w:rPr>
          <w:rFonts w:hint="eastAsia" w:ascii="宋体" w:hAnsi="宋体" w:cs="宋体"/>
          <w:bCs/>
          <w:sz w:val="24"/>
        </w:rPr>
        <w:t>如</w:t>
      </w:r>
      <w:r>
        <w:rPr>
          <w:rFonts w:hint="eastAsia" w:ascii="宋体" w:hAnsi="宋体" w:cs="宋体"/>
          <w:bCs/>
          <w:color w:val="000000"/>
          <w:sz w:val="24"/>
        </w:rPr>
        <w:t>新增申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6"/>
        </w:numPr>
        <w:spacing w:line="360" w:lineRule="auto"/>
        <w:jc w:val="left"/>
        <w:rPr>
          <w:rFonts w:ascii="宋体" w:hAnsi="宋体" w:cs="宋体"/>
          <w:bCs/>
          <w:sz w:val="24"/>
        </w:rPr>
      </w:pPr>
      <w:r>
        <w:rPr>
          <w:rFonts w:hint="eastAsia" w:ascii="宋体" w:hAnsi="宋体" w:cs="宋体"/>
          <w:bCs/>
          <w:sz w:val="24"/>
        </w:rPr>
        <w:t>到账时间</w:t>
      </w:r>
    </w:p>
    <w:p>
      <w:pPr>
        <w:spacing w:line="360" w:lineRule="auto"/>
        <w:ind w:firstLine="480" w:firstLineChars="200"/>
        <w:jc w:val="left"/>
        <w:rPr>
          <w:rFonts w:hint="eastAsia" w:ascii="宋体" w:hAnsi="宋体" w:cs="宋体"/>
          <w:bCs/>
          <w:sz w:val="24"/>
        </w:rPr>
      </w:pPr>
      <w:r>
        <w:rPr>
          <w:rFonts w:hint="eastAsia" w:ascii="宋体" w:hAnsi="宋体" w:cs="宋体"/>
          <w:bCs/>
          <w:sz w:val="24"/>
        </w:rPr>
        <w:t>赎回资金确认后，</w:t>
      </w:r>
      <w:r>
        <w:rPr>
          <w:rFonts w:hint="eastAsia" w:ascii="宋体" w:hAnsi="宋体" w:cs="宋体"/>
          <w:bCs/>
          <w:color w:val="auto"/>
          <w:sz w:val="24"/>
          <w:szCs w:val="24"/>
        </w:rPr>
        <w:t>最快</w:t>
      </w:r>
      <w:r>
        <w:rPr>
          <w:rFonts w:hint="eastAsia" w:ascii="宋体" w:hAnsi="宋体" w:cs="宋体"/>
          <w:bCs/>
          <w:color w:val="auto"/>
          <w:sz w:val="24"/>
          <w:szCs w:val="24"/>
          <w:lang w:val="en-US" w:eastAsia="zh-CN"/>
        </w:rPr>
        <w:t>于确认日当日</w:t>
      </w:r>
      <w:r>
        <w:rPr>
          <w:rFonts w:hint="eastAsia" w:ascii="宋体" w:hAnsi="宋体" w:cs="宋体"/>
          <w:bCs/>
          <w:color w:val="auto"/>
          <w:sz w:val="24"/>
          <w:szCs w:val="24"/>
        </w:rPr>
        <w:t>，最晚</w:t>
      </w:r>
      <w:r>
        <w:rPr>
          <w:rFonts w:hint="eastAsia" w:ascii="宋体" w:hAnsi="宋体" w:cs="宋体"/>
          <w:bCs/>
          <w:color w:val="auto"/>
          <w:sz w:val="24"/>
          <w:szCs w:val="24"/>
          <w:lang w:val="en-US" w:eastAsia="zh-CN"/>
        </w:rPr>
        <w:t>于确认日后</w:t>
      </w:r>
      <w:r>
        <w:rPr>
          <w:rFonts w:hint="eastAsia" w:ascii="宋体" w:hAnsi="宋体" w:cs="宋体"/>
          <w:bCs/>
          <w:sz w:val="24"/>
          <w:szCs w:val="24"/>
        </w:rPr>
        <w:t>〖</w:t>
      </w:r>
      <w:r>
        <w:rPr>
          <w:rFonts w:hint="eastAsia" w:ascii="宋体" w:hAnsi="宋体" w:cs="宋体"/>
          <w:bCs/>
          <w:sz w:val="24"/>
          <w:szCs w:val="24"/>
          <w:lang w:val="en-US" w:eastAsia="zh-CN"/>
        </w:rPr>
        <w:t>2</w:t>
      </w:r>
      <w:r>
        <w:rPr>
          <w:rFonts w:hint="eastAsia" w:ascii="宋体" w:hAnsi="宋体" w:cs="宋体"/>
          <w:bCs/>
          <w:sz w:val="24"/>
          <w:szCs w:val="24"/>
        </w:rPr>
        <w:t>〗</w:t>
      </w:r>
      <w:r>
        <w:rPr>
          <w:rFonts w:hint="eastAsia" w:ascii="宋体" w:hAnsi="宋体" w:cs="宋体"/>
          <w:bCs/>
          <w:color w:val="auto"/>
          <w:sz w:val="24"/>
          <w:szCs w:val="24"/>
        </w:rPr>
        <w:t>个交易日内</w:t>
      </w:r>
      <w:r>
        <w:rPr>
          <w:rFonts w:hint="eastAsia" w:ascii="宋体" w:hAnsi="宋体" w:cs="宋体"/>
          <w:bCs/>
          <w:sz w:val="24"/>
        </w:rPr>
        <w:t>（遇节假日顺延）理财资金与收益将一次性支付。如遇资金在途或法定工作日调整，实际资金到账日以公告为准。</w:t>
      </w:r>
      <w:r>
        <w:rPr>
          <w:rFonts w:hint="eastAsia" w:ascii="宋体" w:hAnsi="宋体" w:cs="宋体"/>
          <w:color w:val="000000"/>
          <w:kern w:val="0"/>
          <w:sz w:val="24"/>
          <w:szCs w:val="24"/>
        </w:rPr>
        <w:t>（具体以销售机构规定为准）</w:t>
      </w:r>
    </w:p>
    <w:p>
      <w:pPr>
        <w:numPr>
          <w:ilvl w:val="0"/>
          <w:numId w:val="46"/>
        </w:numPr>
        <w:spacing w:line="360" w:lineRule="auto"/>
        <w:jc w:val="left"/>
        <w:rPr>
          <w:rFonts w:ascii="宋体" w:hAnsi="宋体" w:cs="宋体"/>
          <w:bCs/>
          <w:sz w:val="24"/>
        </w:rPr>
      </w:pPr>
      <w:r>
        <w:rPr>
          <w:rFonts w:hint="eastAsia" w:ascii="宋体" w:hAnsi="宋体" w:cs="宋体"/>
          <w:bCs/>
          <w:sz w:val="24"/>
        </w:rPr>
        <w:t>巨额赎回处理</w:t>
      </w:r>
    </w:p>
    <w:p>
      <w:pPr>
        <w:numPr>
          <w:ilvl w:val="0"/>
          <w:numId w:val="48"/>
        </w:numPr>
        <w:spacing w:line="360" w:lineRule="auto"/>
        <w:ind w:firstLine="480" w:firstLineChars="200"/>
        <w:jc w:val="left"/>
        <w:rPr>
          <w:rFonts w:hint="eastAsia" w:ascii="宋体" w:hAnsi="宋体" w:cs="宋体"/>
          <w:bCs/>
          <w:sz w:val="24"/>
        </w:rPr>
      </w:pPr>
      <w:r>
        <w:rPr>
          <w:rFonts w:hint="eastAsia" w:ascii="宋体" w:hAnsi="宋体" w:cs="宋体"/>
          <w:bCs/>
          <w:sz w:val="24"/>
        </w:rPr>
        <w:t>巨额赎回认定</w:t>
      </w:r>
    </w:p>
    <w:p>
      <w:pPr>
        <w:spacing w:line="360" w:lineRule="auto"/>
        <w:ind w:firstLine="480" w:firstLineChars="200"/>
        <w:jc w:val="left"/>
        <w:rPr>
          <w:rFonts w:ascii="宋体" w:hAnsi="宋体" w:cs="宋体"/>
          <w:bCs/>
          <w:sz w:val="24"/>
        </w:rPr>
      </w:pPr>
      <w:r>
        <w:rPr>
          <w:rFonts w:hint="eastAsia" w:ascii="宋体" w:hAnsi="宋体" w:cs="宋体"/>
          <w:bCs/>
          <w:sz w:val="24"/>
        </w:rPr>
        <w:t>理财计划存续期内，若理财计划开放日净赎回申请份额超过上一日日终理财计划总份额〖10%〗时，即构成巨额赎回。</w:t>
      </w:r>
    </w:p>
    <w:p>
      <w:pPr>
        <w:numPr>
          <w:ilvl w:val="0"/>
          <w:numId w:val="48"/>
        </w:numPr>
        <w:spacing w:line="360" w:lineRule="auto"/>
        <w:ind w:firstLine="480" w:firstLineChars="200"/>
        <w:jc w:val="left"/>
        <w:rPr>
          <w:rFonts w:ascii="宋体" w:hAnsi="宋体" w:cs="宋体"/>
          <w:bCs/>
          <w:sz w:val="24"/>
        </w:rPr>
      </w:pPr>
      <w:r>
        <w:rPr>
          <w:rFonts w:hint="eastAsia" w:ascii="宋体" w:hAnsi="宋体" w:cs="宋体"/>
          <w:bCs/>
          <w:sz w:val="24"/>
        </w:rPr>
        <w:t>巨额赎回处理</w:t>
      </w:r>
    </w:p>
    <w:p>
      <w:pPr>
        <w:spacing w:line="360" w:lineRule="auto"/>
        <w:ind w:firstLine="480" w:firstLineChars="200"/>
        <w:jc w:val="left"/>
        <w:rPr>
          <w:rFonts w:ascii="宋体" w:hAnsi="宋体" w:cs="宋体"/>
          <w:bCs/>
          <w:sz w:val="24"/>
        </w:rPr>
      </w:pPr>
      <w:r>
        <w:rPr>
          <w:rFonts w:hint="eastAsia" w:ascii="宋体" w:hAnsi="宋体" w:cs="宋体"/>
          <w:bCs/>
          <w:sz w:val="24"/>
        </w:rPr>
        <w:t>当出现巨额赎回时，管理人可以根据资产组合状况决定采取全额赎回或拒绝超出部分的赎回申请。如连续2日（含）以上开放日发生巨额赎回，对于已经接受的赎回申请，管理人可以延缓支付赎回款项，但延缓期限不得超过20个工作日。</w:t>
      </w:r>
    </w:p>
    <w:p>
      <w:pPr>
        <w:numPr>
          <w:ilvl w:val="0"/>
          <w:numId w:val="48"/>
        </w:numPr>
        <w:spacing w:line="360" w:lineRule="auto"/>
        <w:ind w:firstLine="480" w:firstLineChars="200"/>
        <w:jc w:val="left"/>
        <w:rPr>
          <w:rFonts w:ascii="宋体" w:hAnsi="宋体" w:cs="宋体"/>
          <w:bCs/>
          <w:sz w:val="24"/>
        </w:rPr>
      </w:pPr>
      <w:r>
        <w:rPr>
          <w:rFonts w:hint="eastAsia" w:ascii="宋体" w:hAnsi="宋体" w:cs="宋体"/>
          <w:bCs/>
          <w:sz w:val="24"/>
        </w:rPr>
        <w:t>全部赎回</w:t>
      </w:r>
    </w:p>
    <w:p>
      <w:pPr>
        <w:spacing w:line="360" w:lineRule="auto"/>
        <w:ind w:firstLine="480" w:firstLineChars="200"/>
        <w:jc w:val="left"/>
        <w:rPr>
          <w:rFonts w:ascii="宋体" w:hAnsi="宋体" w:cs="宋体"/>
          <w:bCs/>
          <w:sz w:val="24"/>
        </w:rPr>
      </w:pPr>
      <w:r>
        <w:rPr>
          <w:rFonts w:hint="eastAsia" w:ascii="宋体" w:hAnsi="宋体" w:cs="宋体"/>
          <w:bCs/>
          <w:sz w:val="24"/>
        </w:rPr>
        <w:t>当管理人认为全额兑付投资者的赎回申请将不会对本理财计划净值造成较大波动或给本理财计划造成重大损失时，按正常赎回程序执行。</w:t>
      </w:r>
    </w:p>
    <w:p>
      <w:pPr>
        <w:numPr>
          <w:ilvl w:val="0"/>
          <w:numId w:val="48"/>
        </w:numPr>
        <w:spacing w:line="360" w:lineRule="auto"/>
        <w:ind w:firstLine="480" w:firstLineChars="200"/>
        <w:jc w:val="left"/>
        <w:rPr>
          <w:rFonts w:ascii="宋体" w:hAnsi="宋体" w:cs="宋体"/>
          <w:bCs/>
          <w:sz w:val="24"/>
        </w:rPr>
      </w:pPr>
      <w:r>
        <w:rPr>
          <w:rFonts w:hint="eastAsia" w:ascii="宋体" w:hAnsi="宋体" w:cs="宋体"/>
          <w:bCs/>
          <w:sz w:val="24"/>
        </w:rPr>
        <w:t>拒绝超出部分的赎回申请</w:t>
      </w:r>
    </w:p>
    <w:p>
      <w:pPr>
        <w:spacing w:line="360" w:lineRule="auto"/>
        <w:ind w:firstLine="480" w:firstLineChars="200"/>
        <w:jc w:val="left"/>
        <w:rPr>
          <w:rFonts w:ascii="宋体" w:hAnsi="宋体" w:cs="宋体"/>
          <w:bCs/>
          <w:sz w:val="24"/>
        </w:rPr>
      </w:pPr>
      <w:r>
        <w:rPr>
          <w:rFonts w:hint="eastAsia" w:ascii="宋体" w:hAnsi="宋体" w:cs="宋体"/>
          <w:bCs/>
          <w:sz w:val="24"/>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48"/>
        </w:numPr>
        <w:spacing w:line="360" w:lineRule="auto"/>
        <w:ind w:firstLine="480" w:firstLineChars="200"/>
        <w:jc w:val="left"/>
        <w:rPr>
          <w:rFonts w:hint="eastAsia" w:ascii="宋体" w:hAnsi="宋体" w:cs="宋体"/>
          <w:bCs/>
          <w:sz w:val="24"/>
        </w:rPr>
      </w:pPr>
      <w:r>
        <w:rPr>
          <w:rFonts w:hint="eastAsia" w:ascii="宋体" w:hAnsi="宋体" w:cs="宋体"/>
          <w:bCs/>
          <w:sz w:val="24"/>
        </w:rPr>
        <w:t>在理财计划存续期内，管理人有权根据市场情况调整巨额赎回金额比例，并及时进行对外公告。</w:t>
      </w:r>
    </w:p>
    <w:p>
      <w:pPr>
        <w:numPr>
          <w:ilvl w:val="0"/>
          <w:numId w:val="46"/>
        </w:numPr>
        <w:spacing w:line="360" w:lineRule="auto"/>
        <w:jc w:val="left"/>
        <w:rPr>
          <w:rFonts w:hint="eastAsia" w:ascii="宋体" w:hAnsi="宋体" w:cs="宋体"/>
          <w:bCs/>
          <w:sz w:val="24"/>
        </w:rPr>
      </w:pPr>
      <w:r>
        <w:rPr>
          <w:rFonts w:hint="eastAsia" w:ascii="宋体" w:hAnsi="宋体" w:cs="宋体"/>
          <w:bCs/>
          <w:sz w:val="24"/>
        </w:rPr>
        <w:t>暂停申购、赎回及延期支付赎回的情形</w:t>
      </w:r>
    </w:p>
    <w:p>
      <w:pPr>
        <w:spacing w:line="360" w:lineRule="auto"/>
        <w:ind w:firstLine="480" w:firstLineChars="200"/>
        <w:jc w:val="left"/>
        <w:rPr>
          <w:rFonts w:hint="eastAsia" w:ascii="宋体" w:hAnsi="宋体" w:cs="宋体"/>
          <w:bCs/>
          <w:sz w:val="24"/>
        </w:rPr>
      </w:pPr>
      <w:r>
        <w:rPr>
          <w:rFonts w:hint="eastAsia" w:ascii="宋体" w:hAnsi="宋体" w:cs="宋体"/>
          <w:bCs/>
          <w:sz w:val="24"/>
        </w:rPr>
        <w:t>发生以下情形，管理人可暂停接受全部或部分投资者的申购申请：</w:t>
      </w:r>
    </w:p>
    <w:p>
      <w:pPr>
        <w:numPr>
          <w:ilvl w:val="0"/>
          <w:numId w:val="49"/>
        </w:numPr>
        <w:spacing w:line="360" w:lineRule="auto"/>
        <w:ind w:firstLine="480" w:firstLineChars="200"/>
        <w:jc w:val="left"/>
        <w:rPr>
          <w:rFonts w:ascii="宋体" w:hAnsi="宋体" w:cs="宋体"/>
          <w:bCs/>
          <w:sz w:val="24"/>
        </w:rPr>
      </w:pPr>
      <w:r>
        <w:rPr>
          <w:rFonts w:hint="eastAsia" w:ascii="宋体" w:hAnsi="宋体" w:cs="宋体"/>
          <w:bCs/>
          <w:sz w:val="24"/>
        </w:rPr>
        <w:t>理财计划资产规模过大，继续接受申购可能对理财计划业绩产生负面影响，从而损害现有份额持有人利益的情形时。</w:t>
      </w:r>
    </w:p>
    <w:p>
      <w:pPr>
        <w:numPr>
          <w:ilvl w:val="0"/>
          <w:numId w:val="49"/>
        </w:numPr>
        <w:spacing w:line="360" w:lineRule="auto"/>
        <w:ind w:firstLine="480" w:firstLineChars="200"/>
        <w:jc w:val="left"/>
        <w:rPr>
          <w:rFonts w:ascii="宋体" w:hAnsi="宋体" w:cs="宋体"/>
          <w:bCs/>
          <w:sz w:val="24"/>
        </w:rPr>
      </w:pPr>
      <w:r>
        <w:rPr>
          <w:rFonts w:hint="eastAsia" w:ascii="宋体" w:hAnsi="宋体" w:cs="宋体"/>
          <w:bCs/>
          <w:sz w:val="24"/>
        </w:rPr>
        <w:t>当管理人认为某笔申购申请会有损于其他份额持有人利益的情形时。</w:t>
      </w:r>
    </w:p>
    <w:p>
      <w:pPr>
        <w:numPr>
          <w:ilvl w:val="0"/>
          <w:numId w:val="49"/>
        </w:numPr>
        <w:spacing w:line="360" w:lineRule="auto"/>
        <w:ind w:firstLine="480" w:firstLineChars="200"/>
        <w:jc w:val="left"/>
        <w:rPr>
          <w:rFonts w:ascii="宋体" w:hAnsi="宋体" w:cs="宋体"/>
          <w:bCs/>
          <w:sz w:val="24"/>
        </w:rPr>
      </w:pPr>
      <w:r>
        <w:rPr>
          <w:rFonts w:hint="eastAsia" w:ascii="宋体" w:hAnsi="宋体" w:cs="宋体"/>
          <w:bCs/>
          <w:sz w:val="24"/>
        </w:rPr>
        <w:t>发生产品说明书约定的暂停估值的情形时。</w:t>
      </w:r>
    </w:p>
    <w:p>
      <w:pPr>
        <w:numPr>
          <w:ilvl w:val="0"/>
          <w:numId w:val="49"/>
        </w:numPr>
        <w:spacing w:line="360" w:lineRule="auto"/>
        <w:ind w:firstLine="480" w:firstLineChars="200"/>
        <w:jc w:val="left"/>
        <w:rPr>
          <w:rFonts w:ascii="宋体" w:hAnsi="宋体" w:cs="宋体"/>
          <w:bCs/>
          <w:sz w:val="24"/>
        </w:rPr>
      </w:pPr>
      <w:r>
        <w:rPr>
          <w:rFonts w:hint="eastAsia" w:ascii="宋体" w:hAnsi="宋体" w:cs="宋体"/>
          <w:bCs/>
          <w:sz w:val="24"/>
        </w:rPr>
        <w:t>法律法规规定或监管机构认定的其他情形。</w:t>
      </w:r>
    </w:p>
    <w:p>
      <w:pPr>
        <w:spacing w:line="360" w:lineRule="auto"/>
        <w:ind w:firstLine="480" w:firstLineChars="200"/>
        <w:jc w:val="left"/>
        <w:rPr>
          <w:rFonts w:hint="eastAsia" w:ascii="宋体" w:hAnsi="宋体" w:cs="宋体"/>
          <w:bCs/>
          <w:sz w:val="24"/>
        </w:rPr>
      </w:pPr>
      <w:r>
        <w:rPr>
          <w:rFonts w:hint="eastAsia" w:ascii="宋体" w:hAnsi="宋体" w:cs="宋体"/>
          <w:bCs/>
          <w:sz w:val="24"/>
        </w:rPr>
        <w:t>发生以下情形，对超出前一日终理财产品总份额10%的赎回申请，管理人可暂停接受全部或部分、延期办理投资者的赎回申请：</w:t>
      </w:r>
    </w:p>
    <w:p>
      <w:pPr>
        <w:numPr>
          <w:ilvl w:val="0"/>
          <w:numId w:val="50"/>
        </w:numPr>
        <w:spacing w:line="360" w:lineRule="auto"/>
        <w:ind w:firstLine="480" w:firstLineChars="200"/>
        <w:jc w:val="left"/>
        <w:rPr>
          <w:rFonts w:ascii="宋体" w:hAnsi="宋体" w:cs="宋体"/>
          <w:bCs/>
          <w:sz w:val="24"/>
        </w:rPr>
      </w:pPr>
      <w:r>
        <w:rPr>
          <w:rFonts w:hint="eastAsia" w:ascii="宋体" w:hAnsi="宋体" w:cs="宋体"/>
          <w:bCs/>
          <w:sz w:val="24"/>
        </w:rPr>
        <w:t>理财计划发生巨额赎回情形时。</w:t>
      </w:r>
    </w:p>
    <w:p>
      <w:pPr>
        <w:numPr>
          <w:ilvl w:val="0"/>
          <w:numId w:val="50"/>
        </w:numPr>
        <w:spacing w:line="360" w:lineRule="auto"/>
        <w:ind w:firstLine="480" w:firstLineChars="200"/>
        <w:jc w:val="left"/>
        <w:rPr>
          <w:rFonts w:ascii="宋体" w:hAnsi="宋体" w:cs="宋体"/>
          <w:bCs/>
          <w:sz w:val="24"/>
        </w:rPr>
      </w:pPr>
      <w:r>
        <w:rPr>
          <w:rFonts w:hint="eastAsia" w:ascii="宋体" w:hAnsi="宋体" w:cs="宋体"/>
          <w:bCs/>
          <w:sz w:val="24"/>
        </w:rPr>
        <w:t>当继续</w:t>
      </w:r>
      <w:r>
        <w:rPr>
          <w:rFonts w:ascii="宋体" w:hAnsi="宋体" w:cs="宋体"/>
          <w:bCs/>
          <w:sz w:val="24"/>
        </w:rPr>
        <w:t>接受赎回申请将损害存量投资者利益的情形</w:t>
      </w:r>
      <w:r>
        <w:rPr>
          <w:rFonts w:hint="eastAsia" w:ascii="宋体" w:hAnsi="宋体" w:cs="宋体"/>
          <w:bCs/>
          <w:sz w:val="24"/>
        </w:rPr>
        <w:t>时。</w:t>
      </w:r>
    </w:p>
    <w:p>
      <w:pPr>
        <w:numPr>
          <w:ilvl w:val="0"/>
          <w:numId w:val="50"/>
        </w:numPr>
        <w:spacing w:line="360" w:lineRule="auto"/>
        <w:ind w:firstLine="480" w:firstLineChars="200"/>
        <w:jc w:val="left"/>
        <w:rPr>
          <w:rFonts w:ascii="宋体" w:hAnsi="宋体" w:cs="宋体"/>
          <w:bCs/>
          <w:sz w:val="24"/>
        </w:rPr>
      </w:pPr>
      <w:r>
        <w:rPr>
          <w:rFonts w:hint="eastAsia" w:ascii="宋体" w:hAnsi="宋体" w:cs="宋体"/>
          <w:bCs/>
          <w:sz w:val="24"/>
        </w:rPr>
        <w:t>当</w:t>
      </w:r>
      <w:r>
        <w:rPr>
          <w:rFonts w:ascii="宋体" w:hAnsi="宋体" w:cs="宋体"/>
          <w:bCs/>
          <w:sz w:val="24"/>
        </w:rPr>
        <w:t>前一估值日</w:t>
      </w:r>
      <w:r>
        <w:rPr>
          <w:rFonts w:hint="eastAsia" w:ascii="宋体" w:hAnsi="宋体" w:cs="宋体"/>
          <w:bCs/>
          <w:sz w:val="24"/>
        </w:rPr>
        <w:t>理财计划</w:t>
      </w:r>
      <w:r>
        <w:rPr>
          <w:rFonts w:ascii="宋体" w:hAnsi="宋体" w:cs="宋体"/>
          <w:bCs/>
          <w:sz w:val="24"/>
        </w:rPr>
        <w:t>资产净值50%以上的资产不具备活跃交易市场或者在活跃市场中无报价，且不能采用估值技术可靠计量公允价值</w:t>
      </w:r>
      <w:r>
        <w:rPr>
          <w:rFonts w:hint="eastAsia" w:ascii="宋体" w:hAnsi="宋体" w:cs="宋体"/>
          <w:bCs/>
          <w:sz w:val="24"/>
        </w:rPr>
        <w:t>的情形</w:t>
      </w:r>
      <w:r>
        <w:rPr>
          <w:rFonts w:ascii="宋体" w:hAnsi="宋体" w:cs="宋体"/>
          <w:bCs/>
          <w:sz w:val="24"/>
        </w:rPr>
        <w:t>时</w:t>
      </w:r>
      <w:r>
        <w:rPr>
          <w:rFonts w:hint="eastAsia" w:ascii="宋体" w:hAnsi="宋体" w:cs="宋体"/>
          <w:bCs/>
          <w:sz w:val="24"/>
        </w:rPr>
        <w:t>。</w:t>
      </w:r>
    </w:p>
    <w:p>
      <w:pPr>
        <w:numPr>
          <w:ilvl w:val="0"/>
          <w:numId w:val="50"/>
        </w:numPr>
        <w:spacing w:line="360" w:lineRule="auto"/>
        <w:ind w:firstLine="480" w:firstLineChars="200"/>
        <w:jc w:val="left"/>
        <w:rPr>
          <w:rFonts w:ascii="宋体" w:hAnsi="宋体" w:cs="宋体"/>
          <w:bCs/>
          <w:sz w:val="24"/>
        </w:rPr>
      </w:pPr>
      <w:r>
        <w:rPr>
          <w:rFonts w:hint="eastAsia" w:ascii="宋体" w:hAnsi="宋体" w:cs="宋体"/>
          <w:bCs/>
          <w:sz w:val="24"/>
        </w:rPr>
        <w:t>发生产品说明书约定的暂停估值的情形时。</w:t>
      </w:r>
    </w:p>
    <w:p>
      <w:pPr>
        <w:numPr>
          <w:ilvl w:val="0"/>
          <w:numId w:val="50"/>
        </w:numPr>
        <w:spacing w:line="360" w:lineRule="auto"/>
        <w:ind w:firstLine="480" w:firstLineChars="200"/>
        <w:jc w:val="left"/>
        <w:rPr>
          <w:rFonts w:ascii="宋体" w:hAnsi="宋体" w:cs="宋体"/>
          <w:bCs/>
          <w:sz w:val="24"/>
        </w:rPr>
      </w:pPr>
      <w:r>
        <w:rPr>
          <w:rFonts w:hint="eastAsia" w:ascii="宋体" w:hAnsi="宋体" w:cs="宋体"/>
          <w:bCs/>
          <w:sz w:val="24"/>
        </w:rPr>
        <w:t>法律法规规定或监管机构认定的其他情形。</w:t>
      </w:r>
    </w:p>
    <w:p>
      <w:pPr>
        <w:spacing w:line="360" w:lineRule="auto"/>
        <w:ind w:firstLine="480" w:firstLineChars="200"/>
        <w:jc w:val="left"/>
        <w:rPr>
          <w:rFonts w:hint="eastAsia" w:ascii="宋体" w:hAnsi="宋体" w:cs="宋体"/>
          <w:bCs/>
          <w:sz w:val="24"/>
        </w:rPr>
      </w:pPr>
      <w:r>
        <w:rPr>
          <w:rFonts w:hint="eastAsia" w:ascii="宋体" w:hAnsi="宋体" w:cs="宋体"/>
          <w:bCs/>
          <w:sz w:val="24"/>
        </w:rPr>
        <w:t>发生以下情形，管理人对已接受的赎回申请，可延期支付赎回款项：</w:t>
      </w:r>
    </w:p>
    <w:p>
      <w:pPr>
        <w:numPr>
          <w:ilvl w:val="0"/>
          <w:numId w:val="51"/>
        </w:numPr>
        <w:spacing w:line="360" w:lineRule="auto"/>
        <w:ind w:firstLine="480" w:firstLineChars="200"/>
        <w:jc w:val="left"/>
        <w:rPr>
          <w:rFonts w:ascii="宋体" w:hAnsi="宋体" w:cs="宋体"/>
          <w:bCs/>
          <w:sz w:val="24"/>
        </w:rPr>
      </w:pPr>
      <w:r>
        <w:rPr>
          <w:rFonts w:hint="eastAsia" w:ascii="宋体" w:hAnsi="宋体" w:cs="宋体"/>
          <w:bCs/>
          <w:sz w:val="24"/>
        </w:rPr>
        <w:t>因不可抗力等原因，导致管理人接受赎回申请后无法及时兑付的情形时。</w:t>
      </w:r>
    </w:p>
    <w:p>
      <w:pPr>
        <w:numPr>
          <w:ilvl w:val="0"/>
          <w:numId w:val="51"/>
        </w:numPr>
        <w:spacing w:line="360" w:lineRule="auto"/>
        <w:ind w:firstLine="480" w:firstLineChars="200"/>
        <w:jc w:val="left"/>
        <w:rPr>
          <w:rFonts w:ascii="宋体" w:hAnsi="宋体" w:cs="宋体"/>
          <w:bCs/>
          <w:sz w:val="24"/>
        </w:rPr>
      </w:pPr>
      <w:r>
        <w:rPr>
          <w:rFonts w:hint="eastAsia" w:ascii="宋体" w:hAnsi="宋体" w:cs="宋体"/>
          <w:bCs/>
          <w:sz w:val="24"/>
        </w:rPr>
        <w:t>连续</w:t>
      </w:r>
      <w:r>
        <w:rPr>
          <w:rFonts w:ascii="宋体" w:hAnsi="宋体" w:cs="宋体"/>
          <w:bCs/>
          <w:sz w:val="24"/>
        </w:rPr>
        <w:t>2</w:t>
      </w:r>
      <w:r>
        <w:rPr>
          <w:rFonts w:hint="eastAsia" w:ascii="宋体" w:hAnsi="宋体" w:cs="宋体"/>
          <w:bCs/>
          <w:sz w:val="24"/>
        </w:rPr>
        <w:t>日</w:t>
      </w:r>
      <w:r>
        <w:rPr>
          <w:rFonts w:ascii="宋体" w:hAnsi="宋体" w:cs="宋体"/>
          <w:bCs/>
          <w:sz w:val="24"/>
        </w:rPr>
        <w:t>（含）以上开放日发生巨额赎回的</w:t>
      </w:r>
      <w:r>
        <w:rPr>
          <w:rFonts w:hint="eastAsia" w:ascii="宋体" w:hAnsi="宋体" w:cs="宋体"/>
          <w:bCs/>
          <w:sz w:val="24"/>
        </w:rPr>
        <w:t>情形时。</w:t>
      </w:r>
    </w:p>
    <w:p>
      <w:pPr>
        <w:numPr>
          <w:ilvl w:val="0"/>
          <w:numId w:val="51"/>
        </w:numPr>
        <w:spacing w:line="360" w:lineRule="auto"/>
        <w:ind w:firstLine="480" w:firstLineChars="200"/>
        <w:jc w:val="left"/>
        <w:rPr>
          <w:rFonts w:ascii="宋体" w:hAnsi="宋体" w:cs="宋体"/>
          <w:bCs/>
          <w:sz w:val="24"/>
        </w:rPr>
      </w:pPr>
      <w:r>
        <w:rPr>
          <w:rFonts w:hint="eastAsia" w:ascii="宋体" w:hAnsi="宋体" w:cs="宋体"/>
          <w:bCs/>
          <w:sz w:val="24"/>
        </w:rPr>
        <w:t>当前</w:t>
      </w:r>
      <w:r>
        <w:rPr>
          <w:rFonts w:ascii="宋体" w:hAnsi="宋体" w:cs="宋体"/>
          <w:bCs/>
          <w:sz w:val="24"/>
        </w:rPr>
        <w:t>一估值日</w:t>
      </w:r>
      <w:r>
        <w:rPr>
          <w:rFonts w:hint="eastAsia" w:ascii="宋体" w:hAnsi="宋体" w:cs="宋体"/>
          <w:bCs/>
          <w:sz w:val="24"/>
        </w:rPr>
        <w:t>理财计划</w:t>
      </w:r>
      <w:r>
        <w:rPr>
          <w:rFonts w:ascii="宋体" w:hAnsi="宋体" w:cs="宋体"/>
          <w:bCs/>
          <w:sz w:val="24"/>
        </w:rPr>
        <w:t>资产净值50%以上的资产不具备活跃交易市场或者在活跃市场中无报价，且不能采用估值技术可靠计量公允价值</w:t>
      </w:r>
      <w:r>
        <w:rPr>
          <w:rFonts w:hint="eastAsia" w:ascii="宋体" w:hAnsi="宋体" w:cs="宋体"/>
          <w:bCs/>
          <w:sz w:val="24"/>
        </w:rPr>
        <w:t>的情形</w:t>
      </w:r>
      <w:r>
        <w:rPr>
          <w:rFonts w:ascii="宋体" w:hAnsi="宋体" w:cs="宋体"/>
          <w:bCs/>
          <w:sz w:val="24"/>
        </w:rPr>
        <w:t>时</w:t>
      </w:r>
      <w:r>
        <w:rPr>
          <w:rFonts w:hint="eastAsia" w:ascii="宋体" w:hAnsi="宋体" w:cs="宋体"/>
          <w:bCs/>
          <w:sz w:val="24"/>
        </w:rPr>
        <w:t>。</w:t>
      </w:r>
    </w:p>
    <w:p>
      <w:pPr>
        <w:numPr>
          <w:ilvl w:val="0"/>
          <w:numId w:val="51"/>
        </w:numPr>
        <w:spacing w:line="360" w:lineRule="auto"/>
        <w:ind w:firstLine="480" w:firstLineChars="200"/>
        <w:jc w:val="left"/>
        <w:rPr>
          <w:rFonts w:hint="eastAsia" w:ascii="宋体" w:hAnsi="Wingdings" w:cs="宋体"/>
          <w:b/>
          <w:color w:val="000000"/>
          <w:kern w:val="0"/>
          <w:sz w:val="24"/>
        </w:rPr>
      </w:pPr>
      <w:r>
        <w:rPr>
          <w:rFonts w:hint="eastAsia" w:ascii="宋体" w:hAnsi="宋体" w:cs="宋体"/>
          <w:bCs/>
          <w:sz w:val="24"/>
        </w:rPr>
        <w:t>法律法规规定或监管机构认定的其他情形。</w:t>
      </w:r>
    </w:p>
    <w:p>
      <w:pPr>
        <w:numPr>
          <w:ilvl w:val="0"/>
          <w:numId w:val="43"/>
        </w:numPr>
        <w:spacing w:line="360" w:lineRule="auto"/>
        <w:jc w:val="left"/>
        <w:rPr>
          <w:rFonts w:ascii="宋体" w:hAnsi="宋体" w:cs="宋体"/>
          <w:b/>
          <w:sz w:val="24"/>
        </w:rPr>
      </w:pPr>
      <w:r>
        <w:rPr>
          <w:rFonts w:hint="eastAsia" w:ascii="宋体" w:hAnsi="宋体" w:cs="宋体"/>
          <w:b/>
          <w:sz w:val="24"/>
        </w:rPr>
        <w:t>到期清算</w:t>
      </w:r>
    </w:p>
    <w:p>
      <w:pPr>
        <w:spacing w:line="360" w:lineRule="auto"/>
        <w:ind w:firstLine="480" w:firstLineChars="200"/>
        <w:jc w:val="left"/>
        <w:rPr>
          <w:rFonts w:ascii="宋体" w:hAnsi="宋体" w:cs="宋体"/>
          <w:bCs/>
          <w:sz w:val="24"/>
        </w:rPr>
      </w:pPr>
      <w:r>
        <w:rPr>
          <w:rFonts w:hint="eastAsia" w:ascii="宋体" w:hAnsi="宋体" w:cs="宋体"/>
          <w:bCs/>
          <w:sz w:val="24"/>
        </w:rPr>
        <w:t>正常到期清算：本理财计划终止后，管理人将按照清算后的资产净值按持有份额比例对投资者进行分配，并通过销售机构最快</w:t>
      </w:r>
      <w:r>
        <w:rPr>
          <w:rFonts w:hint="eastAsia" w:ascii="宋体" w:hAnsi="宋体" w:cs="宋体"/>
          <w:bCs/>
          <w:sz w:val="24"/>
          <w:lang w:val="en-US" w:eastAsia="zh-CN"/>
        </w:rPr>
        <w:t>于到期日当</w:t>
      </w:r>
      <w:r>
        <w:rPr>
          <w:rFonts w:hint="eastAsia" w:ascii="宋体" w:hAnsi="宋体" w:cs="宋体"/>
          <w:bCs/>
          <w:sz w:val="24"/>
        </w:rPr>
        <w:t>日、最晚</w:t>
      </w:r>
      <w:r>
        <w:rPr>
          <w:rFonts w:hint="eastAsia" w:ascii="宋体" w:hAnsi="宋体" w:cs="宋体"/>
          <w:bCs/>
          <w:sz w:val="24"/>
          <w:lang w:val="en-US" w:eastAsia="zh-CN"/>
        </w:rPr>
        <w:t>于到期日</w:t>
      </w:r>
      <w:r>
        <w:rPr>
          <w:rFonts w:hint="eastAsia" w:ascii="宋体" w:hAnsi="宋体" w:cs="宋体"/>
          <w:bCs/>
          <w:sz w:val="24"/>
        </w:rPr>
        <w:t>〖</w:t>
      </w:r>
      <w:r>
        <w:rPr>
          <w:rFonts w:hint="eastAsia" w:ascii="宋体" w:hAnsi="宋体" w:cs="宋体"/>
          <w:bCs/>
          <w:sz w:val="24"/>
          <w:lang w:val="en-US" w:eastAsia="zh-CN"/>
        </w:rPr>
        <w:t>2</w:t>
      </w:r>
      <w:r>
        <w:rPr>
          <w:rFonts w:hint="eastAsia" w:ascii="宋体" w:hAnsi="宋体" w:cs="宋体"/>
          <w:bCs/>
          <w:sz w:val="24"/>
        </w:rPr>
        <w:t>〗个交易日内（遇节假日顺延）将资金按规定的要求划入投资者授权指定的理财账户。</w:t>
      </w:r>
      <w:r>
        <w:rPr>
          <w:rFonts w:hint="eastAsia" w:ascii="宋体" w:hAnsi="宋体" w:cs="宋体"/>
          <w:color w:val="000000"/>
          <w:kern w:val="0"/>
          <w:sz w:val="24"/>
          <w:szCs w:val="24"/>
        </w:rPr>
        <w:t>（具体以销售机构规定为准）</w:t>
      </w:r>
    </w:p>
    <w:p>
      <w:pPr>
        <w:numPr>
          <w:ilvl w:val="0"/>
          <w:numId w:val="43"/>
        </w:numPr>
        <w:spacing w:line="360" w:lineRule="auto"/>
        <w:jc w:val="left"/>
        <w:rPr>
          <w:rFonts w:ascii="宋体" w:hAnsi="宋体" w:cs="宋体"/>
          <w:b/>
          <w:sz w:val="24"/>
        </w:rPr>
      </w:pPr>
      <w:r>
        <w:rPr>
          <w:rFonts w:hint="eastAsia" w:ascii="宋体" w:hAnsi="宋体" w:cs="宋体"/>
          <w:b/>
          <w:sz w:val="24"/>
        </w:rPr>
        <w:t>提前终止</w:t>
      </w:r>
    </w:p>
    <w:p>
      <w:pPr>
        <w:spacing w:line="360" w:lineRule="auto"/>
        <w:ind w:firstLine="480" w:firstLineChars="200"/>
        <w:jc w:val="left"/>
        <w:rPr>
          <w:rFonts w:hint="eastAsia" w:ascii="宋体" w:hAnsi="宋体" w:cs="宋体"/>
          <w:bCs/>
          <w:sz w:val="24"/>
        </w:rPr>
      </w:pPr>
      <w:r>
        <w:rPr>
          <w:rFonts w:hint="eastAsia" w:ascii="宋体" w:hAnsi="宋体" w:cs="宋体"/>
          <w:bCs/>
          <w:sz w:val="24"/>
        </w:rPr>
        <w:t>在理财计划期限内，管理人根据投资情况有提前终止权，于本理财计划提前终止日前</w:t>
      </w:r>
      <w:r>
        <w:rPr>
          <w:rFonts w:hint="eastAsia" w:ascii="宋体" w:hAnsi="宋体" w:cs="宋体"/>
          <w:sz w:val="24"/>
        </w:rPr>
        <w:t>〖</w:t>
      </w:r>
      <w:r>
        <w:rPr>
          <w:rFonts w:hint="eastAsia" w:ascii="宋体" w:hAnsi="宋体" w:cs="宋体"/>
          <w:bCs/>
          <w:sz w:val="24"/>
        </w:rPr>
        <w:t>2</w:t>
      </w:r>
      <w:r>
        <w:rPr>
          <w:rFonts w:hint="eastAsia" w:ascii="宋体" w:hAnsi="宋体" w:cs="宋体"/>
          <w:bCs/>
          <w:color w:val="000000"/>
          <w:sz w:val="24"/>
        </w:rPr>
        <w:t>〗</w:t>
      </w:r>
      <w:r>
        <w:rPr>
          <w:rFonts w:hint="eastAsia" w:ascii="宋体" w:hAnsi="宋体" w:cs="宋体"/>
          <w:bCs/>
          <w:sz w:val="24"/>
        </w:rPr>
        <w:t>个工作日通过管理人或销售机构发布提前终止公告，并于终止日后</w:t>
      </w:r>
      <w:r>
        <w:rPr>
          <w:rFonts w:hint="eastAsia" w:ascii="宋体" w:hAnsi="宋体" w:cs="宋体"/>
          <w:sz w:val="24"/>
        </w:rPr>
        <w:t>〖</w:t>
      </w:r>
      <w:r>
        <w:rPr>
          <w:rFonts w:hint="eastAsia" w:ascii="宋体" w:hAnsi="宋体" w:cs="宋体"/>
          <w:sz w:val="24"/>
          <w:lang w:val="en-US" w:eastAsia="zh-CN"/>
        </w:rPr>
        <w:t>2</w:t>
      </w:r>
      <w:r>
        <w:rPr>
          <w:rFonts w:hint="eastAsia" w:ascii="宋体" w:hAnsi="宋体" w:cs="宋体"/>
          <w:bCs/>
          <w:color w:val="000000"/>
          <w:sz w:val="24"/>
        </w:rPr>
        <w:t>〗</w:t>
      </w:r>
      <w:r>
        <w:rPr>
          <w:rFonts w:hint="eastAsia" w:ascii="宋体" w:hAnsi="宋体" w:cs="宋体"/>
          <w:bCs/>
          <w:sz w:val="24"/>
        </w:rPr>
        <w:t>个</w:t>
      </w:r>
      <w:r>
        <w:rPr>
          <w:rFonts w:hint="eastAsia" w:ascii="宋体" w:hAnsi="宋体" w:cs="宋体"/>
          <w:bCs/>
          <w:sz w:val="24"/>
          <w:lang w:val="en-US" w:eastAsia="zh-CN"/>
        </w:rPr>
        <w:t>交易</w:t>
      </w:r>
      <w:r>
        <w:rPr>
          <w:rFonts w:hint="eastAsia" w:ascii="宋体" w:hAnsi="宋体" w:cs="宋体"/>
          <w:bCs/>
          <w:sz w:val="24"/>
        </w:rPr>
        <w:t>日内将可兑付款项按规定的要求划入投资者授权指定的理财账户。终止日至资金实际到账日之间，投资者资金不计息。</w:t>
      </w:r>
    </w:p>
    <w:p>
      <w:pPr>
        <w:spacing w:line="360" w:lineRule="auto"/>
        <w:ind w:firstLine="482" w:firstLineChars="200"/>
        <w:jc w:val="left"/>
        <w:rPr>
          <w:rFonts w:ascii="宋体" w:hAnsi="宋体" w:cs="宋体"/>
          <w:b/>
          <w:sz w:val="24"/>
        </w:rPr>
      </w:pPr>
      <w:r>
        <w:rPr>
          <w:rFonts w:hint="eastAsia" w:ascii="宋体" w:hAnsi="宋体" w:cs="宋体"/>
          <w:b/>
          <w:sz w:val="24"/>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w:t>
      </w:r>
      <w:r>
        <w:rPr>
          <w:rFonts w:hint="eastAsia" w:ascii="宋体" w:hAnsi="宋体" w:cs="宋体"/>
          <w:b/>
          <w:sz w:val="24"/>
        </w:rPr>
        <w:t>终止权：</w:t>
      </w:r>
    </w:p>
    <w:p>
      <w:pPr>
        <w:numPr>
          <w:ilvl w:val="0"/>
          <w:numId w:val="52"/>
        </w:numPr>
        <w:spacing w:line="360" w:lineRule="auto"/>
        <w:jc w:val="left"/>
        <w:rPr>
          <w:rFonts w:ascii="宋体" w:hAnsi="宋体" w:cs="宋体"/>
          <w:b/>
          <w:sz w:val="24"/>
        </w:rPr>
      </w:pPr>
      <w:r>
        <w:rPr>
          <w:rFonts w:hint="eastAsia" w:ascii="宋体" w:hAnsi="宋体" w:cs="宋体"/>
          <w:b/>
          <w:sz w:val="24"/>
        </w:rPr>
        <w:t>如因本理财计划资产运作模式等与法律法规、规章的规定或者监管部门的要求等存在冲突导致理财计划必须提前终止的。</w:t>
      </w:r>
    </w:p>
    <w:p>
      <w:pPr>
        <w:numPr>
          <w:ilvl w:val="0"/>
          <w:numId w:val="52"/>
        </w:numPr>
        <w:spacing w:line="360" w:lineRule="auto"/>
        <w:jc w:val="left"/>
        <w:rPr>
          <w:rFonts w:ascii="宋体" w:hAnsi="宋体" w:cs="宋体"/>
          <w:b/>
          <w:sz w:val="24"/>
        </w:rPr>
      </w:pPr>
      <w:r>
        <w:rPr>
          <w:rFonts w:hint="eastAsia" w:ascii="宋体" w:hAnsi="宋体" w:cs="宋体"/>
          <w:b/>
          <w:sz w:val="24"/>
        </w:rPr>
        <w:t>国家有关法律、法规、规章、政策的改变、紧急措施的出台、理财市场环境发生重大变化等导致理财计划必须提前终止的。</w:t>
      </w:r>
    </w:p>
    <w:p>
      <w:pPr>
        <w:numPr>
          <w:ilvl w:val="0"/>
          <w:numId w:val="52"/>
        </w:numPr>
        <w:spacing w:line="360" w:lineRule="auto"/>
        <w:jc w:val="left"/>
        <w:rPr>
          <w:rFonts w:ascii="宋体" w:hAnsi="宋体" w:cs="宋体"/>
          <w:b/>
          <w:sz w:val="24"/>
        </w:rPr>
      </w:pPr>
      <w:r>
        <w:rPr>
          <w:rFonts w:hint="eastAsia" w:ascii="宋体" w:hAnsi="宋体" w:cs="宋体"/>
          <w:b/>
          <w:sz w:val="24"/>
        </w:rPr>
        <w:t>因不可抗力因素导致本理财计划必须提前终止的。</w:t>
      </w:r>
    </w:p>
    <w:p>
      <w:pPr>
        <w:numPr>
          <w:ilvl w:val="0"/>
          <w:numId w:val="52"/>
        </w:numPr>
        <w:spacing w:line="360" w:lineRule="auto"/>
        <w:jc w:val="left"/>
        <w:rPr>
          <w:rFonts w:ascii="宋体" w:hAnsi="宋体" w:cs="宋体"/>
          <w:b/>
          <w:sz w:val="24"/>
        </w:rPr>
      </w:pPr>
      <w:r>
        <w:rPr>
          <w:rFonts w:hint="eastAsia" w:ascii="宋体" w:hAnsi="宋体" w:cs="宋体"/>
          <w:b/>
          <w:sz w:val="24"/>
        </w:rPr>
        <w:t>理财计划的投资策略已不适合当前的市场环境的。</w:t>
      </w:r>
    </w:p>
    <w:p>
      <w:pPr>
        <w:numPr>
          <w:ilvl w:val="0"/>
          <w:numId w:val="52"/>
        </w:numPr>
        <w:spacing w:line="360" w:lineRule="auto"/>
        <w:jc w:val="left"/>
        <w:rPr>
          <w:rFonts w:ascii="宋体" w:hAnsi="宋体" w:cs="宋体"/>
          <w:b/>
          <w:sz w:val="24"/>
        </w:rPr>
      </w:pPr>
      <w:r>
        <w:rPr>
          <w:rFonts w:hint="eastAsia" w:ascii="宋体" w:hAnsi="宋体" w:cs="宋体"/>
          <w:b/>
          <w:sz w:val="24"/>
        </w:rPr>
        <w:t>市场收益率大幅波动，可能或实质影响理财计划投资收益的。</w:t>
      </w:r>
    </w:p>
    <w:p>
      <w:pPr>
        <w:numPr>
          <w:ilvl w:val="0"/>
          <w:numId w:val="52"/>
        </w:numPr>
        <w:spacing w:line="360" w:lineRule="auto"/>
        <w:ind w:leftChars="0" w:firstLine="400" w:firstLineChars="0"/>
        <w:jc w:val="left"/>
        <w:rPr>
          <w:rFonts w:ascii="宋体" w:hAnsi="宋体" w:cs="宋体"/>
          <w:b/>
          <w:sz w:val="24"/>
        </w:rPr>
      </w:pPr>
      <w:r>
        <w:rPr>
          <w:rFonts w:hint="eastAsia" w:ascii="宋体" w:hAnsi="宋体" w:cs="宋体"/>
          <w:b/>
          <w:sz w:val="24"/>
          <w:highlight w:val="none"/>
          <w:lang w:eastAsia="zh-CN"/>
        </w:rPr>
        <w:t>融资人行使提前到期或还款权利的。</w:t>
      </w:r>
    </w:p>
    <w:p>
      <w:pPr>
        <w:numPr>
          <w:ilvl w:val="0"/>
          <w:numId w:val="52"/>
        </w:numPr>
        <w:spacing w:line="360" w:lineRule="auto"/>
        <w:jc w:val="left"/>
        <w:rPr>
          <w:rFonts w:ascii="宋体" w:hAnsi="宋体" w:cs="宋体"/>
          <w:b/>
          <w:sz w:val="24"/>
        </w:rPr>
      </w:pPr>
      <w:r>
        <w:rPr>
          <w:rFonts w:hint="eastAsia" w:ascii="宋体" w:hAnsi="宋体" w:cs="宋体"/>
          <w:b/>
          <w:sz w:val="24"/>
        </w:rPr>
        <w:t>管理人认为应该提前终止的其他情形。</w:t>
      </w:r>
    </w:p>
    <w:p>
      <w:pPr>
        <w:numPr>
          <w:ilvl w:val="0"/>
          <w:numId w:val="43"/>
        </w:numPr>
        <w:spacing w:line="360" w:lineRule="auto"/>
        <w:jc w:val="left"/>
        <w:rPr>
          <w:rFonts w:hint="eastAsia" w:ascii="宋体" w:hAnsi="宋体" w:cs="宋体"/>
          <w:b/>
          <w:sz w:val="24"/>
        </w:rPr>
      </w:pPr>
      <w:r>
        <w:rPr>
          <w:rFonts w:hint="eastAsia" w:ascii="宋体" w:hAnsi="宋体" w:cs="宋体"/>
          <w:b/>
          <w:sz w:val="24"/>
        </w:rPr>
        <w:t>延期</w:t>
      </w:r>
    </w:p>
    <w:p>
      <w:pPr>
        <w:spacing w:line="360" w:lineRule="auto"/>
        <w:ind w:firstLine="480" w:firstLineChars="200"/>
        <w:jc w:val="left"/>
        <w:rPr>
          <w:rFonts w:hint="eastAsia" w:ascii="宋体" w:hAnsi="宋体" w:cs="宋体"/>
          <w:bCs/>
          <w:sz w:val="24"/>
        </w:rPr>
      </w:pPr>
      <w:r>
        <w:rPr>
          <w:rFonts w:hint="eastAsia" w:ascii="宋体" w:hAnsi="宋体" w:cs="宋体"/>
          <w:bCs/>
          <w:sz w:val="24"/>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3"/>
        </w:numPr>
        <w:spacing w:line="360" w:lineRule="auto"/>
        <w:jc w:val="left"/>
        <w:rPr>
          <w:rFonts w:ascii="宋体" w:hAnsi="宋体" w:cs="宋体"/>
          <w:b/>
          <w:sz w:val="24"/>
        </w:rPr>
      </w:pPr>
      <w:r>
        <w:rPr>
          <w:rFonts w:hint="eastAsia" w:ascii="宋体" w:hAnsi="宋体" w:cs="宋体"/>
          <w:b/>
          <w:sz w:val="24"/>
        </w:rPr>
        <w:t>预计在理财计划预计到期日，理财计划资产因市场风险、信用风险等原因无法全部变现。</w:t>
      </w:r>
    </w:p>
    <w:p>
      <w:pPr>
        <w:numPr>
          <w:ilvl w:val="0"/>
          <w:numId w:val="53"/>
        </w:numPr>
        <w:spacing w:line="360" w:lineRule="auto"/>
        <w:jc w:val="left"/>
        <w:rPr>
          <w:rFonts w:ascii="宋体" w:hAnsi="宋体" w:cs="宋体"/>
          <w:b/>
          <w:sz w:val="24"/>
        </w:rPr>
      </w:pPr>
      <w:r>
        <w:rPr>
          <w:rFonts w:hint="eastAsia" w:ascii="宋体" w:hAnsi="宋体" w:cs="宋体"/>
          <w:b/>
          <w:sz w:val="24"/>
        </w:rPr>
        <w:t>预计理财计划所投资的信托计划、资管计划、私募基金的受托人或管理人不能按时向管理人划付理财计划的本金和收益。</w:t>
      </w:r>
    </w:p>
    <w:p>
      <w:pPr>
        <w:numPr>
          <w:ilvl w:val="0"/>
          <w:numId w:val="53"/>
        </w:numPr>
        <w:spacing w:line="360" w:lineRule="auto"/>
        <w:jc w:val="left"/>
        <w:rPr>
          <w:rFonts w:ascii="宋体" w:hAnsi="宋体" w:cs="宋体"/>
          <w:b/>
          <w:sz w:val="24"/>
        </w:rPr>
      </w:pPr>
      <w:r>
        <w:rPr>
          <w:rFonts w:hint="eastAsia" w:ascii="宋体" w:hAnsi="宋体" w:cs="宋体"/>
          <w:b/>
          <w:sz w:val="24"/>
        </w:rPr>
        <w:t>理财计划财产涉及诉讼或仲裁，且预计诉讼或仲裁执行程序于理财计划到期日尚未终结。</w:t>
      </w:r>
    </w:p>
    <w:p>
      <w:pPr>
        <w:numPr>
          <w:ilvl w:val="0"/>
          <w:numId w:val="53"/>
        </w:numPr>
        <w:spacing w:line="360" w:lineRule="auto"/>
        <w:jc w:val="left"/>
        <w:rPr>
          <w:rFonts w:ascii="宋体" w:hAnsi="宋体" w:cs="宋体"/>
          <w:b/>
          <w:sz w:val="24"/>
        </w:rPr>
      </w:pPr>
      <w:r>
        <w:rPr>
          <w:rFonts w:hint="eastAsia" w:ascii="宋体" w:hAnsi="宋体" w:cs="宋体"/>
          <w:b/>
          <w:sz w:val="24"/>
        </w:rPr>
        <w:t>管理人与托管人、销售机构协商一致决定延期。</w:t>
      </w:r>
    </w:p>
    <w:p>
      <w:pPr>
        <w:numPr>
          <w:ilvl w:val="0"/>
          <w:numId w:val="53"/>
        </w:numPr>
        <w:spacing w:line="360" w:lineRule="auto"/>
        <w:jc w:val="left"/>
        <w:rPr>
          <w:rFonts w:ascii="宋体" w:hAnsi="宋体" w:cs="宋体"/>
          <w:b/>
          <w:sz w:val="24"/>
        </w:rPr>
      </w:pPr>
      <w:r>
        <w:rPr>
          <w:rFonts w:hint="eastAsia" w:ascii="宋体" w:hAnsi="宋体" w:cs="宋体"/>
          <w:b/>
          <w:sz w:val="24"/>
        </w:rPr>
        <w:t>法律法规规定的或管理人认为有必要延期的其他情形。</w:t>
      </w:r>
    </w:p>
    <w:p>
      <w:pPr>
        <w:spacing w:line="360" w:lineRule="auto"/>
        <w:jc w:val="left"/>
        <w:rPr>
          <w:rFonts w:ascii="宋体" w:hAnsi="宋体" w:cs="宋体"/>
          <w:b/>
          <w:sz w:val="24"/>
        </w:rPr>
      </w:pPr>
    </w:p>
    <w:p>
      <w:pPr>
        <w:numPr>
          <w:ilvl w:val="0"/>
          <w:numId w:val="26"/>
        </w:numPr>
        <w:spacing w:line="360" w:lineRule="auto"/>
        <w:jc w:val="left"/>
        <w:rPr>
          <w:rFonts w:ascii="宋体" w:hAnsi="宋体" w:cs="宋体"/>
          <w:b/>
          <w:sz w:val="24"/>
        </w:rPr>
      </w:pPr>
      <w:r>
        <w:rPr>
          <w:rFonts w:hint="eastAsia" w:ascii="宋体" w:hAnsi="宋体" w:cs="宋体"/>
          <w:b/>
          <w:sz w:val="24"/>
        </w:rPr>
        <w:t>信息披露</w:t>
      </w:r>
    </w:p>
    <w:p>
      <w:pPr>
        <w:numPr>
          <w:ilvl w:val="0"/>
          <w:numId w:val="54"/>
        </w:numPr>
        <w:spacing w:line="360" w:lineRule="auto"/>
        <w:jc w:val="left"/>
        <w:rPr>
          <w:rFonts w:ascii="宋体" w:hAnsi="宋体" w:cs="宋体"/>
          <w:b/>
          <w:sz w:val="24"/>
        </w:rPr>
      </w:pPr>
      <w:r>
        <w:rPr>
          <w:rFonts w:hint="eastAsia" w:ascii="宋体" w:hAnsi="宋体" w:cs="宋体"/>
          <w:b/>
          <w:sz w:val="24"/>
        </w:rPr>
        <w:t>披露内容及时间</w:t>
      </w:r>
    </w:p>
    <w:p>
      <w:pPr>
        <w:numPr>
          <w:ilvl w:val="0"/>
          <w:numId w:val="55"/>
        </w:numPr>
        <w:spacing w:line="360" w:lineRule="auto"/>
        <w:jc w:val="left"/>
        <w:rPr>
          <w:rFonts w:ascii="宋体" w:hAnsi="宋体" w:cs="宋体"/>
          <w:b/>
          <w:sz w:val="24"/>
        </w:rPr>
      </w:pPr>
      <w:r>
        <w:rPr>
          <w:rFonts w:hint="eastAsia" w:ascii="宋体" w:hAnsi="宋体" w:cs="宋体"/>
          <w:b/>
          <w:sz w:val="24"/>
        </w:rPr>
        <w:t>认购信息披露</w:t>
      </w:r>
    </w:p>
    <w:p>
      <w:pPr>
        <w:numPr>
          <w:ilvl w:val="0"/>
          <w:numId w:val="56"/>
        </w:numPr>
        <w:spacing w:line="360" w:lineRule="auto"/>
        <w:ind w:firstLine="480" w:firstLineChars="200"/>
        <w:rPr>
          <w:rFonts w:ascii="宋体" w:hAnsi="宋体" w:cs="宋体"/>
          <w:bCs/>
          <w:color w:val="000000"/>
          <w:sz w:val="24"/>
        </w:rPr>
      </w:pPr>
      <w:r>
        <w:rPr>
          <w:rFonts w:hint="eastAsia" w:ascii="宋体" w:hAnsi="宋体" w:cs="宋体"/>
          <w:bCs/>
          <w:color w:val="000000"/>
          <w:sz w:val="24"/>
        </w:rPr>
        <w:t>理财计划合同：管理人应在正式办理理财计划份额认购前披露，包括但不限于风险揭示书、产品说明书、投资者权益须知、理财计划投资协议书以及</w:t>
      </w:r>
      <w:r>
        <w:rPr>
          <w:rFonts w:hint="eastAsia" w:ascii="宋体" w:hAnsi="宋体" w:cs="宋体"/>
          <w:bCs/>
          <w:sz w:val="24"/>
        </w:rPr>
        <w:t>理财计划销售协议书</w:t>
      </w:r>
      <w:r>
        <w:rPr>
          <w:rFonts w:hint="eastAsia" w:ascii="宋体" w:hAnsi="宋体" w:cs="宋体"/>
          <w:bCs/>
          <w:color w:val="000000"/>
          <w:sz w:val="24"/>
        </w:rPr>
        <w:t>。</w:t>
      </w:r>
    </w:p>
    <w:p>
      <w:pPr>
        <w:numPr>
          <w:ilvl w:val="0"/>
          <w:numId w:val="56"/>
        </w:numPr>
        <w:spacing w:line="360" w:lineRule="auto"/>
        <w:ind w:firstLine="480" w:firstLineChars="200"/>
        <w:rPr>
          <w:rFonts w:ascii="宋体" w:hAnsi="宋体" w:cs="宋体"/>
          <w:bCs/>
          <w:color w:val="000000"/>
          <w:sz w:val="24"/>
        </w:rPr>
      </w:pPr>
      <w:r>
        <w:rPr>
          <w:rFonts w:hint="eastAsia" w:ascii="宋体" w:hAnsi="宋体" w:cs="宋体"/>
          <w:bCs/>
          <w:color w:val="000000"/>
          <w:sz w:val="24"/>
        </w:rPr>
        <w:t>发行公告：管理人应在理财计划成立日后3个工作日内披露，包括成立日期、募集规模等信息。</w:t>
      </w:r>
    </w:p>
    <w:p>
      <w:pPr>
        <w:numPr>
          <w:ilvl w:val="0"/>
          <w:numId w:val="55"/>
        </w:numPr>
        <w:spacing w:line="360" w:lineRule="auto"/>
        <w:jc w:val="left"/>
        <w:rPr>
          <w:rFonts w:ascii="宋体" w:hAnsi="宋体" w:cs="宋体"/>
          <w:b/>
          <w:sz w:val="24"/>
        </w:rPr>
      </w:pPr>
      <w:r>
        <w:rPr>
          <w:rFonts w:hint="eastAsia" w:ascii="宋体" w:hAnsi="宋体" w:cs="宋体"/>
          <w:b/>
          <w:sz w:val="24"/>
        </w:rPr>
        <w:t>运作信息披露</w:t>
      </w:r>
    </w:p>
    <w:p>
      <w:pPr>
        <w:numPr>
          <w:ilvl w:val="0"/>
          <w:numId w:val="57"/>
        </w:numPr>
        <w:spacing w:line="360" w:lineRule="auto"/>
        <w:ind w:firstLine="480" w:firstLineChars="200"/>
        <w:rPr>
          <w:rFonts w:ascii="宋体" w:hAnsi="宋体" w:cs="宋体"/>
          <w:bCs/>
          <w:color w:val="000000"/>
          <w:sz w:val="24"/>
        </w:rPr>
      </w:pPr>
      <w:r>
        <w:rPr>
          <w:rFonts w:hint="eastAsia" w:ascii="宋体" w:hAnsi="宋体" w:cs="宋体"/>
          <w:bCs/>
          <w:color w:val="000000"/>
          <w:sz w:val="24"/>
        </w:rPr>
        <w:t>理财计划净值：管理人应在理财计划成立后，每个开放确认日后2</w:t>
      </w:r>
      <w:r>
        <w:rPr>
          <w:rFonts w:ascii="宋体" w:hAnsi="宋体" w:cs="宋体"/>
          <w:bCs/>
          <w:color w:val="000000"/>
          <w:sz w:val="24"/>
        </w:rPr>
        <w:t>个工作日内披露本理财计划净值</w:t>
      </w:r>
      <w:r>
        <w:rPr>
          <w:rFonts w:hint="eastAsia" w:ascii="宋体" w:hAnsi="宋体" w:cs="宋体"/>
          <w:bCs/>
          <w:color w:val="000000"/>
          <w:sz w:val="24"/>
        </w:rPr>
        <w:t>。</w:t>
      </w:r>
    </w:p>
    <w:p>
      <w:pPr>
        <w:numPr>
          <w:ilvl w:val="0"/>
          <w:numId w:val="57"/>
        </w:numPr>
        <w:spacing w:line="360" w:lineRule="auto"/>
        <w:ind w:firstLine="480" w:firstLineChars="200"/>
        <w:rPr>
          <w:rFonts w:ascii="宋体" w:hAnsi="宋体" w:cs="宋体"/>
          <w:b/>
          <w:sz w:val="24"/>
        </w:rPr>
      </w:pPr>
      <w:r>
        <w:rPr>
          <w:rFonts w:hint="eastAsia" w:ascii="宋体" w:hAnsi="宋体" w:cs="宋体"/>
          <w:bCs/>
          <w:color w:val="000000"/>
          <w:sz w:val="24"/>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57"/>
        </w:numPr>
        <w:spacing w:line="360" w:lineRule="auto"/>
        <w:ind w:firstLine="480" w:firstLineChars="200"/>
        <w:rPr>
          <w:rFonts w:ascii="宋体" w:hAnsi="宋体" w:cs="宋体"/>
          <w:b/>
          <w:sz w:val="24"/>
        </w:rPr>
      </w:pPr>
      <w:r>
        <w:rPr>
          <w:rFonts w:hint="eastAsia" w:ascii="宋体" w:hAnsi="宋体" w:cs="宋体"/>
          <w:bCs/>
          <w:color w:val="000000"/>
          <w:sz w:val="24"/>
        </w:rPr>
        <w:t>到期报告：管理人应在理财计划到期后5个工作日内披露，包括存续期限、到期兑付净值、收益分配情况等信息。</w:t>
      </w:r>
    </w:p>
    <w:p>
      <w:pPr>
        <w:numPr>
          <w:ilvl w:val="0"/>
          <w:numId w:val="55"/>
        </w:numPr>
        <w:spacing w:line="360" w:lineRule="auto"/>
        <w:jc w:val="left"/>
        <w:rPr>
          <w:rFonts w:ascii="宋体" w:hAnsi="宋体" w:cs="宋体"/>
          <w:b/>
          <w:sz w:val="24"/>
        </w:rPr>
      </w:pPr>
      <w:r>
        <w:rPr>
          <w:rFonts w:hint="eastAsia" w:ascii="宋体" w:hAnsi="宋体" w:cs="宋体"/>
          <w:b/>
          <w:sz w:val="24"/>
        </w:rPr>
        <w:t>临时信息披露</w:t>
      </w:r>
    </w:p>
    <w:p>
      <w:pPr>
        <w:numPr>
          <w:ilvl w:val="0"/>
          <w:numId w:val="58"/>
        </w:numPr>
        <w:spacing w:line="360" w:lineRule="auto"/>
        <w:ind w:firstLine="480" w:firstLineChars="200"/>
        <w:rPr>
          <w:rFonts w:ascii="宋体" w:hAnsi="宋体" w:cs="宋体"/>
          <w:bCs/>
          <w:color w:val="000000"/>
          <w:sz w:val="24"/>
        </w:rPr>
      </w:pPr>
      <w:r>
        <w:rPr>
          <w:rFonts w:hint="eastAsia" w:ascii="宋体" w:hAnsi="宋体" w:cs="宋体"/>
          <w:bCs/>
          <w:color w:val="000000"/>
          <w:sz w:val="24"/>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58"/>
        </w:numPr>
        <w:spacing w:line="360" w:lineRule="auto"/>
        <w:ind w:firstLine="480" w:firstLineChars="200"/>
        <w:rPr>
          <w:rFonts w:ascii="宋体" w:hAnsi="宋体" w:cs="宋体"/>
          <w:b/>
          <w:sz w:val="24"/>
        </w:rPr>
      </w:pPr>
      <w:r>
        <w:rPr>
          <w:rFonts w:hint="eastAsia" w:ascii="宋体" w:hAnsi="宋体" w:cs="宋体"/>
          <w:bCs/>
          <w:color w:val="000000"/>
          <w:sz w:val="24"/>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54"/>
        </w:numPr>
        <w:spacing w:line="360" w:lineRule="auto"/>
        <w:jc w:val="left"/>
        <w:rPr>
          <w:rFonts w:ascii="宋体" w:hAnsi="宋体" w:cs="宋体"/>
          <w:b/>
          <w:sz w:val="24"/>
        </w:rPr>
      </w:pPr>
      <w:r>
        <w:rPr>
          <w:rFonts w:hint="eastAsia" w:ascii="宋体" w:hAnsi="宋体" w:cs="宋体"/>
          <w:b/>
          <w:sz w:val="24"/>
        </w:rPr>
        <w:t>披露方式</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ascii="宋体" w:hAnsi="宋体" w:cs="宋体"/>
          <w:b/>
          <w:sz w:val="24"/>
        </w:rPr>
      </w:pPr>
    </w:p>
    <w:p>
      <w:pPr>
        <w:numPr>
          <w:ilvl w:val="0"/>
          <w:numId w:val="26"/>
        </w:numPr>
        <w:spacing w:line="360" w:lineRule="auto"/>
        <w:jc w:val="left"/>
        <w:rPr>
          <w:rFonts w:ascii="宋体" w:hAnsi="宋体" w:cs="宋体"/>
          <w:b/>
          <w:sz w:val="24"/>
        </w:rPr>
      </w:pPr>
      <w:r>
        <w:rPr>
          <w:rFonts w:hint="eastAsia" w:ascii="宋体" w:hAnsi="宋体" w:cs="宋体"/>
          <w:b/>
          <w:sz w:val="24"/>
        </w:rPr>
        <w:t>其他</w:t>
      </w:r>
    </w:p>
    <w:p>
      <w:pPr>
        <w:numPr>
          <w:ilvl w:val="0"/>
          <w:numId w:val="59"/>
        </w:numPr>
        <w:spacing w:line="360" w:lineRule="auto"/>
        <w:jc w:val="left"/>
        <w:rPr>
          <w:rFonts w:ascii="宋体" w:hAnsi="宋体" w:cs="宋体"/>
          <w:b/>
          <w:sz w:val="24"/>
        </w:rPr>
      </w:pPr>
      <w:r>
        <w:rPr>
          <w:rFonts w:hint="eastAsia" w:ascii="宋体" w:hAnsi="宋体" w:cs="宋体"/>
          <w:b/>
          <w:sz w:val="24"/>
        </w:rPr>
        <w:t>追索条款</w:t>
      </w:r>
    </w:p>
    <w:p>
      <w:pPr>
        <w:spacing w:line="360" w:lineRule="auto"/>
        <w:ind w:firstLine="480" w:firstLineChars="200"/>
        <w:rPr>
          <w:rFonts w:ascii="宋体" w:hAnsi="宋体" w:cs="宋体"/>
          <w:b/>
          <w:sz w:val="24"/>
        </w:rPr>
      </w:pPr>
      <w:r>
        <w:rPr>
          <w:rFonts w:hint="eastAsia" w:ascii="宋体" w:hAnsi="宋体" w:cs="宋体"/>
          <w:bCs/>
          <w:color w:val="000000"/>
          <w:sz w:val="24"/>
        </w:rPr>
        <w:t>若本理财计划所投资的金融资产到期不能全部偿付导致资产减值甚至本金大幅损失，则本公司将以管理人名义，代表投资者利益行使诉讼权利或者实施其他法律行为。</w:t>
      </w:r>
    </w:p>
    <w:p>
      <w:pPr>
        <w:numPr>
          <w:ilvl w:val="0"/>
          <w:numId w:val="59"/>
        </w:numPr>
        <w:spacing w:line="360" w:lineRule="auto"/>
        <w:jc w:val="left"/>
        <w:rPr>
          <w:rFonts w:ascii="宋体" w:hAnsi="宋体" w:cs="宋体"/>
          <w:b/>
          <w:sz w:val="24"/>
        </w:rPr>
      </w:pPr>
      <w:r>
        <w:rPr>
          <w:rFonts w:hint="eastAsia" w:ascii="宋体" w:hAnsi="宋体" w:cs="宋体"/>
          <w:b/>
          <w:sz w:val="24"/>
        </w:rPr>
        <w:t>信息安全</w:t>
      </w:r>
    </w:p>
    <w:p>
      <w:pPr>
        <w:spacing w:line="360" w:lineRule="auto"/>
        <w:ind w:firstLine="480" w:firstLineChars="200"/>
        <w:rPr>
          <w:rFonts w:ascii="宋体" w:hAnsi="宋体" w:cs="宋体"/>
          <w:b/>
          <w:sz w:val="24"/>
        </w:rPr>
      </w:pPr>
      <w:r>
        <w:rPr>
          <w:rFonts w:hint="eastAsia" w:ascii="宋体" w:hAnsi="宋体" w:cs="宋体"/>
          <w:bCs/>
          <w:color w:val="000000"/>
          <w:sz w:val="24"/>
        </w:rPr>
        <w:t>管理人应就理财计划销售过程中获知的投资者信息承担保密义务。非经投资者事先许可，不得向第三方披露，但法律法规或监管规定另有要求的除外。</w:t>
      </w:r>
      <w:r>
        <w:rPr>
          <w:rFonts w:hint="eastAsia" w:ascii="宋体" w:hAnsi="宋体" w:cs="宋体"/>
          <w:b/>
          <w:bCs w:val="0"/>
          <w:color w:val="000000"/>
          <w:sz w:val="24"/>
        </w:rPr>
        <w:t>投资者在此同意并授权，管理人可根据监管要求，为理财计划登记等需要，向登记部门或监管机构提供投资者相关信息</w:t>
      </w:r>
      <w:r>
        <w:rPr>
          <w:rFonts w:hint="eastAsia" w:ascii="宋体" w:hAnsi="宋体" w:cs="宋体"/>
          <w:b/>
          <w:bCs w:val="0"/>
          <w:color w:val="000000"/>
          <w:sz w:val="24"/>
          <w:lang w:eastAsia="zh-CN"/>
        </w:rPr>
        <w:t>，</w:t>
      </w:r>
      <w:r>
        <w:rPr>
          <w:rFonts w:hint="eastAsia" w:ascii="宋体" w:hAnsi="宋体" w:cs="宋体"/>
          <w:b/>
          <w:bCs w:val="0"/>
          <w:color w:val="000000"/>
          <w:sz w:val="24"/>
          <w:lang w:val="en-US" w:eastAsia="zh-CN"/>
        </w:rPr>
        <w:t>授权使用时限与履行相关法律法规和监管要求的必要时限一致</w:t>
      </w:r>
      <w:r>
        <w:rPr>
          <w:rFonts w:hint="eastAsia" w:ascii="宋体" w:hAnsi="宋体" w:cs="宋体"/>
          <w:bCs/>
          <w:color w:val="000000"/>
          <w:sz w:val="24"/>
        </w:rPr>
        <w:t>。</w:t>
      </w:r>
    </w:p>
    <w:p>
      <w:pPr>
        <w:numPr>
          <w:ilvl w:val="0"/>
          <w:numId w:val="59"/>
        </w:numPr>
        <w:spacing w:line="360" w:lineRule="auto"/>
        <w:jc w:val="left"/>
        <w:rPr>
          <w:rFonts w:ascii="宋体" w:hAnsi="宋体" w:cs="宋体"/>
          <w:b/>
          <w:sz w:val="24"/>
        </w:rPr>
      </w:pPr>
      <w:r>
        <w:rPr>
          <w:rFonts w:hint="eastAsia" w:ascii="宋体" w:hAnsi="宋体" w:cs="宋体"/>
          <w:b/>
          <w:sz w:val="24"/>
        </w:rPr>
        <w:t>争议解决</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rPr>
        <w:t>管理人所在地有管辖权的人民法院诉讼解决。</w:t>
      </w:r>
    </w:p>
    <w:p>
      <w:pPr>
        <w:numPr>
          <w:ilvl w:val="0"/>
          <w:numId w:val="59"/>
        </w:numPr>
        <w:spacing w:line="360" w:lineRule="auto"/>
        <w:jc w:val="left"/>
        <w:rPr>
          <w:rFonts w:ascii="宋体" w:hAnsi="宋体" w:cs="宋体"/>
          <w:b/>
          <w:sz w:val="24"/>
        </w:rPr>
      </w:pPr>
      <w:r>
        <w:rPr>
          <w:rFonts w:hint="eastAsia" w:ascii="宋体" w:hAnsi="宋体" w:cs="宋体"/>
          <w:b/>
          <w:sz w:val="24"/>
        </w:rPr>
        <w:t>特别提示</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rPr>
          <w:rFonts w:hint="eastAsia" w:ascii="宋体" w:hAnsi="宋体" w:cs="宋体"/>
          <w:b/>
          <w:bCs/>
          <w:color w:val="000000"/>
          <w:sz w:val="44"/>
          <w:szCs w:val="44"/>
        </w:rPr>
      </w:pPr>
      <w:r>
        <w:rPr>
          <w:rFonts w:hint="eastAsia" w:ascii="宋体" w:hAnsi="宋体" w:cs="宋体"/>
          <w:bCs/>
          <w:color w:val="000000"/>
          <w:sz w:val="24"/>
        </w:rPr>
        <w:br w:type="page"/>
      </w:r>
      <w:r>
        <w:rPr>
          <w:rFonts w:hint="eastAsia" w:ascii="宋体" w:hAnsi="宋体" w:cs="宋体"/>
          <w:b/>
          <w:bCs/>
          <w:color w:val="000000"/>
          <w:sz w:val="44"/>
          <w:szCs w:val="44"/>
        </w:rPr>
        <w:t>杭银理财投资者权益须知</w:t>
      </w:r>
    </w:p>
    <w:p>
      <w:pPr>
        <w:jc w:val="center"/>
        <w:rPr>
          <w:rFonts w:hint="eastAsia" w:ascii="宋体" w:hAnsi="宋体" w:cs="宋体"/>
          <w:b/>
          <w:bCs/>
          <w:color w:val="000000"/>
          <w:sz w:val="44"/>
          <w:szCs w:val="44"/>
        </w:rPr>
      </w:pPr>
      <w:r>
        <w:rPr>
          <w:rFonts w:hint="eastAsia" w:ascii="宋体" w:hAnsi="宋体" w:cs="宋体"/>
          <w:sz w:val="28"/>
          <w:szCs w:val="28"/>
        </w:rPr>
        <w:t>（</w:t>
      </w:r>
      <w:r>
        <w:rPr>
          <w:rFonts w:hint="eastAsia" w:ascii="宋体" w:hAnsi="宋体" w:cs="宋体"/>
          <w:sz w:val="28"/>
          <w:szCs w:val="28"/>
          <w:lang w:eastAsia="zh-CN"/>
        </w:rPr>
        <w:t>202201</w:t>
      </w:r>
      <w:r>
        <w:rPr>
          <w:rFonts w:hint="eastAsia" w:ascii="宋体" w:hAnsi="宋体" w:cs="宋体"/>
          <w:sz w:val="28"/>
          <w:szCs w:val="28"/>
        </w:rPr>
        <w:t>版）</w:t>
      </w:r>
    </w:p>
    <w:p>
      <w:pPr>
        <w:spacing w:line="360" w:lineRule="auto"/>
        <w:jc w:val="center"/>
        <w:rPr>
          <w:rFonts w:hint="eastAsia" w:ascii="宋体" w:hAnsi="宋体" w:cs="宋体"/>
          <w:b/>
          <w:bCs/>
          <w:sz w:val="24"/>
          <w:u w:val="single"/>
        </w:rPr>
      </w:pPr>
      <w:r>
        <w:rPr>
          <w:rFonts w:hint="eastAsia" w:ascii="宋体" w:hAnsi="宋体" w:cs="宋体"/>
          <w:b/>
          <w:bCs/>
          <w:sz w:val="24"/>
          <w:u w:val="single"/>
        </w:rPr>
        <w:t>理财非存款、产品有风险、投资须谨慎</w:t>
      </w:r>
    </w:p>
    <w:p>
      <w:pPr>
        <w:spacing w:line="360" w:lineRule="auto"/>
        <w:rPr>
          <w:rFonts w:hint="eastAsia" w:ascii="宋体" w:hAnsi="宋体" w:cs="宋体"/>
          <w:kern w:val="0"/>
          <w:sz w:val="24"/>
        </w:rPr>
      </w:pPr>
      <w:r>
        <w:rPr>
          <w:rFonts w:hint="eastAsia" w:ascii="宋体" w:hAnsi="宋体" w:cs="宋体"/>
          <w:kern w:val="0"/>
          <w:sz w:val="24"/>
        </w:rPr>
        <w:t>尊敬的投资者：</w:t>
      </w:r>
    </w:p>
    <w:p>
      <w:pPr>
        <w:spacing w:line="360" w:lineRule="auto"/>
        <w:ind w:firstLine="480" w:firstLineChars="200"/>
        <w:rPr>
          <w:rFonts w:hint="eastAsia" w:ascii="宋体" w:hAnsi="宋体" w:cs="宋体"/>
          <w:kern w:val="0"/>
          <w:sz w:val="24"/>
        </w:rPr>
      </w:pPr>
      <w:r>
        <w:rPr>
          <w:rFonts w:hint="eastAsia" w:ascii="宋体" w:hAnsi="宋体" w:cs="宋体"/>
          <w:kern w:val="0"/>
          <w:sz w:val="24"/>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0"/>
        </w:numPr>
        <w:spacing w:line="360" w:lineRule="auto"/>
        <w:rPr>
          <w:rFonts w:hint="eastAsia" w:ascii="宋体" w:hAnsi="宋体" w:cs="宋体"/>
          <w:b/>
          <w:kern w:val="0"/>
          <w:sz w:val="24"/>
        </w:rPr>
      </w:pPr>
      <w:r>
        <w:rPr>
          <w:rFonts w:hint="eastAsia" w:ascii="宋体" w:hAnsi="宋体" w:cs="宋体"/>
          <w:b/>
          <w:kern w:val="0"/>
          <w:sz w:val="24"/>
        </w:rPr>
        <w:t>理财计划办理流程</w:t>
      </w:r>
    </w:p>
    <w:p>
      <w:pPr>
        <w:numPr>
          <w:ilvl w:val="0"/>
          <w:numId w:val="61"/>
        </w:numPr>
        <w:spacing w:line="360" w:lineRule="auto"/>
        <w:rPr>
          <w:rFonts w:hint="eastAsia" w:ascii="宋体" w:hAnsi="宋体" w:cs="宋体"/>
          <w:kern w:val="0"/>
          <w:sz w:val="24"/>
        </w:rPr>
      </w:pPr>
      <w:r>
        <w:rPr>
          <w:rFonts w:hint="eastAsia" w:ascii="宋体" w:hAnsi="宋体" w:cs="宋体"/>
          <w:kern w:val="0"/>
          <w:sz w:val="24"/>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1"/>
        </w:numPr>
        <w:spacing w:line="360" w:lineRule="auto"/>
        <w:rPr>
          <w:rFonts w:hint="eastAsia" w:ascii="宋体" w:hAnsi="宋体" w:cs="宋体"/>
          <w:kern w:val="0"/>
          <w:sz w:val="24"/>
        </w:rPr>
      </w:pPr>
      <w:r>
        <w:rPr>
          <w:rFonts w:hint="eastAsia" w:ascii="宋体" w:hAnsi="宋体" w:cs="宋体"/>
          <w:kern w:val="0"/>
          <w:sz w:val="24"/>
        </w:rPr>
        <w:t>首次在销售机构购买杭银理财理财计划的个人投资者须接受并完成销售机构对您的风险承受能力评估，并确认风险承受能力等级不低于本理财计划风险评级。</w:t>
      </w:r>
    </w:p>
    <w:p>
      <w:pPr>
        <w:numPr>
          <w:ilvl w:val="0"/>
          <w:numId w:val="61"/>
        </w:numPr>
        <w:spacing w:line="360" w:lineRule="auto"/>
        <w:rPr>
          <w:rFonts w:hint="eastAsia" w:ascii="宋体" w:hAnsi="宋体" w:cs="宋体"/>
          <w:kern w:val="0"/>
          <w:sz w:val="24"/>
        </w:rPr>
      </w:pPr>
      <w:r>
        <w:rPr>
          <w:rFonts w:hint="eastAsia" w:ascii="宋体" w:hAnsi="宋体" w:cs="宋体"/>
          <w:kern w:val="0"/>
          <w:sz w:val="24"/>
        </w:rPr>
        <w:t>投资者应仔细阅读本理财计划完整合同（包括但不限于</w:t>
      </w:r>
      <w:r>
        <w:rPr>
          <w:rFonts w:hint="eastAsia" w:ascii="宋体" w:hAnsi="宋体" w:cs="宋体"/>
          <w:bCs/>
          <w:sz w:val="24"/>
        </w:rPr>
        <w:t>理财计划</w:t>
      </w:r>
      <w:r>
        <w:rPr>
          <w:rFonts w:hint="eastAsia" w:ascii="宋体" w:hAnsi="宋体" w:cs="宋体"/>
          <w:kern w:val="0"/>
          <w:sz w:val="24"/>
        </w:rPr>
        <w:t>风险揭示书、理财计划产品说明书、投资者权益须知、理财计划投资协议书和</w:t>
      </w:r>
      <w:r>
        <w:rPr>
          <w:rFonts w:hint="eastAsia" w:ascii="宋体" w:hAnsi="宋体" w:cs="宋体"/>
          <w:bCs/>
          <w:sz w:val="24"/>
        </w:rPr>
        <w:t>理财计划销售协议书</w:t>
      </w:r>
      <w:r>
        <w:rPr>
          <w:rFonts w:hint="eastAsia" w:ascii="宋体" w:hAnsi="宋体" w:cs="宋体"/>
          <w:kern w:val="0"/>
          <w:sz w:val="24"/>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1"/>
        </w:numPr>
        <w:spacing w:line="360" w:lineRule="auto"/>
        <w:ind w:firstLine="480" w:firstLineChars="200"/>
        <w:outlineLvl w:val="9"/>
        <w:rPr>
          <w:rFonts w:hint="eastAsia" w:ascii="宋体" w:hAnsi="宋体" w:cs="宋体"/>
          <w:kern w:val="0"/>
          <w:sz w:val="24"/>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1"/>
        </w:numPr>
        <w:spacing w:line="360" w:lineRule="auto"/>
        <w:rPr>
          <w:rFonts w:hint="eastAsia" w:ascii="宋体" w:hAnsi="宋体" w:cs="宋体"/>
          <w:kern w:val="0"/>
          <w:sz w:val="24"/>
        </w:rPr>
      </w:pPr>
      <w:r>
        <w:rPr>
          <w:rFonts w:hint="eastAsia" w:ascii="宋体" w:hAnsi="宋体" w:cs="宋体"/>
          <w:kern w:val="0"/>
          <w:sz w:val="24"/>
        </w:rPr>
        <w:t>如在银行营业场所购买杭银理财理财计划，销售机构需对每笔理财计划销售过程同步录音录像。</w:t>
      </w:r>
    </w:p>
    <w:p>
      <w:pPr>
        <w:numPr>
          <w:ilvl w:val="0"/>
          <w:numId w:val="61"/>
        </w:numPr>
        <w:spacing w:line="360" w:lineRule="auto"/>
        <w:rPr>
          <w:rFonts w:hint="eastAsia" w:ascii="宋体" w:hAnsi="宋体" w:cs="宋体"/>
          <w:kern w:val="0"/>
          <w:sz w:val="24"/>
        </w:rPr>
      </w:pPr>
      <w:r>
        <w:rPr>
          <w:rFonts w:hint="eastAsia" w:ascii="宋体" w:hAnsi="宋体" w:cs="宋体"/>
          <w:kern w:val="0"/>
          <w:sz w:val="24"/>
        </w:rPr>
        <w:t>投资者确定交易金额，完成交易申请，并在确认份额后进行查询。</w:t>
      </w:r>
    </w:p>
    <w:p>
      <w:pPr>
        <w:numPr>
          <w:ilvl w:val="0"/>
          <w:numId w:val="62"/>
        </w:numPr>
        <w:spacing w:line="360" w:lineRule="auto"/>
        <w:rPr>
          <w:rFonts w:hint="eastAsia" w:ascii="宋体" w:hAnsi="宋体" w:cs="宋体"/>
          <w:b/>
          <w:kern w:val="0"/>
          <w:sz w:val="24"/>
        </w:rPr>
      </w:pPr>
      <w:r>
        <w:rPr>
          <w:rFonts w:hint="eastAsia" w:ascii="宋体" w:hAnsi="宋体" w:cs="宋体"/>
          <w:b/>
          <w:kern w:val="0"/>
          <w:sz w:val="24"/>
        </w:rPr>
        <w:t>杭银理财产品风险评级</w:t>
      </w:r>
    </w:p>
    <w:p>
      <w:pPr>
        <w:spacing w:line="360" w:lineRule="auto"/>
        <w:ind w:firstLine="480" w:firstLineChars="200"/>
        <w:rPr>
          <w:rFonts w:hint="eastAsia" w:ascii="宋体" w:hAnsi="宋体" w:cs="宋体"/>
          <w:kern w:val="0"/>
          <w:sz w:val="24"/>
        </w:rPr>
      </w:pPr>
      <w:r>
        <w:rPr>
          <w:rFonts w:hint="eastAsia" w:ascii="宋体" w:hAnsi="宋体" w:cs="宋体"/>
          <w:kern w:val="0"/>
          <w:sz w:val="24"/>
        </w:rPr>
        <w:t>产品类型按照风险由低到高依次划分为低风险（R1）、中低风险（R2）、</w:t>
      </w:r>
      <w:r>
        <w:rPr>
          <w:rFonts w:hint="eastAsia" w:ascii="宋体" w:hAnsi="宋体" w:cs="宋体"/>
          <w:kern w:val="0"/>
          <w:sz w:val="24"/>
          <w:lang w:eastAsia="zh-CN"/>
        </w:rPr>
        <w:t>中风险</w:t>
      </w:r>
      <w:r>
        <w:rPr>
          <w:rFonts w:hint="eastAsia" w:ascii="宋体" w:hAnsi="宋体" w:cs="宋体"/>
          <w:kern w:val="0"/>
          <w:sz w:val="24"/>
        </w:rPr>
        <w:t>（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rPr>
            </w:pPr>
            <w:r>
              <w:rPr>
                <w:rFonts w:hint="eastAsia" w:ascii="宋体" w:hAnsi="宋体" w:cs="宋体"/>
                <w:b/>
                <w:kern w:val="0"/>
                <w:sz w:val="24"/>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rPr>
            </w:pPr>
            <w:r>
              <w:rPr>
                <w:rFonts w:hint="eastAsia" w:ascii="宋体" w:hAnsi="宋体" w:cs="宋体"/>
                <w:b/>
                <w:kern w:val="0"/>
                <w:sz w:val="24"/>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rPr>
            </w:pPr>
            <w:r>
              <w:rPr>
                <w:rFonts w:hint="eastAsia" w:ascii="宋体" w:hAnsi="宋体" w:cs="宋体"/>
                <w:b/>
                <w:kern w:val="0"/>
                <w:sz w:val="24"/>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rPr>
            </w:pPr>
            <w:r>
              <w:rPr>
                <w:rFonts w:hint="eastAsia" w:ascii="宋体" w:hAnsi="宋体" w:cs="宋体"/>
                <w:kern w:val="0"/>
                <w:sz w:val="24"/>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rPr>
            </w:pPr>
            <w:r>
              <w:rPr>
                <w:rFonts w:hint="eastAsia" w:ascii="宋体" w:hAnsi="宋体" w:cs="宋体"/>
                <w:kern w:val="0"/>
                <w:sz w:val="24"/>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rPr>
            </w:pPr>
            <w:r>
              <w:rPr>
                <w:rFonts w:hint="eastAsia" w:ascii="宋体" w:hAnsi="宋体" w:cs="宋体"/>
                <w:kern w:val="0"/>
                <w:sz w:val="24"/>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rPr>
            </w:pPr>
            <w:r>
              <w:rPr>
                <w:rFonts w:hint="eastAsia" w:ascii="宋体" w:hAnsi="宋体" w:cs="宋体"/>
                <w:kern w:val="0"/>
                <w:sz w:val="24"/>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rPr>
            </w:pPr>
            <w:r>
              <w:rPr>
                <w:rFonts w:hint="eastAsia" w:ascii="宋体" w:hAnsi="宋体" w:cs="宋体"/>
                <w:kern w:val="0"/>
                <w:sz w:val="24"/>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rPr>
            </w:pPr>
            <w:r>
              <w:rPr>
                <w:rFonts w:hint="eastAsia" w:ascii="宋体" w:hAnsi="宋体" w:cs="宋体"/>
                <w:kern w:val="0"/>
                <w:sz w:val="24"/>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rPr>
            </w:pPr>
            <w:r>
              <w:rPr>
                <w:rFonts w:hint="eastAsia" w:ascii="宋体" w:hAnsi="宋体" w:cs="宋体"/>
                <w:kern w:val="0"/>
                <w:sz w:val="24"/>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rPr>
            </w:pPr>
            <w:r>
              <w:rPr>
                <w:rFonts w:hint="eastAsia" w:ascii="宋体" w:hAnsi="宋体" w:cs="宋体"/>
                <w:kern w:val="0"/>
                <w:sz w:val="24"/>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rPr>
            </w:pPr>
            <w:r>
              <w:rPr>
                <w:rFonts w:hint="eastAsia" w:ascii="宋体" w:hAnsi="宋体" w:cs="宋体"/>
                <w:kern w:val="0"/>
                <w:sz w:val="24"/>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rPr>
            </w:pPr>
            <w:r>
              <w:rPr>
                <w:rFonts w:hint="eastAsia" w:ascii="宋体" w:hAnsi="宋体" w:cs="宋体"/>
                <w:kern w:val="0"/>
                <w:sz w:val="24"/>
              </w:rPr>
              <w:t>机构投资者及进取型的个人投资者</w:t>
            </w:r>
          </w:p>
        </w:tc>
      </w:tr>
    </w:tbl>
    <w:p>
      <w:pPr>
        <w:numPr>
          <w:ilvl w:val="0"/>
          <w:numId w:val="0"/>
        </w:numPr>
        <w:spacing w:line="360" w:lineRule="auto"/>
        <w:ind w:firstLine="480" w:firstLineChars="200"/>
        <w:rPr>
          <w:rFonts w:hint="eastAsia" w:ascii="宋体" w:hAnsi="宋体" w:cs="宋体"/>
          <w:b w:val="0"/>
          <w:kern w:val="0"/>
          <w:sz w:val="24"/>
        </w:rPr>
      </w:pPr>
      <w:r>
        <w:rPr>
          <w:rFonts w:hint="eastAsia" w:ascii="宋体" w:hAnsi="宋体" w:cs="宋体"/>
          <w:bCs w:val="0"/>
          <w:kern w:val="0"/>
          <w:sz w:val="24"/>
          <w:highlight w:val="none"/>
        </w:rPr>
        <w:t>投资者风险承受能力评级水平以销售机构评估为准。</w:t>
      </w:r>
    </w:p>
    <w:p>
      <w:pPr>
        <w:numPr>
          <w:ilvl w:val="0"/>
          <w:numId w:val="62"/>
        </w:numPr>
        <w:spacing w:line="360" w:lineRule="auto"/>
        <w:rPr>
          <w:rFonts w:hint="eastAsia" w:ascii="宋体" w:hAnsi="宋体" w:cs="宋体"/>
          <w:b/>
          <w:kern w:val="0"/>
          <w:sz w:val="24"/>
        </w:rPr>
      </w:pPr>
      <w:r>
        <w:rPr>
          <w:rFonts w:hint="eastAsia" w:ascii="宋体" w:hAnsi="宋体" w:cs="宋体"/>
          <w:b/>
          <w:kern w:val="0"/>
          <w:sz w:val="24"/>
        </w:rPr>
        <w:t>投资者风险承受能力评估</w:t>
      </w:r>
    </w:p>
    <w:p>
      <w:pPr>
        <w:numPr>
          <w:ilvl w:val="0"/>
          <w:numId w:val="63"/>
        </w:numPr>
        <w:spacing w:line="360" w:lineRule="auto"/>
        <w:rPr>
          <w:rFonts w:hint="eastAsia" w:ascii="宋体" w:hAnsi="宋体" w:cs="宋体"/>
          <w:kern w:val="0"/>
          <w:sz w:val="24"/>
        </w:rPr>
      </w:pPr>
      <w:r>
        <w:rPr>
          <w:rFonts w:hint="eastAsia" w:ascii="宋体" w:hAnsi="宋体" w:cs="宋体"/>
          <w:kern w:val="0"/>
          <w:sz w:val="24"/>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3"/>
        </w:numPr>
        <w:spacing w:line="360" w:lineRule="auto"/>
        <w:rPr>
          <w:rFonts w:hint="eastAsia" w:ascii="宋体" w:hAnsi="宋体" w:cs="宋体"/>
          <w:kern w:val="0"/>
          <w:sz w:val="24"/>
        </w:rPr>
      </w:pPr>
      <w:r>
        <w:rPr>
          <w:rFonts w:hint="eastAsia" w:ascii="宋体" w:hAnsi="宋体" w:cs="宋体"/>
          <w:kern w:val="0"/>
          <w:sz w:val="24"/>
        </w:rPr>
        <w:t>个人投资者风险承受能力评估结果有效期为一年，如风险承受能力评估时效已超过一年，或影响风险承受能力的因素发生变化，请及时完成风险承受能力的重新评估。</w:t>
      </w:r>
    </w:p>
    <w:p>
      <w:pPr>
        <w:numPr>
          <w:ilvl w:val="0"/>
          <w:numId w:val="63"/>
        </w:numPr>
        <w:spacing w:line="360" w:lineRule="auto"/>
        <w:rPr>
          <w:rFonts w:hint="eastAsia" w:ascii="宋体" w:hAnsi="宋体" w:cs="宋体"/>
          <w:kern w:val="0"/>
          <w:sz w:val="24"/>
        </w:rPr>
      </w:pPr>
      <w:r>
        <w:rPr>
          <w:rFonts w:hint="eastAsia" w:ascii="宋体" w:hAnsi="宋体" w:cs="宋体"/>
          <w:kern w:val="0"/>
          <w:sz w:val="24"/>
        </w:rPr>
        <w:t>个人投资者风险承受能力评估流程（详询销售机构工作人员）</w:t>
      </w:r>
    </w:p>
    <w:p>
      <w:pPr>
        <w:numPr>
          <w:ilvl w:val="0"/>
          <w:numId w:val="64"/>
        </w:numPr>
        <w:spacing w:line="360" w:lineRule="auto"/>
        <w:rPr>
          <w:rFonts w:hint="eastAsia" w:ascii="宋体" w:hAnsi="宋体" w:cs="宋体"/>
          <w:kern w:val="0"/>
          <w:sz w:val="24"/>
        </w:rPr>
      </w:pPr>
      <w:r>
        <w:rPr>
          <w:rFonts w:hint="eastAsia" w:ascii="宋体" w:hAnsi="宋体" w:cs="宋体"/>
          <w:kern w:val="0"/>
          <w:sz w:val="24"/>
        </w:rPr>
        <w:t>个人投资者在销售机构进行风险承受能力评估；</w:t>
      </w:r>
    </w:p>
    <w:p>
      <w:pPr>
        <w:numPr>
          <w:ilvl w:val="0"/>
          <w:numId w:val="64"/>
        </w:numPr>
        <w:spacing w:line="360" w:lineRule="auto"/>
        <w:rPr>
          <w:rFonts w:hint="eastAsia" w:ascii="宋体" w:hAnsi="宋体" w:cs="宋体"/>
          <w:kern w:val="0"/>
          <w:sz w:val="24"/>
        </w:rPr>
      </w:pPr>
      <w:r>
        <w:rPr>
          <w:rFonts w:hint="eastAsia" w:ascii="宋体" w:hAnsi="宋体" w:cs="宋体"/>
          <w:kern w:val="0"/>
          <w:sz w:val="24"/>
        </w:rPr>
        <w:t>填写销售机构个人投资者风险承受能力测试问卷；</w:t>
      </w:r>
    </w:p>
    <w:p>
      <w:pPr>
        <w:numPr>
          <w:ilvl w:val="0"/>
          <w:numId w:val="64"/>
        </w:numPr>
        <w:spacing w:line="360" w:lineRule="auto"/>
        <w:rPr>
          <w:rFonts w:hint="eastAsia" w:ascii="宋体" w:hAnsi="宋体" w:cs="宋体"/>
          <w:kern w:val="0"/>
          <w:sz w:val="24"/>
        </w:rPr>
      </w:pPr>
      <w:r>
        <w:rPr>
          <w:rFonts w:hint="eastAsia" w:ascii="宋体" w:hAnsi="宋体" w:cs="宋体"/>
          <w:kern w:val="0"/>
          <w:sz w:val="24"/>
        </w:rPr>
        <w:t>生成相应的个人投资者风险承受能力评估结果；</w:t>
      </w:r>
    </w:p>
    <w:p>
      <w:pPr>
        <w:numPr>
          <w:ilvl w:val="0"/>
          <w:numId w:val="64"/>
        </w:numPr>
        <w:spacing w:line="360" w:lineRule="auto"/>
        <w:rPr>
          <w:rFonts w:hint="eastAsia" w:ascii="宋体" w:hAnsi="宋体" w:cs="宋体"/>
          <w:kern w:val="0"/>
          <w:sz w:val="24"/>
        </w:rPr>
      </w:pPr>
      <w:r>
        <w:rPr>
          <w:rFonts w:hint="eastAsia" w:ascii="宋体" w:hAnsi="宋体" w:cs="宋体"/>
          <w:kern w:val="0"/>
          <w:sz w:val="24"/>
        </w:rPr>
        <w:t>投资者对评估结果进行确认。</w:t>
      </w:r>
    </w:p>
    <w:p>
      <w:pPr>
        <w:numPr>
          <w:ilvl w:val="0"/>
          <w:numId w:val="65"/>
        </w:numPr>
        <w:spacing w:line="360" w:lineRule="auto"/>
        <w:rPr>
          <w:rFonts w:hint="eastAsia" w:ascii="宋体" w:hAnsi="宋体" w:cs="宋体"/>
          <w:kern w:val="0"/>
          <w:sz w:val="24"/>
        </w:rPr>
      </w:pPr>
      <w:r>
        <w:rPr>
          <w:rFonts w:hint="eastAsia" w:ascii="宋体" w:hAnsi="宋体" w:cs="宋体"/>
          <w:kern w:val="0"/>
          <w:sz w:val="24"/>
        </w:rPr>
        <w:t>风险承受能力评估结果将作为评价个人投资者是否适合购买理财计划的重要因素，风险承受能力评级越高适合购买的理财计划风险评级越高，适合购买的理财计划类型越丰富。</w:t>
      </w:r>
    </w:p>
    <w:p>
      <w:pPr>
        <w:numPr>
          <w:ilvl w:val="0"/>
          <w:numId w:val="65"/>
        </w:numPr>
        <w:spacing w:line="360" w:lineRule="auto"/>
        <w:rPr>
          <w:rFonts w:hint="eastAsia" w:ascii="宋体" w:hAnsi="宋体" w:cs="宋体"/>
          <w:kern w:val="0"/>
          <w:sz w:val="24"/>
        </w:rPr>
      </w:pPr>
      <w:r>
        <w:rPr>
          <w:rFonts w:hint="eastAsia" w:ascii="宋体" w:hAnsi="宋体" w:cs="宋体"/>
          <w:kern w:val="0"/>
          <w:sz w:val="24"/>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5"/>
        </w:numPr>
        <w:spacing w:line="360" w:lineRule="auto"/>
        <w:rPr>
          <w:rFonts w:hint="eastAsia" w:ascii="宋体" w:hAnsi="宋体" w:cs="宋体"/>
          <w:kern w:val="0"/>
          <w:sz w:val="24"/>
        </w:rPr>
      </w:pPr>
      <w:r>
        <w:rPr>
          <w:rFonts w:hint="eastAsia" w:ascii="宋体" w:hAnsi="宋体" w:cs="宋体"/>
          <w:kern w:val="0"/>
          <w:sz w:val="24"/>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rPr>
        <w:t>的基础上，充分认识投资本理财计划需要承担的风险。</w:t>
      </w:r>
    </w:p>
    <w:p>
      <w:pPr>
        <w:spacing w:line="360" w:lineRule="auto"/>
        <w:ind w:firstLine="482" w:firstLineChars="200"/>
        <w:rPr>
          <w:rFonts w:hint="eastAsia" w:ascii="宋体" w:hAnsi="宋体" w:cs="宋体"/>
          <w:b/>
          <w:kern w:val="0"/>
          <w:sz w:val="24"/>
        </w:rPr>
      </w:pPr>
      <w:r>
        <w:rPr>
          <w:rFonts w:hint="eastAsia" w:ascii="宋体" w:hAnsi="宋体" w:cs="宋体"/>
          <w:b/>
          <w:kern w:val="0"/>
          <w:sz w:val="24"/>
        </w:rPr>
        <w:t>四、理财计划信息披露</w:t>
      </w:r>
    </w:p>
    <w:p>
      <w:pPr>
        <w:spacing w:line="360" w:lineRule="auto"/>
        <w:ind w:firstLine="480" w:firstLineChars="200"/>
        <w:rPr>
          <w:rFonts w:hint="eastAsia" w:ascii="宋体" w:hAnsi="宋体" w:cs="宋体"/>
          <w:kern w:val="0"/>
          <w:sz w:val="24"/>
        </w:rPr>
      </w:pPr>
      <w:r>
        <w:rPr>
          <w:rFonts w:hint="eastAsia" w:ascii="宋体" w:hAnsi="宋体" w:cs="宋体"/>
          <w:kern w:val="0"/>
          <w:sz w:val="24"/>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rPr>
          <w:rFonts w:hint="eastAsia" w:ascii="宋体" w:hAnsi="宋体" w:cs="宋体"/>
          <w:b/>
          <w:kern w:val="0"/>
          <w:sz w:val="24"/>
        </w:rPr>
      </w:pPr>
      <w:r>
        <w:rPr>
          <w:rFonts w:hint="eastAsia" w:ascii="宋体" w:hAnsi="宋体" w:cs="宋体"/>
          <w:b/>
          <w:kern w:val="0"/>
          <w:sz w:val="24"/>
        </w:rPr>
        <w:t>五、投资者信息管理</w:t>
      </w:r>
    </w:p>
    <w:p>
      <w:pPr>
        <w:spacing w:line="360" w:lineRule="auto"/>
        <w:ind w:firstLine="480" w:firstLineChars="200"/>
        <w:rPr>
          <w:rFonts w:hint="eastAsia" w:ascii="宋体" w:hAnsi="宋体" w:cs="宋体"/>
          <w:kern w:val="0"/>
          <w:sz w:val="24"/>
        </w:rPr>
      </w:pPr>
      <w:r>
        <w:rPr>
          <w:rFonts w:hint="eastAsia" w:ascii="宋体" w:hAnsi="宋体" w:cs="宋体"/>
          <w:kern w:val="0"/>
          <w:sz w:val="24"/>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rPr>
      </w:pPr>
      <w:r>
        <w:rPr>
          <w:rFonts w:hint="eastAsia" w:ascii="宋体" w:hAnsi="宋体" w:cs="宋体"/>
          <w:kern w:val="0"/>
          <w:sz w:val="24"/>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rPr>
          <w:rFonts w:hint="eastAsia" w:ascii="宋体" w:hAnsi="宋体" w:cs="宋体"/>
          <w:b/>
          <w:kern w:val="0"/>
          <w:sz w:val="24"/>
        </w:rPr>
      </w:pPr>
      <w:r>
        <w:rPr>
          <w:rFonts w:hint="eastAsia" w:ascii="宋体" w:hAnsi="宋体" w:cs="宋体"/>
          <w:b/>
          <w:kern w:val="0"/>
          <w:sz w:val="24"/>
        </w:rPr>
        <w:t>六、投诉与建议</w:t>
      </w:r>
    </w:p>
    <w:p>
      <w:pPr>
        <w:numPr>
          <w:ilvl w:val="0"/>
          <w:numId w:val="66"/>
        </w:numPr>
        <w:spacing w:line="360" w:lineRule="auto"/>
        <w:rPr>
          <w:rFonts w:hint="eastAsia" w:ascii="宋体" w:hAnsi="宋体" w:cs="宋体"/>
          <w:kern w:val="0"/>
          <w:sz w:val="24"/>
        </w:rPr>
      </w:pPr>
      <w:r>
        <w:rPr>
          <w:rFonts w:hint="eastAsia" w:ascii="宋体" w:hAnsi="宋体" w:cs="宋体"/>
          <w:kern w:val="0"/>
          <w:sz w:val="24"/>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6"/>
        </w:numPr>
        <w:spacing w:line="360" w:lineRule="auto"/>
        <w:rPr>
          <w:rFonts w:hint="eastAsia" w:ascii="宋体" w:hAnsi="宋体" w:cs="宋体"/>
          <w:kern w:val="0"/>
          <w:sz w:val="24"/>
        </w:rPr>
      </w:pPr>
      <w:r>
        <w:rPr>
          <w:rFonts w:hint="eastAsia" w:ascii="宋体" w:hAnsi="宋体" w:cs="宋体"/>
          <w:kern w:val="0"/>
          <w:sz w:val="24"/>
        </w:rPr>
        <w:t>联络方式</w:t>
      </w:r>
    </w:p>
    <w:p>
      <w:pPr>
        <w:numPr>
          <w:ilvl w:val="0"/>
          <w:numId w:val="67"/>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lang w:eastAsia="zh-CN"/>
        </w:rPr>
        <w:t>杭银理</w:t>
      </w:r>
      <w:r>
        <w:rPr>
          <w:rFonts w:hint="eastAsia" w:ascii="宋体" w:hAnsi="宋体" w:cs="宋体"/>
          <w:kern w:val="0"/>
          <w:sz w:val="24"/>
          <w:highlight w:val="none"/>
          <w:lang w:eastAsia="zh-CN"/>
        </w:rPr>
        <w:t>财联络方式：</w:t>
      </w:r>
    </w:p>
    <w:p>
      <w:pPr>
        <w:numPr>
          <w:ilvl w:val="0"/>
          <w:numId w:val="0"/>
        </w:numPr>
        <w:spacing w:line="360" w:lineRule="auto"/>
        <w:ind w:firstLine="480" w:firstLineChars="200"/>
        <w:rPr>
          <w:rFonts w:hint="default"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u w:val="single"/>
          <w:lang w:val="en-US" w:eastAsia="zh-CN"/>
        </w:rPr>
        <w:fldChar w:fldCharType="begin"/>
      </w:r>
      <w:r>
        <w:rPr>
          <w:rFonts w:hint="eastAsia" w:ascii="宋体" w:hAnsi="宋体" w:cs="宋体"/>
          <w:kern w:val="0"/>
          <w:sz w:val="24"/>
          <w:highlight w:val="none"/>
          <w:u w:val="single"/>
          <w:lang w:val="en-US" w:eastAsia="zh-CN"/>
        </w:rPr>
        <w:instrText xml:space="preserve"> HYPERLINK "http://www.hzbankwealth.cn" </w:instrText>
      </w:r>
      <w:r>
        <w:rPr>
          <w:rFonts w:hint="eastAsia" w:ascii="宋体" w:hAnsi="宋体" w:cs="宋体"/>
          <w:kern w:val="0"/>
          <w:sz w:val="24"/>
          <w:highlight w:val="none"/>
          <w:u w:val="single"/>
          <w:lang w:val="en-US" w:eastAsia="zh-CN"/>
        </w:rPr>
        <w:fldChar w:fldCharType="separate"/>
      </w:r>
      <w:r>
        <w:rPr>
          <w:rStyle w:val="12"/>
          <w:rFonts w:hint="eastAsia" w:ascii="宋体" w:hAnsi="宋体" w:cs="宋体"/>
          <w:kern w:val="0"/>
          <w:sz w:val="24"/>
          <w:highlight w:val="none"/>
          <w:lang w:val="en-US" w:eastAsia="zh-CN"/>
        </w:rPr>
        <w:t>www.hzbankwealth.co</w:t>
      </w:r>
      <w:r>
        <w:rPr>
          <w:rFonts w:hint="eastAsia" w:ascii="宋体" w:hAnsi="宋体" w:cs="宋体"/>
          <w:kern w:val="0"/>
          <w:sz w:val="24"/>
          <w:highlight w:val="none"/>
          <w:u w:val="single"/>
          <w:lang w:val="en-US" w:eastAsia="zh-CN"/>
        </w:rPr>
        <w:fldChar w:fldCharType="end"/>
      </w:r>
      <w:r>
        <w:rPr>
          <w:rStyle w:val="12"/>
          <w:rFonts w:hint="eastAsia" w:ascii="宋体" w:hAnsi="宋体" w:cs="宋体"/>
          <w:kern w:val="0"/>
          <w:sz w:val="24"/>
          <w:highlight w:val="none"/>
          <w:lang w:val="en-US" w:eastAsia="zh-CN"/>
        </w:rPr>
        <w:t>m.cn</w:t>
      </w:r>
    </w:p>
    <w:p>
      <w:pPr>
        <w:numPr>
          <w:ilvl w:val="0"/>
          <w:numId w:val="0"/>
        </w:numPr>
        <w:spacing w:line="360" w:lineRule="auto"/>
        <w:ind w:firstLine="480" w:firstLineChars="200"/>
        <w:rPr>
          <w:rFonts w:hint="default" w:ascii="宋体" w:hAnsi="宋体" w:cs="宋体"/>
          <w:kern w:val="0"/>
          <w:sz w:val="24"/>
          <w:highlight w:val="yellow"/>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rPr>
      </w:pPr>
      <w:r>
        <w:rPr>
          <w:rFonts w:hint="eastAsia" w:ascii="宋体" w:hAnsi="宋体" w:cs="宋体"/>
          <w:kern w:val="0"/>
          <w:sz w:val="24"/>
          <w:u w:val="none"/>
          <w:lang w:val="en-US" w:eastAsia="zh-CN"/>
        </w:rPr>
        <w:t>公司地址：</w:t>
      </w:r>
      <w:r>
        <w:rPr>
          <w:rFonts w:hint="eastAsia" w:ascii="宋体" w:hAnsi="宋体" w:cs="宋体"/>
          <w:kern w:val="0"/>
          <w:sz w:val="24"/>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lang w:val="en-US" w:eastAsia="zh-CN"/>
        </w:rPr>
      </w:pPr>
      <w:r>
        <w:rPr>
          <w:rFonts w:hint="eastAsia" w:ascii="宋体" w:hAnsi="宋体" w:cs="宋体"/>
          <w:kern w:val="0"/>
          <w:sz w:val="24"/>
          <w:lang w:eastAsia="zh-CN"/>
        </w:rPr>
        <w:t>若</w:t>
      </w:r>
      <w:r>
        <w:rPr>
          <w:rFonts w:hint="eastAsia" w:ascii="宋体" w:hAnsi="宋体" w:cs="宋体"/>
          <w:kern w:val="0"/>
          <w:sz w:val="24"/>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rPr>
        <w:t>及时告知投资者。</w:t>
      </w:r>
    </w:p>
    <w:p>
      <w:pPr>
        <w:numPr>
          <w:ilvl w:val="0"/>
          <w:numId w:val="67"/>
        </w:numPr>
        <w:spacing w:line="360" w:lineRule="auto"/>
        <w:ind w:left="0" w:leftChars="0" w:firstLine="480" w:firstLineChars="200"/>
        <w:rPr>
          <w:rFonts w:hint="eastAsia" w:ascii="宋体" w:hAnsi="宋体" w:cs="宋体"/>
          <w:kern w:val="0"/>
          <w:sz w:val="24"/>
        </w:rPr>
      </w:pPr>
      <w:r>
        <w:rPr>
          <w:rFonts w:hint="eastAsia" w:ascii="宋体" w:hAnsi="宋体" w:cs="宋体"/>
          <w:kern w:val="0"/>
          <w:sz w:val="24"/>
          <w:lang w:eastAsia="zh-CN"/>
        </w:rPr>
        <w:t>杭州银行</w:t>
      </w:r>
      <w:r>
        <w:rPr>
          <w:rFonts w:hint="eastAsia" w:ascii="宋体" w:hAnsi="宋体" w:cs="宋体"/>
          <w:kern w:val="0"/>
          <w:sz w:val="24"/>
        </w:rPr>
        <w:t>（作为销售机构）</w:t>
      </w:r>
      <w:r>
        <w:rPr>
          <w:rFonts w:hint="eastAsia" w:ascii="宋体" w:hAnsi="宋体" w:cs="宋体"/>
          <w:kern w:val="0"/>
          <w:sz w:val="24"/>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lang w:eastAsia="zh-CN"/>
        </w:rPr>
        <w:t>官方网站</w:t>
      </w:r>
      <w:r>
        <w:rPr>
          <w:rFonts w:hint="eastAsia" w:ascii="宋体" w:hAnsi="宋体" w:cs="宋体"/>
          <w:kern w:val="0"/>
          <w:sz w:val="24"/>
          <w:lang w:val="en-US" w:eastAsia="zh-CN"/>
        </w:rPr>
        <w:t xml:space="preserve">: </w:t>
      </w:r>
      <w:r>
        <w:rPr>
          <w:rFonts w:hint="eastAsia" w:ascii="宋体" w:hAnsi="宋体" w:cs="宋体"/>
          <w:kern w:val="0"/>
          <w:sz w:val="24"/>
          <w:highlight w:val="none"/>
          <w:u w:val="single"/>
          <w:lang w:val="en-US" w:eastAsia="zh-CN"/>
        </w:rPr>
        <w:fldChar w:fldCharType="begin"/>
      </w:r>
      <w:r>
        <w:rPr>
          <w:rFonts w:hint="eastAsia" w:ascii="宋体" w:hAnsi="宋体" w:cs="宋体"/>
          <w:kern w:val="0"/>
          <w:sz w:val="24"/>
          <w:highlight w:val="none"/>
          <w:u w:val="single"/>
          <w:lang w:val="en-US" w:eastAsia="zh-CN"/>
        </w:rPr>
        <w:instrText xml:space="preserve"> HYPERLINK "http://www.hzbankwealth.cn" </w:instrText>
      </w:r>
      <w:r>
        <w:rPr>
          <w:rFonts w:hint="eastAsia" w:ascii="宋体" w:hAnsi="宋体" w:cs="宋体"/>
          <w:kern w:val="0"/>
          <w:sz w:val="24"/>
          <w:highlight w:val="none"/>
          <w:u w:val="single"/>
          <w:lang w:val="en-US" w:eastAsia="zh-CN"/>
        </w:rPr>
        <w:fldChar w:fldCharType="separate"/>
      </w:r>
      <w:r>
        <w:rPr>
          <w:rStyle w:val="12"/>
          <w:rFonts w:hint="eastAsia" w:ascii="宋体" w:hAnsi="宋体" w:cs="宋体"/>
          <w:kern w:val="0"/>
          <w:sz w:val="24"/>
          <w:highlight w:val="none"/>
          <w:lang w:val="en-US" w:eastAsia="zh-CN"/>
        </w:rPr>
        <w:t>www.hzbank.com.cn</w:t>
      </w:r>
      <w:r>
        <w:rPr>
          <w:rFonts w:hint="eastAsia" w:ascii="宋体" w:hAnsi="宋体" w:cs="宋体"/>
          <w:kern w:val="0"/>
          <w:sz w:val="24"/>
          <w:highlight w:val="none"/>
          <w:u w:val="singl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rPr>
        <w:t>4008888508</w:t>
      </w:r>
    </w:p>
    <w:p>
      <w:pPr>
        <w:spacing w:line="360"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lang w:eastAsia="zh-CN"/>
        </w:rPr>
        <w:t>在</w:t>
      </w:r>
      <w:r>
        <w:rPr>
          <w:rFonts w:hint="eastAsia" w:ascii="宋体" w:hAnsi="宋体" w:cs="宋体"/>
          <w:kern w:val="0"/>
          <w:sz w:val="24"/>
        </w:rPr>
        <w:t>其他销售机构购买理财计划的，请联系其他销售机构，联系方式以其披露为准。</w:t>
      </w:r>
    </w:p>
    <w:p>
      <w:pPr>
        <w:jc w:val="center"/>
        <w:rPr>
          <w:rFonts w:hint="eastAsia"/>
          <w:b/>
          <w:sz w:val="44"/>
          <w:szCs w:val="44"/>
        </w:rPr>
      </w:pPr>
      <w:r>
        <w:rPr>
          <w:rFonts w:hint="eastAsia" w:ascii="宋体" w:hAnsi="宋体" w:cs="宋体"/>
          <w:bCs/>
          <w:color w:val="000000"/>
          <w:sz w:val="24"/>
        </w:rPr>
        <w:br w:type="page"/>
      </w:r>
      <w:r>
        <w:rPr>
          <w:rFonts w:hint="eastAsia"/>
          <w:b/>
          <w:sz w:val="44"/>
          <w:szCs w:val="44"/>
        </w:rPr>
        <w:t>杭银理财理财计划投资协议书</w:t>
      </w:r>
    </w:p>
    <w:p>
      <w:pPr>
        <w:jc w:val="center"/>
        <w:rPr>
          <w:rFonts w:hint="eastAsia"/>
          <w:b/>
          <w:sz w:val="44"/>
          <w:szCs w:val="44"/>
        </w:rPr>
      </w:pPr>
      <w:r>
        <w:rPr>
          <w:rFonts w:hint="eastAsia" w:ascii="宋体" w:hAnsi="宋体" w:cs="宋体"/>
          <w:sz w:val="28"/>
          <w:szCs w:val="28"/>
        </w:rPr>
        <w:t>（</w:t>
      </w:r>
      <w:r>
        <w:rPr>
          <w:rFonts w:hint="eastAsia" w:ascii="宋体" w:hAnsi="宋体" w:cs="宋体"/>
          <w:sz w:val="28"/>
          <w:szCs w:val="28"/>
          <w:lang w:eastAsia="zh-CN"/>
        </w:rPr>
        <w:t>202201</w:t>
      </w:r>
      <w:r>
        <w:rPr>
          <w:rFonts w:hint="eastAsia" w:ascii="宋体" w:hAnsi="宋体" w:cs="宋体"/>
          <w:sz w:val="28"/>
          <w:szCs w:val="28"/>
        </w:rPr>
        <w:t>版）</w:t>
      </w:r>
    </w:p>
    <w:p>
      <w:pPr>
        <w:jc w:val="center"/>
        <w:rPr>
          <w:rFonts w:hint="eastAsia"/>
          <w:b/>
          <w:sz w:val="32"/>
          <w:szCs w:val="32"/>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rPr>
      </w:pPr>
      <w:r>
        <w:rPr>
          <w:rFonts w:hint="eastAsia"/>
          <w:b/>
          <w:bCs/>
          <w:sz w:val="24"/>
        </w:rPr>
        <w:t>特别提示：杭银理财理财计划投资协议书与</w:t>
      </w:r>
      <w:r>
        <w:rPr>
          <w:rFonts w:hint="eastAsia"/>
          <w:b/>
          <w:bCs/>
          <w:sz w:val="24"/>
        </w:rPr>
        <w:t>理财计划</w:t>
      </w:r>
      <w:r>
        <w:rPr>
          <w:rFonts w:hint="eastAsia"/>
          <w:b/>
          <w:bCs/>
          <w:sz w:val="24"/>
        </w:rPr>
        <w:t>风险揭示书、理财计划</w:t>
      </w:r>
      <w:r>
        <w:rPr>
          <w:rFonts w:hint="eastAsia"/>
          <w:b/>
          <w:bCs/>
          <w:sz w:val="24"/>
          <w:lang w:val="en-US" w:eastAsia="zh-CN"/>
        </w:rPr>
        <w:t>产品</w:t>
      </w:r>
      <w:r>
        <w:rPr>
          <w:rFonts w:hint="eastAsia"/>
          <w:b/>
          <w:bCs/>
          <w:sz w:val="24"/>
        </w:rPr>
        <w:t>说明书、投资者权益须知及</w:t>
      </w:r>
      <w:r>
        <w:rPr>
          <w:rFonts w:hint="eastAsia" w:ascii="宋体" w:hAnsi="宋体" w:cs="宋体"/>
          <w:b/>
          <w:bCs/>
          <w:sz w:val="24"/>
        </w:rPr>
        <w:t>理财计划销售协议书</w:t>
      </w:r>
      <w:r>
        <w:rPr>
          <w:rFonts w:hint="eastAsia"/>
          <w:b/>
          <w:bCs/>
          <w:sz w:val="24"/>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rPr>
      </w:pPr>
      <w:r>
        <w:rPr>
          <w:rFonts w:hint="eastAsia"/>
          <w:sz w:val="24"/>
        </w:rPr>
        <w:t>投资者与管理人（即杭银理财有限责任公司）经平等友好协商，本着自愿、诚实信用原则，就投资者购买管理人发行的理财计划有关事宜达成如下协议（以下简称“本协议”）：</w:t>
      </w:r>
    </w:p>
    <w:p>
      <w:pPr>
        <w:numPr>
          <w:ilvl w:val="0"/>
          <w:numId w:val="68"/>
        </w:numPr>
        <w:spacing w:line="360" w:lineRule="auto"/>
        <w:ind w:firstLine="482" w:firstLineChars="200"/>
        <w:rPr>
          <w:rFonts w:hint="eastAsia" w:ascii="宋体" w:hAnsi="宋体"/>
          <w:b/>
          <w:bCs/>
          <w:sz w:val="24"/>
        </w:rPr>
      </w:pPr>
      <w:r>
        <w:rPr>
          <w:rFonts w:hint="eastAsia"/>
          <w:b/>
          <w:bCs/>
          <w:sz w:val="24"/>
        </w:rPr>
        <w:t>名词释义</w:t>
      </w:r>
    </w:p>
    <w:p>
      <w:pPr>
        <w:spacing w:line="360" w:lineRule="auto"/>
        <w:ind w:firstLine="480" w:firstLineChars="200"/>
        <w:rPr>
          <w:rFonts w:hint="eastAsia"/>
          <w:bCs/>
          <w:sz w:val="24"/>
        </w:rPr>
      </w:pPr>
      <w:r>
        <w:rPr>
          <w:rFonts w:hint="eastAsia"/>
          <w:bCs/>
          <w:sz w:val="24"/>
        </w:rPr>
        <w:t>详见理财计划说明书“释义”部分。</w:t>
      </w:r>
    </w:p>
    <w:p>
      <w:pPr>
        <w:numPr>
          <w:ilvl w:val="0"/>
          <w:numId w:val="68"/>
        </w:numPr>
        <w:spacing w:line="360" w:lineRule="auto"/>
        <w:ind w:firstLine="482" w:firstLineChars="200"/>
        <w:rPr>
          <w:rFonts w:hint="eastAsia"/>
          <w:b/>
          <w:sz w:val="24"/>
        </w:rPr>
      </w:pPr>
      <w:r>
        <w:rPr>
          <w:rFonts w:hint="eastAsia"/>
          <w:b/>
          <w:sz w:val="24"/>
        </w:rPr>
        <w:t>投资者权利与义务</w:t>
      </w:r>
    </w:p>
    <w:p>
      <w:pPr>
        <w:widowControl/>
        <w:numPr>
          <w:ilvl w:val="0"/>
          <w:numId w:val="69"/>
        </w:numPr>
        <w:spacing w:line="360" w:lineRule="auto"/>
        <w:contextualSpacing/>
        <w:rPr>
          <w:rFonts w:ascii="宋体" w:hAnsi="宋体"/>
          <w:sz w:val="24"/>
        </w:rPr>
      </w:pPr>
      <w:r>
        <w:rPr>
          <w:rFonts w:hint="eastAsia" w:ascii="宋体" w:hAnsi="宋体"/>
          <w:sz w:val="24"/>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9"/>
        </w:numPr>
        <w:spacing w:line="360" w:lineRule="auto"/>
        <w:contextualSpacing/>
        <w:rPr>
          <w:rFonts w:ascii="宋体" w:hAnsi="宋体"/>
          <w:sz w:val="24"/>
        </w:rPr>
      </w:pPr>
      <w:r>
        <w:rPr>
          <w:rFonts w:hint="eastAsia" w:ascii="宋体" w:hAnsi="宋体"/>
          <w:sz w:val="24"/>
        </w:rPr>
        <w:t>投资者保证自身完全了解理财投资的性质，投资所涉及的风险以及自身风险承受能力，在慎重考虑后独立作出交易决定。</w:t>
      </w:r>
    </w:p>
    <w:p>
      <w:pPr>
        <w:widowControl/>
        <w:numPr>
          <w:ilvl w:val="0"/>
          <w:numId w:val="69"/>
        </w:numPr>
        <w:spacing w:line="360" w:lineRule="auto"/>
        <w:contextualSpacing/>
        <w:rPr>
          <w:rFonts w:ascii="宋体" w:hAnsi="宋体"/>
          <w:sz w:val="24"/>
        </w:rPr>
      </w:pPr>
      <w:r>
        <w:rPr>
          <w:rFonts w:hint="eastAsia" w:ascii="宋体" w:hAnsi="宋体"/>
          <w:sz w:val="24"/>
        </w:rPr>
        <w:t>投资者保证其有权利签署本协议和履行本协议所述的义务，并已为此采取一切所需的行为。</w:t>
      </w:r>
    </w:p>
    <w:p>
      <w:pPr>
        <w:widowControl/>
        <w:numPr>
          <w:ilvl w:val="0"/>
          <w:numId w:val="69"/>
        </w:numPr>
        <w:spacing w:line="360" w:lineRule="auto"/>
        <w:contextualSpacing/>
        <w:rPr>
          <w:rFonts w:ascii="宋体" w:hAnsi="宋体"/>
          <w:sz w:val="24"/>
        </w:rPr>
      </w:pPr>
      <w:r>
        <w:rPr>
          <w:rFonts w:hint="eastAsia" w:ascii="宋体" w:hAnsi="宋体"/>
          <w:sz w:val="24"/>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69"/>
        </w:numPr>
        <w:spacing w:line="360" w:lineRule="auto"/>
        <w:contextualSpacing/>
        <w:rPr>
          <w:rFonts w:ascii="宋体" w:hAnsi="宋体"/>
          <w:sz w:val="24"/>
        </w:rPr>
      </w:pPr>
      <w:r>
        <w:rPr>
          <w:rFonts w:hint="eastAsia" w:ascii="宋体" w:hAnsi="宋体"/>
          <w:sz w:val="24"/>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69"/>
        </w:numPr>
        <w:spacing w:line="360" w:lineRule="auto"/>
        <w:contextualSpacing/>
        <w:rPr>
          <w:rFonts w:ascii="宋体" w:hAnsi="宋体"/>
          <w:sz w:val="24"/>
        </w:rPr>
      </w:pPr>
      <w:r>
        <w:rPr>
          <w:rFonts w:hint="eastAsia" w:ascii="宋体" w:hAnsi="宋体"/>
          <w:sz w:val="24"/>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69"/>
        </w:numPr>
        <w:spacing w:line="360" w:lineRule="auto"/>
        <w:contextualSpacing/>
        <w:rPr>
          <w:rFonts w:ascii="宋体" w:hAnsi="宋体"/>
          <w:sz w:val="24"/>
        </w:rPr>
      </w:pPr>
      <w:r>
        <w:rPr>
          <w:rFonts w:hint="eastAsia" w:ascii="宋体" w:hAnsi="宋体"/>
          <w:sz w:val="24"/>
        </w:rPr>
        <w:t>本协议终止前，投资者不得将授权指定账户销户。若发生因投资者注销授权指定账户造成理财计划无法正常兑付的，管理人不承担任何责任。</w:t>
      </w:r>
    </w:p>
    <w:p>
      <w:pPr>
        <w:widowControl/>
        <w:numPr>
          <w:ilvl w:val="0"/>
          <w:numId w:val="69"/>
        </w:numPr>
        <w:spacing w:line="360" w:lineRule="auto"/>
        <w:contextualSpacing/>
        <w:rPr>
          <w:rFonts w:ascii="宋体" w:hAnsi="宋体"/>
          <w:sz w:val="24"/>
        </w:rPr>
      </w:pPr>
      <w:r>
        <w:rPr>
          <w:rFonts w:hint="eastAsia" w:ascii="宋体" w:hAnsi="宋体"/>
          <w:sz w:val="24"/>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69"/>
        </w:numPr>
        <w:spacing w:line="360" w:lineRule="auto"/>
        <w:contextualSpacing/>
        <w:rPr>
          <w:rFonts w:ascii="宋体" w:hAnsi="宋体"/>
          <w:sz w:val="24"/>
        </w:rPr>
      </w:pPr>
      <w:r>
        <w:rPr>
          <w:rFonts w:hint="eastAsia" w:ascii="宋体" w:hAnsi="宋体"/>
          <w:sz w:val="24"/>
        </w:rPr>
        <w:t xml:space="preserve">投资者进行投资时，应严格遵守反洗钱相关法规的规定，切实履行反洗钱及反恐怖融资义务。 </w:t>
      </w:r>
    </w:p>
    <w:p>
      <w:pPr>
        <w:spacing w:line="360" w:lineRule="auto"/>
        <w:ind w:left="482"/>
        <w:rPr>
          <w:b/>
          <w:sz w:val="24"/>
        </w:rPr>
      </w:pPr>
    </w:p>
    <w:p>
      <w:pPr>
        <w:numPr>
          <w:ilvl w:val="0"/>
          <w:numId w:val="68"/>
        </w:numPr>
        <w:spacing w:line="360" w:lineRule="auto"/>
        <w:ind w:firstLine="482" w:firstLineChars="200"/>
        <w:rPr>
          <w:rFonts w:hint="eastAsia"/>
          <w:b/>
          <w:sz w:val="24"/>
        </w:rPr>
      </w:pPr>
      <w:r>
        <w:rPr>
          <w:rFonts w:hint="eastAsia"/>
          <w:b/>
          <w:sz w:val="24"/>
        </w:rPr>
        <w:t>管理人权利与义务</w:t>
      </w:r>
    </w:p>
    <w:p>
      <w:pPr>
        <w:widowControl/>
        <w:numPr>
          <w:ilvl w:val="0"/>
          <w:numId w:val="70"/>
        </w:numPr>
        <w:spacing w:line="360" w:lineRule="auto"/>
        <w:contextualSpacing/>
        <w:rPr>
          <w:rFonts w:ascii="宋体" w:hAnsi="宋体"/>
          <w:sz w:val="24"/>
        </w:rPr>
      </w:pPr>
      <w:r>
        <w:rPr>
          <w:rFonts w:hint="eastAsia" w:ascii="宋体" w:hAnsi="宋体"/>
          <w:sz w:val="24"/>
        </w:rPr>
        <w:t xml:space="preserve">管理人应当诚实守信、勤勉尽责地履行受人之托、代人理财职责。 </w:t>
      </w:r>
    </w:p>
    <w:p>
      <w:pPr>
        <w:widowControl/>
        <w:numPr>
          <w:ilvl w:val="0"/>
          <w:numId w:val="70"/>
        </w:numPr>
        <w:spacing w:line="360" w:lineRule="auto"/>
        <w:contextualSpacing/>
        <w:rPr>
          <w:rFonts w:ascii="宋体" w:hAnsi="宋体"/>
          <w:sz w:val="24"/>
        </w:rPr>
      </w:pPr>
      <w:r>
        <w:rPr>
          <w:rFonts w:hint="eastAsia" w:ascii="宋体" w:hAnsi="宋体"/>
          <w:sz w:val="24"/>
        </w:rPr>
        <w:t xml:space="preserve">管理人应当按照理财计划销售文件的约定收取管理费用、确定收益分配方案、向投资者分配收益。 </w:t>
      </w:r>
    </w:p>
    <w:p>
      <w:pPr>
        <w:widowControl/>
        <w:numPr>
          <w:ilvl w:val="0"/>
          <w:numId w:val="70"/>
        </w:numPr>
        <w:spacing w:line="360" w:lineRule="auto"/>
        <w:contextualSpacing/>
        <w:rPr>
          <w:rFonts w:ascii="宋体" w:hAnsi="宋体"/>
          <w:sz w:val="24"/>
        </w:rPr>
      </w:pPr>
      <w:r>
        <w:rPr>
          <w:rFonts w:hint="eastAsia" w:ascii="宋体" w:hAnsi="宋体"/>
          <w:sz w:val="24"/>
        </w:rPr>
        <w:t xml:space="preserve">管理人应当按照理财计划销售文件的约定履行风险揭示及信息披露义务。 </w:t>
      </w:r>
    </w:p>
    <w:p>
      <w:pPr>
        <w:widowControl/>
        <w:numPr>
          <w:ilvl w:val="0"/>
          <w:numId w:val="70"/>
        </w:numPr>
        <w:spacing w:line="360" w:lineRule="auto"/>
        <w:contextualSpacing/>
        <w:rPr>
          <w:rFonts w:ascii="宋体" w:hAnsi="宋体"/>
          <w:sz w:val="24"/>
        </w:rPr>
      </w:pPr>
      <w:r>
        <w:rPr>
          <w:rFonts w:hint="eastAsia" w:ascii="宋体" w:hAnsi="宋体"/>
          <w:sz w:val="24"/>
        </w:rPr>
        <w:t xml:space="preserve">管理人应当确保理财业务与其他业务相分离，理财计划之间相分离，理财业务操作与其他业务操作相分离。 </w:t>
      </w:r>
    </w:p>
    <w:p>
      <w:pPr>
        <w:widowControl/>
        <w:numPr>
          <w:ilvl w:val="0"/>
          <w:numId w:val="70"/>
        </w:numPr>
        <w:spacing w:line="360" w:lineRule="auto"/>
        <w:contextualSpacing/>
        <w:rPr>
          <w:rFonts w:ascii="宋体" w:hAnsi="宋体"/>
          <w:sz w:val="24"/>
        </w:rPr>
      </w:pPr>
      <w:r>
        <w:rPr>
          <w:rFonts w:ascii="宋体" w:hAnsi="宋体"/>
          <w:sz w:val="24"/>
        </w:rPr>
        <w:t>管理人不得将理财</w:t>
      </w:r>
      <w:r>
        <w:rPr>
          <w:rFonts w:hint="eastAsia" w:ascii="宋体" w:hAnsi="宋体"/>
          <w:sz w:val="24"/>
        </w:rPr>
        <w:t>计划</w:t>
      </w:r>
      <w:r>
        <w:rPr>
          <w:rFonts w:ascii="宋体" w:hAnsi="宋体"/>
          <w:sz w:val="24"/>
        </w:rPr>
        <w:t>财产归入其自有资产</w:t>
      </w:r>
      <w:r>
        <w:rPr>
          <w:rFonts w:hint="eastAsia" w:ascii="宋体" w:hAnsi="宋体"/>
          <w:sz w:val="24"/>
        </w:rPr>
        <w:t>，</w:t>
      </w:r>
      <w:r>
        <w:rPr>
          <w:rFonts w:ascii="宋体" w:hAnsi="宋体"/>
          <w:sz w:val="24"/>
        </w:rPr>
        <w:t>因依法解散</w:t>
      </w:r>
      <w:r>
        <w:rPr>
          <w:rFonts w:hint="eastAsia" w:ascii="宋体" w:hAnsi="宋体"/>
          <w:sz w:val="24"/>
        </w:rPr>
        <w:t>、</w:t>
      </w:r>
      <w:r>
        <w:rPr>
          <w:rFonts w:ascii="宋体" w:hAnsi="宋体"/>
          <w:sz w:val="24"/>
        </w:rPr>
        <w:t>被依法撤销或者被依法宣告破产等原因进行清算的</w:t>
      </w:r>
      <w:r>
        <w:rPr>
          <w:rFonts w:hint="eastAsia" w:ascii="宋体" w:hAnsi="宋体"/>
          <w:sz w:val="24"/>
        </w:rPr>
        <w:t>，</w:t>
      </w:r>
      <w:r>
        <w:rPr>
          <w:rFonts w:ascii="宋体" w:hAnsi="宋体"/>
          <w:sz w:val="24"/>
        </w:rPr>
        <w:t>理财</w:t>
      </w:r>
      <w:r>
        <w:rPr>
          <w:rFonts w:hint="eastAsia" w:ascii="宋体" w:hAnsi="宋体"/>
          <w:sz w:val="24"/>
        </w:rPr>
        <w:t>计划</w:t>
      </w:r>
      <w:r>
        <w:rPr>
          <w:rFonts w:ascii="宋体" w:hAnsi="宋体"/>
          <w:sz w:val="24"/>
        </w:rPr>
        <w:t>财产不属于其清算财产</w:t>
      </w:r>
      <w:r>
        <w:rPr>
          <w:rFonts w:hint="eastAsia" w:ascii="宋体" w:hAnsi="宋体"/>
          <w:sz w:val="24"/>
        </w:rPr>
        <w:t>。</w:t>
      </w:r>
    </w:p>
    <w:p>
      <w:pPr>
        <w:widowControl/>
        <w:numPr>
          <w:ilvl w:val="0"/>
          <w:numId w:val="70"/>
        </w:numPr>
        <w:spacing w:line="360" w:lineRule="auto"/>
        <w:contextualSpacing/>
        <w:rPr>
          <w:rFonts w:ascii="宋体" w:hAnsi="宋体"/>
          <w:sz w:val="24"/>
        </w:rPr>
      </w:pPr>
      <w:r>
        <w:rPr>
          <w:rFonts w:hint="eastAsia" w:ascii="宋体" w:hAnsi="宋体"/>
          <w:sz w:val="24"/>
        </w:rPr>
        <w:t>管理人应当选择具有证券投资基金托管业务资格的金融机构、银行业理财登记托管机构或者</w:t>
      </w:r>
      <w:r>
        <w:rPr>
          <w:rFonts w:hint="eastAsia" w:ascii="宋体" w:hAnsi="宋体" w:cs="宋体"/>
          <w:bCs/>
          <w:sz w:val="24"/>
        </w:rPr>
        <w:t>国务院银行业监督管理</w:t>
      </w:r>
      <w:r>
        <w:rPr>
          <w:rFonts w:hint="eastAsia" w:ascii="宋体" w:hAnsi="宋体" w:cs="宋体"/>
          <w:bCs/>
          <w:sz w:val="24"/>
          <w:lang w:val="en-US" w:eastAsia="zh-CN"/>
        </w:rPr>
        <w:t>机构</w:t>
      </w:r>
      <w:r>
        <w:rPr>
          <w:rFonts w:hint="eastAsia" w:ascii="宋体" w:hAnsi="宋体" w:cs="宋体"/>
          <w:bCs/>
          <w:sz w:val="24"/>
        </w:rPr>
        <w:t>认可</w:t>
      </w:r>
      <w:r>
        <w:rPr>
          <w:rFonts w:hint="eastAsia" w:ascii="宋体" w:hAnsi="宋体"/>
          <w:sz w:val="24"/>
        </w:rPr>
        <w:t xml:space="preserve">的其他机构托管理财计划。 </w:t>
      </w:r>
    </w:p>
    <w:p>
      <w:pPr>
        <w:widowControl/>
        <w:numPr>
          <w:ilvl w:val="0"/>
          <w:numId w:val="70"/>
        </w:numPr>
        <w:spacing w:line="360" w:lineRule="auto"/>
        <w:contextualSpacing/>
        <w:rPr>
          <w:rFonts w:ascii="宋体" w:hAnsi="宋体"/>
          <w:sz w:val="24"/>
        </w:rPr>
      </w:pPr>
      <w:r>
        <w:rPr>
          <w:rFonts w:hint="eastAsia" w:ascii="宋体" w:hAnsi="宋体"/>
          <w:sz w:val="24"/>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0"/>
        </w:numPr>
        <w:spacing w:line="360" w:lineRule="auto"/>
        <w:contextualSpacing/>
        <w:rPr>
          <w:rFonts w:ascii="宋体" w:hAnsi="宋体"/>
          <w:sz w:val="24"/>
        </w:rPr>
      </w:pPr>
      <w:r>
        <w:rPr>
          <w:rFonts w:hint="eastAsia" w:ascii="宋体" w:hAnsi="宋体"/>
          <w:sz w:val="24"/>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lang w:eastAsia="zh-CN"/>
        </w:rPr>
        <w:t>，</w:t>
      </w:r>
      <w:r>
        <w:rPr>
          <w:rFonts w:hint="eastAsia" w:ascii="宋体" w:hAnsi="宋体"/>
          <w:sz w:val="24"/>
          <w:lang w:val="en-US" w:eastAsia="zh-CN"/>
        </w:rPr>
        <w:t>授权使用时限与履行相关法律法规和监管要求的必要时限一致</w:t>
      </w:r>
      <w:r>
        <w:rPr>
          <w:rFonts w:hint="eastAsia" w:ascii="宋体" w:hAnsi="宋体"/>
          <w:sz w:val="24"/>
        </w:rPr>
        <w:t xml:space="preserve">。 </w:t>
      </w:r>
    </w:p>
    <w:p>
      <w:pPr>
        <w:widowControl/>
        <w:numPr>
          <w:ilvl w:val="0"/>
          <w:numId w:val="70"/>
        </w:numPr>
        <w:spacing w:line="360" w:lineRule="auto"/>
        <w:contextualSpacing/>
        <w:rPr>
          <w:rFonts w:ascii="宋体" w:hAnsi="宋体"/>
          <w:sz w:val="24"/>
        </w:rPr>
      </w:pPr>
      <w:r>
        <w:rPr>
          <w:rFonts w:hint="eastAsia" w:ascii="宋体" w:hAnsi="宋体"/>
          <w:sz w:val="24"/>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rPr>
      </w:pPr>
    </w:p>
    <w:p>
      <w:pPr>
        <w:numPr>
          <w:ilvl w:val="0"/>
          <w:numId w:val="68"/>
        </w:numPr>
        <w:spacing w:line="360" w:lineRule="auto"/>
        <w:ind w:firstLine="482" w:firstLineChars="200"/>
        <w:rPr>
          <w:rFonts w:hint="eastAsia"/>
          <w:b/>
          <w:sz w:val="24"/>
        </w:rPr>
      </w:pPr>
      <w:r>
        <w:rPr>
          <w:rFonts w:hint="eastAsia"/>
          <w:b/>
          <w:sz w:val="24"/>
        </w:rPr>
        <w:t>理财计划认（申）购、赎回及终止</w:t>
      </w:r>
    </w:p>
    <w:p>
      <w:pPr>
        <w:widowControl/>
        <w:numPr>
          <w:ilvl w:val="0"/>
          <w:numId w:val="71"/>
        </w:numPr>
        <w:spacing w:line="360" w:lineRule="auto"/>
        <w:contextualSpacing/>
        <w:rPr>
          <w:rFonts w:ascii="宋体" w:hAnsi="宋体"/>
          <w:sz w:val="24"/>
        </w:rPr>
      </w:pPr>
      <w:r>
        <w:rPr>
          <w:rFonts w:hint="eastAsia" w:ascii="宋体" w:hAnsi="宋体"/>
          <w:sz w:val="24"/>
        </w:rPr>
        <w:t xml:space="preserve">理财计划认/申购办理流程：参照《投资者权益须知》约定。 </w:t>
      </w:r>
    </w:p>
    <w:p>
      <w:pPr>
        <w:widowControl/>
        <w:numPr>
          <w:ilvl w:val="0"/>
          <w:numId w:val="71"/>
        </w:numPr>
        <w:spacing w:line="360" w:lineRule="auto"/>
        <w:contextualSpacing/>
        <w:rPr>
          <w:rFonts w:ascii="宋体" w:hAnsi="宋体"/>
          <w:sz w:val="24"/>
        </w:rPr>
      </w:pPr>
      <w:r>
        <w:rPr>
          <w:rFonts w:hint="eastAsia" w:ascii="宋体" w:hAnsi="宋体"/>
          <w:sz w:val="24"/>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1"/>
        </w:numPr>
        <w:spacing w:line="360" w:lineRule="auto"/>
        <w:contextualSpacing/>
        <w:rPr>
          <w:rFonts w:ascii="宋体" w:hAnsi="宋体"/>
          <w:sz w:val="24"/>
        </w:rPr>
      </w:pPr>
      <w:r>
        <w:rPr>
          <w:rFonts w:hint="eastAsia" w:ascii="宋体" w:hAnsi="宋体"/>
          <w:sz w:val="24"/>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1"/>
        </w:numPr>
        <w:spacing w:line="360" w:lineRule="auto"/>
        <w:contextualSpacing/>
        <w:rPr>
          <w:rFonts w:hint="eastAsia" w:ascii="宋体" w:hAnsi="宋体"/>
          <w:sz w:val="24"/>
        </w:rPr>
      </w:pPr>
      <w:r>
        <w:rPr>
          <w:rFonts w:hint="eastAsia" w:ascii="宋体" w:hAnsi="宋体"/>
          <w:sz w:val="24"/>
        </w:rPr>
        <w:t xml:space="preserve">理财计划投资品种、投资起点金额、收益支付方式：参照对应期次的《理财计划产品说明书》中的条款约定。 </w:t>
      </w:r>
    </w:p>
    <w:p>
      <w:pPr>
        <w:widowControl/>
        <w:numPr>
          <w:ilvl w:val="0"/>
          <w:numId w:val="71"/>
        </w:numPr>
        <w:spacing w:line="360" w:lineRule="auto"/>
        <w:contextualSpacing/>
        <w:rPr>
          <w:rFonts w:ascii="宋体" w:hAnsi="宋体"/>
          <w:sz w:val="24"/>
        </w:rPr>
      </w:pPr>
      <w:r>
        <w:rPr>
          <w:rFonts w:hint="eastAsia" w:ascii="宋体" w:hAnsi="宋体"/>
          <w:sz w:val="24"/>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1"/>
        </w:numPr>
        <w:spacing w:line="360" w:lineRule="auto"/>
        <w:contextualSpacing/>
        <w:rPr>
          <w:rFonts w:ascii="宋体" w:hAnsi="宋体"/>
          <w:sz w:val="24"/>
        </w:rPr>
      </w:pPr>
      <w:r>
        <w:rPr>
          <w:rFonts w:hint="eastAsia" w:ascii="宋体" w:hAnsi="宋体"/>
          <w:sz w:val="24"/>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rPr>
      </w:pPr>
    </w:p>
    <w:p>
      <w:pPr>
        <w:numPr>
          <w:ilvl w:val="0"/>
          <w:numId w:val="68"/>
        </w:numPr>
        <w:spacing w:line="360" w:lineRule="auto"/>
        <w:ind w:firstLine="482" w:firstLineChars="200"/>
        <w:rPr>
          <w:rFonts w:hint="eastAsia"/>
          <w:b/>
          <w:sz w:val="24"/>
        </w:rPr>
      </w:pPr>
      <w:r>
        <w:rPr>
          <w:rFonts w:hint="eastAsia"/>
          <w:b/>
          <w:sz w:val="24"/>
        </w:rPr>
        <w:t>税收处理</w:t>
      </w:r>
    </w:p>
    <w:p>
      <w:pPr>
        <w:widowControl/>
        <w:spacing w:line="360" w:lineRule="auto"/>
        <w:ind w:firstLine="480" w:firstLineChars="200"/>
        <w:contextualSpacing/>
        <w:rPr>
          <w:rFonts w:hint="eastAsia" w:ascii="宋体" w:hAnsi="宋体"/>
          <w:sz w:val="24"/>
        </w:rPr>
      </w:pPr>
      <w:r>
        <w:rPr>
          <w:rFonts w:hint="eastAsia" w:ascii="宋体" w:hAnsi="宋体"/>
          <w:sz w:val="24"/>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rPr>
      </w:pPr>
    </w:p>
    <w:p>
      <w:pPr>
        <w:numPr>
          <w:ilvl w:val="0"/>
          <w:numId w:val="68"/>
        </w:numPr>
        <w:spacing w:line="360" w:lineRule="auto"/>
        <w:ind w:firstLine="482" w:firstLineChars="200"/>
        <w:rPr>
          <w:rFonts w:hint="eastAsia"/>
          <w:b/>
          <w:sz w:val="24"/>
        </w:rPr>
      </w:pPr>
      <w:r>
        <w:rPr>
          <w:rFonts w:hint="eastAsia"/>
          <w:b/>
          <w:sz w:val="24"/>
        </w:rPr>
        <w:t>违约责任及免责条款</w:t>
      </w:r>
    </w:p>
    <w:p>
      <w:pPr>
        <w:widowControl/>
        <w:numPr>
          <w:ilvl w:val="0"/>
          <w:numId w:val="72"/>
        </w:numPr>
        <w:spacing w:line="360" w:lineRule="auto"/>
        <w:contextualSpacing/>
        <w:rPr>
          <w:rFonts w:ascii="宋体" w:hAnsi="宋体"/>
          <w:sz w:val="24"/>
        </w:rPr>
      </w:pPr>
      <w:r>
        <w:rPr>
          <w:rFonts w:hint="eastAsia" w:ascii="宋体" w:hAnsi="宋体"/>
          <w:sz w:val="24"/>
        </w:rPr>
        <w:t>若因投资人原因导致司法或行政机构采取强制措施对其理财本金、收益进行部分或全部被扣划，均视投资者本人就全部理财本金违约进行了提前</w:t>
      </w:r>
      <w:r>
        <w:rPr>
          <w:rFonts w:hint="eastAsia" w:ascii="宋体" w:hAnsi="宋体"/>
          <w:sz w:val="24"/>
          <w:lang w:val="en-US" w:eastAsia="zh-CN"/>
        </w:rPr>
        <w:t>赎回</w:t>
      </w:r>
      <w:r>
        <w:rPr>
          <w:rFonts w:hint="eastAsia" w:ascii="宋体" w:hAnsi="宋体"/>
          <w:sz w:val="24"/>
        </w:rPr>
        <w:t>，本合同自动终止。因提前终止而产生的损失及相关费用由投资者承担。本合同前述情况终止的，理财本金不计付</w:t>
      </w:r>
      <w:r>
        <w:rPr>
          <w:rFonts w:hint="eastAsia" w:ascii="宋体" w:hAnsi="宋体"/>
          <w:sz w:val="24"/>
          <w:lang w:val="en-US" w:eastAsia="zh-CN"/>
        </w:rPr>
        <w:t>赎回</w:t>
      </w:r>
      <w:r>
        <w:rPr>
          <w:rFonts w:hint="eastAsia" w:ascii="宋体" w:hAnsi="宋体"/>
          <w:sz w:val="24"/>
        </w:rPr>
        <w:t>日前的理财收益，也不计付存款利息。</w:t>
      </w:r>
    </w:p>
    <w:p>
      <w:pPr>
        <w:widowControl/>
        <w:numPr>
          <w:ilvl w:val="0"/>
          <w:numId w:val="72"/>
        </w:numPr>
        <w:spacing w:line="360" w:lineRule="auto"/>
        <w:contextualSpacing/>
        <w:rPr>
          <w:rFonts w:ascii="宋体" w:hAnsi="宋体"/>
          <w:sz w:val="24"/>
        </w:rPr>
      </w:pPr>
      <w:r>
        <w:rPr>
          <w:rFonts w:hint="eastAsia" w:ascii="宋体" w:hAnsi="宋体"/>
          <w:sz w:val="24"/>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2"/>
        </w:numPr>
        <w:spacing w:line="360" w:lineRule="auto"/>
        <w:contextualSpacing/>
        <w:rPr>
          <w:rFonts w:ascii="宋体" w:hAnsi="宋体"/>
          <w:sz w:val="24"/>
        </w:rPr>
      </w:pPr>
      <w:r>
        <w:rPr>
          <w:rFonts w:hint="eastAsia" w:ascii="宋体" w:hAnsi="宋体"/>
          <w:sz w:val="24"/>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2"/>
        </w:numPr>
        <w:spacing w:line="360" w:lineRule="auto"/>
        <w:contextualSpacing/>
        <w:rPr>
          <w:rFonts w:hint="eastAsia" w:ascii="宋体" w:hAnsi="宋体"/>
          <w:sz w:val="24"/>
        </w:rPr>
      </w:pPr>
      <w:r>
        <w:rPr>
          <w:rFonts w:hint="eastAsia" w:ascii="宋体" w:hAnsi="宋体"/>
          <w:sz w:val="24"/>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2"/>
        </w:numPr>
        <w:spacing w:line="360" w:lineRule="auto"/>
        <w:contextualSpacing/>
        <w:rPr>
          <w:rFonts w:hint="eastAsia" w:ascii="宋体" w:hAnsi="宋体"/>
          <w:sz w:val="24"/>
        </w:rPr>
      </w:pPr>
      <w:r>
        <w:rPr>
          <w:rFonts w:hint="eastAsia" w:ascii="宋体" w:hAnsi="宋体"/>
          <w:sz w:val="24"/>
        </w:rPr>
        <w:t>因国家有关法律、法规、规章、政策的修改或新的法律、法规、规章、政策颁布以及紧急措施的出台导致的风险及损失，管理人不承担责任。</w:t>
      </w:r>
    </w:p>
    <w:p>
      <w:pPr>
        <w:widowControl/>
        <w:numPr>
          <w:ilvl w:val="0"/>
          <w:numId w:val="72"/>
        </w:numPr>
        <w:spacing w:line="360" w:lineRule="auto"/>
        <w:contextualSpacing/>
        <w:rPr>
          <w:rFonts w:hint="eastAsia" w:ascii="宋体" w:hAnsi="宋体"/>
          <w:sz w:val="24"/>
        </w:rPr>
      </w:pPr>
      <w:r>
        <w:rPr>
          <w:rFonts w:hint="eastAsia" w:ascii="宋体" w:hAnsi="宋体"/>
          <w:sz w:val="24"/>
        </w:rPr>
        <w:t>管理人若严格按照产品说明书相关规定进行投资运作，给投资者造成损失的，应免除管理人责任。</w:t>
      </w:r>
    </w:p>
    <w:p>
      <w:pPr>
        <w:widowControl/>
        <w:spacing w:line="360" w:lineRule="auto"/>
        <w:contextualSpacing/>
        <w:rPr>
          <w:rFonts w:ascii="宋体" w:hAnsi="宋体"/>
          <w:sz w:val="24"/>
        </w:rPr>
      </w:pPr>
    </w:p>
    <w:p>
      <w:pPr>
        <w:numPr>
          <w:ilvl w:val="0"/>
          <w:numId w:val="68"/>
        </w:numPr>
        <w:spacing w:line="360" w:lineRule="auto"/>
        <w:ind w:firstLine="482" w:firstLineChars="200"/>
        <w:rPr>
          <w:b/>
          <w:sz w:val="24"/>
        </w:rPr>
      </w:pPr>
      <w:r>
        <w:rPr>
          <w:rFonts w:hint="eastAsia"/>
          <w:b/>
          <w:sz w:val="24"/>
        </w:rPr>
        <w:t>适用法律与争议解决</w:t>
      </w:r>
    </w:p>
    <w:p>
      <w:pPr>
        <w:widowControl/>
        <w:spacing w:line="360" w:lineRule="auto"/>
        <w:ind w:firstLine="480" w:firstLineChars="200"/>
        <w:contextualSpacing/>
        <w:rPr>
          <w:rFonts w:ascii="宋体" w:hAnsi="宋体"/>
          <w:sz w:val="24"/>
        </w:rPr>
      </w:pPr>
      <w:r>
        <w:rPr>
          <w:rFonts w:hint="eastAsia" w:ascii="宋体" w:hAnsi="宋体"/>
          <w:sz w:val="24"/>
        </w:rPr>
        <w:t>本合同适用</w:t>
      </w:r>
      <w:r>
        <w:rPr>
          <w:rFonts w:hint="eastAsia" w:ascii="宋体" w:hAnsi="宋体" w:cs="宋体"/>
          <w:bCs/>
          <w:color w:val="000000"/>
          <w:sz w:val="24"/>
        </w:rPr>
        <w:t>中华人民共和国（仅为明确本合同适用法律规则，不含香港特别行政区、澳门特别行政区及中国台湾地区）</w:t>
      </w:r>
      <w:r>
        <w:rPr>
          <w:rFonts w:hint="eastAsia" w:ascii="宋体" w:hAnsi="宋体"/>
          <w:sz w:val="24"/>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rPr>
        <w:t>管理人所在地人民法院司法裁决。诉讼期间，未涉及争议的条款仍</w:t>
      </w:r>
      <w:r>
        <w:rPr>
          <w:rFonts w:hint="eastAsia" w:ascii="宋体" w:hAnsi="宋体"/>
          <w:sz w:val="24"/>
          <w:lang w:val="en-US" w:eastAsia="zh-CN"/>
        </w:rPr>
        <w:t>需</w:t>
      </w:r>
      <w:r>
        <w:rPr>
          <w:rFonts w:hint="eastAsia" w:ascii="宋体" w:hAnsi="宋体"/>
          <w:sz w:val="24"/>
        </w:rPr>
        <w:t>继续履行。</w:t>
      </w:r>
    </w:p>
    <w:p>
      <w:pPr>
        <w:spacing w:line="360" w:lineRule="auto"/>
        <w:ind w:left="482"/>
        <w:rPr>
          <w:b/>
          <w:sz w:val="24"/>
        </w:rPr>
      </w:pPr>
    </w:p>
    <w:p>
      <w:pPr>
        <w:numPr>
          <w:ilvl w:val="0"/>
          <w:numId w:val="68"/>
        </w:numPr>
        <w:spacing w:line="360" w:lineRule="auto"/>
        <w:ind w:firstLine="482" w:firstLineChars="200"/>
        <w:rPr>
          <w:rFonts w:hint="eastAsia"/>
          <w:b/>
          <w:sz w:val="24"/>
        </w:rPr>
      </w:pPr>
      <w:r>
        <w:rPr>
          <w:rFonts w:hint="eastAsia"/>
          <w:b/>
          <w:sz w:val="24"/>
        </w:rPr>
        <w:t>协议生效和终止</w:t>
      </w:r>
    </w:p>
    <w:p>
      <w:pPr>
        <w:widowControl/>
        <w:numPr>
          <w:ilvl w:val="0"/>
          <w:numId w:val="73"/>
        </w:numPr>
        <w:spacing w:line="360" w:lineRule="auto"/>
        <w:contextualSpacing/>
        <w:rPr>
          <w:rFonts w:ascii="宋体" w:hAnsi="宋体"/>
          <w:sz w:val="24"/>
        </w:rPr>
      </w:pPr>
      <w:r>
        <w:rPr>
          <w:rFonts w:hint="eastAsia" w:ascii="宋体" w:hAnsi="宋体"/>
          <w:sz w:val="24"/>
        </w:rPr>
        <w:t xml:space="preserve">投资者和管理人双方认可本协议可以纸质或电子数据等形式提交、订立或确认。 </w:t>
      </w:r>
    </w:p>
    <w:p>
      <w:pPr>
        <w:widowControl/>
        <w:numPr>
          <w:ilvl w:val="0"/>
          <w:numId w:val="73"/>
        </w:numPr>
        <w:spacing w:line="360" w:lineRule="auto"/>
        <w:contextualSpacing/>
        <w:rPr>
          <w:rFonts w:hint="eastAsia" w:ascii="宋体" w:hAnsi="宋体"/>
          <w:sz w:val="24"/>
        </w:rPr>
      </w:pPr>
      <w:r>
        <w:rPr>
          <w:rFonts w:hint="eastAsia" w:ascii="宋体" w:hAnsi="宋体"/>
          <w:sz w:val="24"/>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rPr>
        <w:t>份，投资者和管理人双方各执</w:t>
      </w:r>
      <w:r>
        <w:rPr>
          <w:rFonts w:hint="eastAsia" w:ascii="宋体" w:hAnsi="宋体"/>
          <w:sz w:val="24"/>
          <w:highlight w:val="none"/>
          <w:lang w:eastAsia="zh-CN"/>
        </w:rPr>
        <w:t>壹</w:t>
      </w:r>
      <w:r>
        <w:rPr>
          <w:rFonts w:hint="eastAsia" w:ascii="宋体" w:hAnsi="宋体"/>
          <w:sz w:val="24"/>
        </w:rPr>
        <w:t xml:space="preserve">份，具有同等法律效力。 </w:t>
      </w:r>
    </w:p>
    <w:p>
      <w:pPr>
        <w:widowControl/>
        <w:numPr>
          <w:ilvl w:val="0"/>
          <w:numId w:val="73"/>
        </w:numPr>
        <w:spacing w:line="360" w:lineRule="auto"/>
        <w:contextualSpacing/>
        <w:rPr>
          <w:rFonts w:hint="eastAsia" w:ascii="宋体" w:hAnsi="宋体"/>
          <w:sz w:val="24"/>
        </w:rPr>
      </w:pPr>
      <w:r>
        <w:rPr>
          <w:rFonts w:hint="eastAsia" w:ascii="宋体" w:hAnsi="宋体"/>
          <w:sz w:val="24"/>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3"/>
        </w:numPr>
        <w:spacing w:line="360" w:lineRule="auto"/>
        <w:contextualSpacing/>
        <w:rPr>
          <w:rFonts w:hint="eastAsia" w:ascii="宋体" w:hAnsi="宋体"/>
          <w:sz w:val="24"/>
        </w:rPr>
      </w:pPr>
      <w:r>
        <w:rPr>
          <w:rFonts w:hint="eastAsia" w:ascii="宋体" w:hAnsi="宋体"/>
          <w:sz w:val="24"/>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rPr>
      </w:pPr>
    </w:p>
    <w:p>
      <w:pPr>
        <w:numPr>
          <w:ilvl w:val="0"/>
          <w:numId w:val="68"/>
        </w:numPr>
        <w:spacing w:line="360" w:lineRule="auto"/>
        <w:ind w:firstLine="482" w:firstLineChars="200"/>
        <w:rPr>
          <w:b/>
          <w:sz w:val="24"/>
        </w:rPr>
      </w:pPr>
      <w:r>
        <w:rPr>
          <w:rFonts w:hint="eastAsia"/>
          <w:b/>
          <w:sz w:val="24"/>
        </w:rPr>
        <w:t>附则</w:t>
      </w:r>
    </w:p>
    <w:p>
      <w:pPr>
        <w:widowControl/>
        <w:numPr>
          <w:ilvl w:val="0"/>
          <w:numId w:val="74"/>
        </w:numPr>
        <w:spacing w:line="360" w:lineRule="auto"/>
        <w:contextualSpacing/>
        <w:rPr>
          <w:rFonts w:ascii="宋体" w:hAnsi="宋体"/>
          <w:sz w:val="24"/>
        </w:rPr>
      </w:pPr>
      <w:r>
        <w:rPr>
          <w:rFonts w:hint="eastAsia" w:ascii="宋体" w:hAnsi="宋体"/>
          <w:sz w:val="24"/>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4"/>
        </w:numPr>
        <w:spacing w:line="360" w:lineRule="auto"/>
        <w:contextualSpacing/>
        <w:rPr>
          <w:rFonts w:ascii="宋体" w:hAnsi="宋体"/>
          <w:sz w:val="24"/>
        </w:rPr>
      </w:pPr>
      <w:r>
        <w:rPr>
          <w:rFonts w:hint="eastAsia" w:ascii="宋体" w:hAnsi="宋体"/>
          <w:sz w:val="24"/>
        </w:rPr>
        <w:t>如果由于任何原因使本合同下的任何条款或内容成为无效或被依法撤销，本合同其他条款或内容的合法性、有效性和可执行性不受影响。</w:t>
      </w:r>
    </w:p>
    <w:p>
      <w:pPr>
        <w:widowControl/>
        <w:numPr>
          <w:ilvl w:val="0"/>
          <w:numId w:val="74"/>
        </w:numPr>
        <w:spacing w:line="360" w:lineRule="auto"/>
        <w:contextualSpacing/>
        <w:rPr>
          <w:rFonts w:ascii="宋体" w:hAnsi="宋体"/>
          <w:sz w:val="24"/>
        </w:rPr>
      </w:pPr>
      <w:r>
        <w:rPr>
          <w:rFonts w:hint="eastAsia" w:ascii="宋体" w:hAnsi="宋体"/>
          <w:sz w:val="24"/>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rPr>
      </w:pPr>
    </w:p>
    <w:p>
      <w:pPr>
        <w:spacing w:line="360" w:lineRule="auto"/>
        <w:ind w:firstLine="480" w:firstLineChars="200"/>
        <w:rPr>
          <w:rFonts w:ascii="宋体" w:hAnsi="宋体" w:cs="宋体"/>
          <w:bCs/>
          <w:color w:val="000000"/>
          <w:sz w:val="24"/>
        </w:rPr>
      </w:pPr>
    </w:p>
    <w:p>
      <w:pPr>
        <w:pStyle w:val="7"/>
        <w:widowControl/>
        <w:spacing w:line="360" w:lineRule="auto"/>
        <w:jc w:val="right"/>
        <w:rPr>
          <w:rFonts w:hint="eastAsia" w:ascii="宋体" w:hAnsi="Wingdings" w:cs="宋体"/>
          <w:color w:val="000000"/>
          <w:kern w:val="0"/>
        </w:rPr>
      </w:pPr>
      <w:r>
        <w:rPr>
          <w:rFonts w:hint="eastAsia" w:ascii="宋体" w:hAnsi="宋体" w:cs="宋体"/>
          <w:kern w:val="0"/>
        </w:rPr>
        <w:t>杭银理财有限责任公司</w:t>
      </w:r>
    </w:p>
    <w:p>
      <w:pPr>
        <w:spacing w:line="360" w:lineRule="auto"/>
        <w:ind w:firstLine="480" w:firstLineChars="200"/>
        <w:rPr>
          <w:rFonts w:ascii="宋体" w:hAnsi="宋体" w:cs="宋体"/>
          <w:bCs/>
          <w:color w:val="000000"/>
          <w:sz w:val="24"/>
        </w:rPr>
      </w:pPr>
    </w:p>
    <w:p>
      <w:pPr>
        <w:spacing w:line="360" w:lineRule="auto"/>
        <w:ind w:firstLine="480" w:firstLineChars="200"/>
        <w:rPr>
          <w:rFonts w:ascii="宋体" w:hAnsi="宋体" w:cs="宋体"/>
          <w:bCs/>
          <w:color w:val="000000"/>
          <w:sz w:val="24"/>
        </w:rPr>
      </w:pPr>
    </w:p>
    <w:p>
      <w:pPr>
        <w:spacing w:line="360" w:lineRule="auto"/>
        <w:ind w:firstLine="480" w:firstLineChars="200"/>
        <w:rPr>
          <w:rFonts w:ascii="宋体" w:hAnsi="宋体" w:cs="宋体"/>
          <w:bCs/>
          <w:color w:val="000000"/>
          <w:sz w:val="24"/>
        </w:rPr>
      </w:pPr>
    </w:p>
    <w:p>
      <w:pPr>
        <w:spacing w:line="360" w:lineRule="auto"/>
        <w:ind w:firstLine="480" w:firstLineChars="200"/>
        <w:rPr>
          <w:rFonts w:ascii="宋体" w:hAnsi="宋体" w:cs="宋体"/>
          <w:bCs/>
          <w:color w:val="000000"/>
          <w:sz w:val="24"/>
        </w:rPr>
      </w:pPr>
    </w:p>
    <w:p>
      <w:pPr>
        <w:spacing w:line="360" w:lineRule="auto"/>
        <w:ind w:firstLine="480" w:firstLineChars="200"/>
        <w:rPr>
          <w:rFonts w:ascii="宋体" w:hAnsi="宋体" w:cs="宋体"/>
          <w:bCs/>
          <w:color w:val="000000"/>
          <w:sz w:val="24"/>
        </w:rPr>
      </w:pPr>
    </w:p>
    <w:p>
      <w:pPr>
        <w:jc w:val="center"/>
        <w:rPr>
          <w:rFonts w:hint="eastAsia"/>
          <w:b/>
          <w:sz w:val="44"/>
          <w:szCs w:val="44"/>
        </w:rPr>
      </w:pPr>
      <w:bookmarkStart w:id="0" w:name="_GoBack"/>
      <w:bookmarkEnd w:id="0"/>
      <w:r>
        <w:rPr>
          <w:rFonts w:hint="eastAsia"/>
          <w:b/>
          <w:sz w:val="44"/>
          <w:szCs w:val="44"/>
        </w:rPr>
        <w:t>杭银理财理财计划销售协议书</w:t>
      </w:r>
    </w:p>
    <w:p>
      <w:pPr>
        <w:jc w:val="center"/>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lang w:eastAsia="zh-CN"/>
        </w:rPr>
        <w:t>202201</w:t>
      </w:r>
      <w:r>
        <w:rPr>
          <w:rFonts w:hint="eastAsia" w:ascii="宋体" w:hAnsi="宋体" w:cs="宋体"/>
          <w:sz w:val="28"/>
          <w:szCs w:val="28"/>
        </w:rPr>
        <w:t>版）</w:t>
      </w:r>
    </w:p>
    <w:p>
      <w:pPr>
        <w:spacing w:line="360" w:lineRule="auto"/>
        <w:jc w:val="center"/>
        <w:rPr>
          <w:sz w:val="32"/>
          <w:szCs w:val="40"/>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rPr>
      </w:pPr>
      <w:r>
        <w:rPr>
          <w:rFonts w:hint="eastAsia"/>
          <w:b/>
          <w:bCs/>
          <w:sz w:val="24"/>
        </w:rPr>
        <w:t>特别提示：《杭银理财理财计划销售协议书</w:t>
      </w:r>
      <w:r>
        <w:rPr>
          <w:rFonts w:hint="eastAsia" w:ascii="宋体" w:hAnsi="宋体" w:cs="宋体"/>
          <w:b/>
          <w:bCs/>
          <w:sz w:val="24"/>
        </w:rPr>
        <w:t>（</w:t>
      </w:r>
      <w:r>
        <w:rPr>
          <w:rFonts w:hint="eastAsia" w:ascii="宋体" w:hAnsi="宋体" w:cs="宋体"/>
          <w:b/>
          <w:bCs/>
          <w:sz w:val="24"/>
          <w:lang w:eastAsia="zh-CN"/>
        </w:rPr>
        <w:t>202201</w:t>
      </w:r>
      <w:r>
        <w:rPr>
          <w:rFonts w:hint="eastAsia" w:ascii="宋体" w:hAnsi="宋体" w:cs="宋体"/>
          <w:b/>
          <w:bCs/>
          <w:sz w:val="24"/>
        </w:rPr>
        <w:t>版）</w:t>
      </w:r>
      <w:r>
        <w:rPr>
          <w:rFonts w:hint="eastAsia"/>
          <w:b/>
          <w:bCs/>
          <w:sz w:val="24"/>
        </w:rPr>
        <w:t>》与对应期次的</w:t>
      </w:r>
      <w:r>
        <w:rPr>
          <w:rFonts w:hint="eastAsia"/>
          <w:b/>
          <w:bCs/>
          <w:sz w:val="24"/>
        </w:rPr>
        <w:t>理财计划</w:t>
      </w:r>
      <w:r>
        <w:rPr>
          <w:rFonts w:hint="eastAsia"/>
          <w:b/>
          <w:bCs/>
          <w:sz w:val="24"/>
        </w:rPr>
        <w:t>风险揭示书、理财计划产品说明书、投资者权益须知及理财计划投资协议书共同构成完整且不可分割的理财计划合同。杭银理财有限责任公司（以下简称“杭银理财”）建议投资者在购买理财计划前认真阅读全套理财计划合同，投资者签署本协议书（含电子渠道签署）即视为已详细阅读理财计划合同并知悉相关风险，自愿投资购买理财计划、遵守合同约定并承担相应风险。</w:t>
      </w:r>
    </w:p>
    <w:p>
      <w:pPr>
        <w:spacing w:line="360" w:lineRule="auto"/>
        <w:ind w:firstLine="482" w:firstLineChars="200"/>
        <w:rPr>
          <w:b/>
          <w:bCs/>
          <w:sz w:val="24"/>
        </w:rPr>
      </w:pPr>
      <w:r>
        <w:rPr>
          <w:rFonts w:hint="eastAsia"/>
          <w:b/>
          <w:bCs/>
          <w:sz w:val="24"/>
        </w:rPr>
        <w:t>理财非存款、产品有风险、投资须谨慎，理财计划过往业绩不代表其未来表现，不等于理财计划实际收益。</w:t>
      </w:r>
    </w:p>
    <w:p>
      <w:pPr>
        <w:widowControl/>
        <w:spacing w:line="360" w:lineRule="auto"/>
        <w:ind w:firstLine="480" w:firstLineChars="200"/>
        <w:rPr>
          <w:rFonts w:hint="eastAsia"/>
          <w:sz w:val="24"/>
        </w:rPr>
      </w:pPr>
      <w:r>
        <w:rPr>
          <w:rFonts w:hint="eastAsia"/>
          <w:sz w:val="24"/>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sz w:val="24"/>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sz w:val="24"/>
        </w:rPr>
        <w:t>销售机构面向投资者实施销售行为，两方共同承担理财计划的合规销售和投资者合法权益保护义务。</w:t>
      </w:r>
    </w:p>
    <w:p>
      <w:pPr>
        <w:widowControl/>
        <w:spacing w:line="360" w:lineRule="auto"/>
        <w:ind w:firstLine="480" w:firstLineChars="200"/>
        <w:rPr>
          <w:rFonts w:hint="eastAsia"/>
          <w:sz w:val="24"/>
        </w:rPr>
      </w:pPr>
      <w:r>
        <w:rPr>
          <w:rFonts w:hint="eastAsia"/>
          <w:sz w:val="24"/>
        </w:rPr>
        <w:t>投资者与销售机构经平等友好协商，本着自愿、诚实信用原则，就投资者购买销售机构代理销售的理财计划有关事宜达成如下协议（以下简称“本协议”）：</w:t>
      </w:r>
    </w:p>
    <w:p>
      <w:pPr>
        <w:widowControl/>
        <w:spacing w:line="360" w:lineRule="auto"/>
        <w:ind w:firstLine="480" w:firstLineChars="200"/>
        <w:rPr>
          <w:rFonts w:hint="eastAsia"/>
          <w:sz w:val="24"/>
        </w:rPr>
      </w:pPr>
    </w:p>
    <w:p>
      <w:pPr>
        <w:widowControl/>
        <w:spacing w:line="360" w:lineRule="auto"/>
        <w:rPr>
          <w:rFonts w:hint="eastAsia"/>
          <w:b/>
          <w:bCs/>
          <w:sz w:val="24"/>
        </w:rPr>
      </w:pPr>
      <w:r>
        <w:rPr>
          <w:rFonts w:hint="eastAsia"/>
          <w:b/>
          <w:bCs/>
          <w:sz w:val="24"/>
        </w:rPr>
        <w:t xml:space="preserve">    第一条 名词释义</w:t>
      </w:r>
    </w:p>
    <w:p>
      <w:pPr>
        <w:widowControl/>
        <w:spacing w:line="360" w:lineRule="auto"/>
        <w:ind w:firstLine="480" w:firstLineChars="200"/>
        <w:jc w:val="left"/>
        <w:rPr>
          <w:rFonts w:hint="eastAsia"/>
          <w:bCs/>
          <w:sz w:val="24"/>
        </w:rPr>
      </w:pPr>
      <w:r>
        <w:rPr>
          <w:rFonts w:hint="eastAsia"/>
          <w:bCs/>
          <w:sz w:val="24"/>
        </w:rPr>
        <w:t>详见对应期次的理财计划产品说明书“释义”部分。</w:t>
      </w:r>
    </w:p>
    <w:p>
      <w:pPr>
        <w:widowControl/>
        <w:spacing w:line="360" w:lineRule="auto"/>
        <w:ind w:firstLine="480" w:firstLineChars="200"/>
        <w:jc w:val="left"/>
        <w:rPr>
          <w:rFonts w:hint="eastAsia"/>
          <w:bCs/>
          <w:sz w:val="24"/>
        </w:rPr>
      </w:pPr>
    </w:p>
    <w:p>
      <w:pPr>
        <w:widowControl/>
        <w:spacing w:line="360" w:lineRule="auto"/>
        <w:ind w:firstLine="482" w:firstLineChars="200"/>
        <w:jc w:val="left"/>
        <w:rPr>
          <w:rFonts w:hint="eastAsia"/>
          <w:b/>
          <w:bCs/>
          <w:sz w:val="24"/>
        </w:rPr>
      </w:pPr>
      <w:r>
        <w:rPr>
          <w:rFonts w:hint="eastAsia"/>
          <w:b/>
          <w:bCs/>
          <w:sz w:val="24"/>
        </w:rPr>
        <w:t>第二条 投资者权利与义务</w:t>
      </w:r>
    </w:p>
    <w:p>
      <w:pPr>
        <w:widowControl/>
        <w:numPr>
          <w:ilvl w:val="0"/>
          <w:numId w:val="75"/>
        </w:numPr>
        <w:spacing w:line="360" w:lineRule="auto"/>
        <w:contextualSpacing/>
        <w:rPr>
          <w:rFonts w:hint="eastAsia" w:ascii="宋体" w:hAnsi="宋体"/>
          <w:sz w:val="24"/>
        </w:rPr>
      </w:pPr>
      <w:r>
        <w:rPr>
          <w:rFonts w:hint="eastAsia" w:ascii="宋体" w:hAnsi="宋体"/>
          <w:sz w:val="24"/>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olor w:val="000000"/>
          <w:sz w:val="24"/>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5"/>
        </w:numPr>
        <w:spacing w:line="360" w:lineRule="auto"/>
        <w:contextualSpacing/>
        <w:rPr>
          <w:rFonts w:hint="eastAsia" w:ascii="宋体" w:hAnsi="宋体"/>
          <w:sz w:val="24"/>
        </w:rPr>
      </w:pPr>
      <w:r>
        <w:rPr>
          <w:rFonts w:hint="eastAsia" w:ascii="宋体" w:hAnsi="宋体"/>
          <w:sz w:val="24"/>
        </w:rPr>
        <w:t>投资者保证自身完全了解理财投资的性质，投资所涉及的风险以及自身风险承受能力，在慎重考虑后独立作出交易决定。</w:t>
      </w:r>
    </w:p>
    <w:p>
      <w:pPr>
        <w:widowControl/>
        <w:numPr>
          <w:ilvl w:val="0"/>
          <w:numId w:val="75"/>
        </w:numPr>
        <w:spacing w:line="360" w:lineRule="auto"/>
        <w:contextualSpacing/>
        <w:rPr>
          <w:rFonts w:hint="eastAsia" w:ascii="宋体" w:hAnsi="宋体"/>
          <w:sz w:val="24"/>
        </w:rPr>
      </w:pPr>
      <w:r>
        <w:rPr>
          <w:rFonts w:hint="eastAsia" w:ascii="宋体" w:hAnsi="宋体"/>
          <w:b/>
          <w:bCs/>
          <w:sz w:val="24"/>
        </w:rPr>
        <w:t>投资者购买销售机构代理销售的私募理财计划后，可以享有24 小时的投资冷静期，在投资冷静期内，如投资者改变投资决定，应提出解除相应理财计划合同文件申请，销售机构将及时退还投资者的全部投资款项。</w:t>
      </w:r>
      <w:r>
        <w:rPr>
          <w:rFonts w:hint="eastAsia" w:ascii="宋体" w:hAnsi="宋体"/>
          <w:sz w:val="24"/>
        </w:rPr>
        <w:t>投资冷静期相关约定详见理财计划产品说明书。</w:t>
      </w:r>
    </w:p>
    <w:p>
      <w:pPr>
        <w:widowControl/>
        <w:numPr>
          <w:ilvl w:val="0"/>
          <w:numId w:val="75"/>
        </w:numPr>
        <w:spacing w:line="360" w:lineRule="auto"/>
        <w:contextualSpacing/>
        <w:rPr>
          <w:rFonts w:hint="eastAsia" w:ascii="宋体" w:hAnsi="宋体"/>
          <w:sz w:val="24"/>
        </w:rPr>
      </w:pPr>
      <w:r>
        <w:rPr>
          <w:rFonts w:hint="eastAsia" w:ascii="宋体" w:hAnsi="宋体"/>
          <w:sz w:val="24"/>
        </w:rPr>
        <w:t>投资者保证其有权利签署本协议和履行本协议所述的义务，并已为此采取一切所需的行为。</w:t>
      </w:r>
    </w:p>
    <w:p>
      <w:pPr>
        <w:widowControl/>
        <w:numPr>
          <w:ilvl w:val="0"/>
          <w:numId w:val="75"/>
        </w:numPr>
        <w:spacing w:line="360" w:lineRule="auto"/>
        <w:contextualSpacing/>
        <w:rPr>
          <w:rFonts w:hint="eastAsia" w:ascii="宋体" w:hAnsi="宋体"/>
          <w:sz w:val="24"/>
        </w:rPr>
      </w:pPr>
      <w:r>
        <w:rPr>
          <w:rFonts w:hint="eastAsia" w:ascii="宋体" w:hAnsi="宋体"/>
          <w:sz w:val="24"/>
        </w:rPr>
        <w:t>投资者保证执行及交付任何文件或履行本协议项下的义务，均不会违反任何适用法律、法规、法令或法律限制；不会违反任何法院或政府机关所作出的适用于投资者或投资者任何资产的判决或指令；不会违反对投资者或投资者任何资产有约束力的任何重大协议条款。投资者应在签署本协议的同时在其授权指定的账户中（以下简称“授权指定账户”）存入足额的资金以确保账户余额大于或等于认/申购金额。</w:t>
      </w:r>
    </w:p>
    <w:p>
      <w:pPr>
        <w:widowControl/>
        <w:numPr>
          <w:ilvl w:val="0"/>
          <w:numId w:val="75"/>
        </w:numPr>
        <w:spacing w:line="360" w:lineRule="auto"/>
        <w:contextualSpacing/>
        <w:rPr>
          <w:rFonts w:hint="eastAsia" w:ascii="宋体" w:hAnsi="宋体"/>
          <w:sz w:val="24"/>
        </w:rPr>
      </w:pPr>
      <w:r>
        <w:rPr>
          <w:rFonts w:hint="eastAsia" w:ascii="宋体" w:hAnsi="宋体"/>
          <w:b/>
          <w:bCs/>
          <w:sz w:val="24"/>
        </w:rPr>
        <w:t>投资者在此确认销售机构的系统记录以及录音、录像构成对投资者操作行为（包括但不限于购买、赎回、撤单）的有效证据，并且在双方发生争议时可以作为合法有效的证据使用</w:t>
      </w:r>
      <w:r>
        <w:rPr>
          <w:rFonts w:hint="eastAsia" w:ascii="宋体" w:hAnsi="宋体"/>
          <w:sz w:val="24"/>
        </w:rPr>
        <w:t>。</w:t>
      </w:r>
    </w:p>
    <w:p>
      <w:pPr>
        <w:widowControl/>
        <w:numPr>
          <w:ilvl w:val="0"/>
          <w:numId w:val="75"/>
        </w:numPr>
        <w:spacing w:line="360" w:lineRule="auto"/>
        <w:contextualSpacing/>
        <w:rPr>
          <w:rFonts w:hint="eastAsia" w:ascii="宋体" w:hAnsi="宋体"/>
          <w:sz w:val="24"/>
        </w:rPr>
      </w:pPr>
      <w:r>
        <w:rPr>
          <w:rFonts w:hint="eastAsia" w:ascii="宋体" w:hAnsi="宋体"/>
          <w:sz w:val="24"/>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sz w:val="24"/>
          <w:lang w:eastAsia="zh-CN"/>
        </w:rPr>
        <w:t>销售机构</w:t>
      </w:r>
      <w:r>
        <w:rPr>
          <w:rFonts w:hint="eastAsia" w:ascii="宋体" w:hAnsi="宋体"/>
          <w:sz w:val="24"/>
        </w:rPr>
        <w:t xml:space="preserve">对此不承担任何责任。 </w:t>
      </w:r>
    </w:p>
    <w:p>
      <w:pPr>
        <w:widowControl/>
        <w:numPr>
          <w:ilvl w:val="0"/>
          <w:numId w:val="75"/>
        </w:numPr>
        <w:spacing w:line="360" w:lineRule="auto"/>
        <w:contextualSpacing/>
        <w:rPr>
          <w:rFonts w:hint="eastAsia" w:ascii="宋体" w:hAnsi="宋体"/>
          <w:sz w:val="24"/>
        </w:rPr>
      </w:pPr>
      <w:r>
        <w:rPr>
          <w:rFonts w:hint="eastAsia" w:ascii="宋体" w:hAnsi="宋体"/>
          <w:sz w:val="24"/>
        </w:rPr>
        <w:t>在本理财计划存续期内，如有权机关要求</w:t>
      </w:r>
      <w:r>
        <w:rPr>
          <w:rFonts w:hint="eastAsia" w:ascii="宋体" w:hAnsi="宋体"/>
          <w:sz w:val="24"/>
          <w:lang w:eastAsia="zh-CN"/>
        </w:rPr>
        <w:t>销售机构</w:t>
      </w:r>
      <w:r>
        <w:rPr>
          <w:rFonts w:hint="eastAsia" w:ascii="宋体" w:hAnsi="宋体"/>
          <w:sz w:val="24"/>
        </w:rPr>
        <w:t>配合对投资者理财份额、理财账户、授权指定账户进行查封、冻结或扣划的，</w:t>
      </w:r>
      <w:r>
        <w:rPr>
          <w:rFonts w:hint="eastAsia" w:ascii="宋体" w:hAnsi="宋体"/>
          <w:sz w:val="24"/>
          <w:lang w:eastAsia="zh-CN"/>
        </w:rPr>
        <w:t>销售机构</w:t>
      </w:r>
      <w:r>
        <w:rPr>
          <w:rFonts w:hint="eastAsia" w:ascii="宋体" w:hAnsi="宋体"/>
          <w:sz w:val="24"/>
        </w:rPr>
        <w:t>有权根据实际情况采取相应措施。</w:t>
      </w:r>
      <w:r>
        <w:rPr>
          <w:rFonts w:hint="eastAsia" w:ascii="宋体" w:hAnsi="宋体"/>
          <w:sz w:val="24"/>
          <w:lang w:eastAsia="zh-CN"/>
        </w:rPr>
        <w:t>销售机构</w:t>
      </w:r>
      <w:r>
        <w:rPr>
          <w:rFonts w:hint="eastAsia" w:ascii="宋体" w:hAnsi="宋体"/>
          <w:sz w:val="24"/>
        </w:rPr>
        <w:t xml:space="preserve">对上述后果不承担任何责任。 </w:t>
      </w:r>
    </w:p>
    <w:p>
      <w:pPr>
        <w:widowControl/>
        <w:numPr>
          <w:ilvl w:val="0"/>
          <w:numId w:val="75"/>
        </w:numPr>
        <w:spacing w:line="360" w:lineRule="auto"/>
        <w:ind w:left="0" w:firstLine="0"/>
        <w:contextualSpacing/>
        <w:rPr>
          <w:rFonts w:hint="eastAsia" w:ascii="宋体" w:hAnsi="宋体"/>
          <w:sz w:val="24"/>
        </w:rPr>
      </w:pPr>
      <w:r>
        <w:rPr>
          <w:rFonts w:hint="eastAsia" w:ascii="宋体" w:hAnsi="宋体"/>
          <w:sz w:val="24"/>
        </w:rPr>
        <w:t>本协议终止前，投资者不得将授权指定账户销户。若发生因投资者注销授权指定账户造成理财计划无法正常兑付的，</w:t>
      </w:r>
      <w:r>
        <w:rPr>
          <w:rFonts w:hint="eastAsia" w:ascii="宋体" w:hAnsi="宋体"/>
          <w:sz w:val="24"/>
          <w:lang w:eastAsia="zh-CN"/>
        </w:rPr>
        <w:t>销售机构</w:t>
      </w:r>
      <w:r>
        <w:rPr>
          <w:rFonts w:hint="eastAsia" w:ascii="宋体" w:hAnsi="宋体"/>
          <w:sz w:val="24"/>
        </w:rPr>
        <w:t>不承担任何责任。</w:t>
      </w:r>
    </w:p>
    <w:p>
      <w:pPr>
        <w:widowControl/>
        <w:numPr>
          <w:ilvl w:val="0"/>
          <w:numId w:val="69"/>
        </w:numPr>
        <w:spacing w:line="360" w:lineRule="auto"/>
        <w:contextualSpacing/>
        <w:rPr>
          <w:rFonts w:hint="eastAsia" w:ascii="宋体" w:hAnsi="宋体"/>
          <w:sz w:val="24"/>
        </w:rPr>
      </w:pPr>
      <w:r>
        <w:rPr>
          <w:rFonts w:hint="eastAsia" w:ascii="宋体" w:hAnsi="宋体"/>
          <w:sz w:val="24"/>
        </w:rPr>
        <w:t>投资者应确保其提供的所有资料真实、完整、合法、有效，如果有任何变更，投资者应及时通知</w:t>
      </w:r>
      <w:r>
        <w:rPr>
          <w:rFonts w:hint="eastAsia" w:ascii="宋体" w:hAnsi="宋体"/>
          <w:sz w:val="24"/>
          <w:lang w:eastAsia="zh-CN"/>
        </w:rPr>
        <w:t>销售机构</w:t>
      </w:r>
      <w:r>
        <w:rPr>
          <w:rFonts w:hint="eastAsia" w:ascii="宋体" w:hAnsi="宋体"/>
          <w:sz w:val="24"/>
        </w:rPr>
        <w:t>并办理变更手续。如因投资者未及时通知</w:t>
      </w:r>
      <w:r>
        <w:rPr>
          <w:rFonts w:hint="eastAsia" w:ascii="宋体" w:hAnsi="宋体"/>
          <w:sz w:val="24"/>
          <w:lang w:eastAsia="zh-CN"/>
        </w:rPr>
        <w:t>销售机构</w:t>
      </w:r>
      <w:r>
        <w:rPr>
          <w:rFonts w:hint="eastAsia" w:ascii="宋体" w:hAnsi="宋体"/>
          <w:sz w:val="24"/>
        </w:rPr>
        <w:t>并办理相应的变更手续，由此导致的一切后果由投资者自行承担，</w:t>
      </w:r>
      <w:r>
        <w:rPr>
          <w:rFonts w:hint="eastAsia" w:ascii="宋体" w:hAnsi="宋体"/>
          <w:sz w:val="24"/>
          <w:lang w:eastAsia="zh-CN"/>
        </w:rPr>
        <w:t>销售机构</w:t>
      </w:r>
      <w:r>
        <w:rPr>
          <w:rFonts w:hint="eastAsia" w:ascii="宋体" w:hAnsi="宋体"/>
          <w:sz w:val="24"/>
        </w:rPr>
        <w:t xml:space="preserve">对此不承担任何责任。 </w:t>
      </w:r>
    </w:p>
    <w:p>
      <w:pPr>
        <w:widowControl/>
        <w:numPr>
          <w:ilvl w:val="0"/>
          <w:numId w:val="69"/>
        </w:numPr>
        <w:spacing w:line="360" w:lineRule="auto"/>
        <w:contextualSpacing/>
        <w:rPr>
          <w:rFonts w:hint="eastAsia" w:ascii="宋体" w:hAnsi="宋体"/>
          <w:sz w:val="24"/>
        </w:rPr>
      </w:pPr>
      <w:r>
        <w:rPr>
          <w:rFonts w:hint="eastAsia" w:ascii="宋体" w:hAnsi="宋体"/>
          <w:sz w:val="24"/>
        </w:rPr>
        <w:t>投资者对本协议及其条款负有保密义务，未经</w:t>
      </w:r>
      <w:r>
        <w:rPr>
          <w:rFonts w:hint="eastAsia" w:ascii="宋体" w:hAnsi="宋体"/>
          <w:sz w:val="24"/>
          <w:lang w:eastAsia="zh-CN"/>
        </w:rPr>
        <w:t>销售机构</w:t>
      </w:r>
      <w:r>
        <w:rPr>
          <w:rFonts w:hint="eastAsia" w:ascii="宋体" w:hAnsi="宋体"/>
          <w:sz w:val="24"/>
        </w:rPr>
        <w:t>书面许可，不得向任何组织、个人提供或泄露与</w:t>
      </w:r>
      <w:r>
        <w:rPr>
          <w:rFonts w:hint="eastAsia" w:ascii="宋体" w:hAnsi="宋体"/>
          <w:sz w:val="24"/>
          <w:lang w:eastAsia="zh-CN"/>
        </w:rPr>
        <w:t>销售机构</w:t>
      </w:r>
      <w:r>
        <w:rPr>
          <w:rFonts w:hint="eastAsia" w:ascii="宋体" w:hAnsi="宋体"/>
          <w:sz w:val="24"/>
        </w:rPr>
        <w:t>有关的业务资料及信息，但法律、法规另有规定的除外。</w:t>
      </w:r>
    </w:p>
    <w:p>
      <w:pPr>
        <w:widowControl/>
        <w:numPr>
          <w:ilvl w:val="0"/>
          <w:numId w:val="69"/>
        </w:numPr>
        <w:spacing w:line="360" w:lineRule="auto"/>
        <w:contextualSpacing/>
        <w:rPr>
          <w:rFonts w:hint="eastAsia" w:ascii="宋体" w:hAnsi="宋体"/>
          <w:sz w:val="24"/>
        </w:rPr>
      </w:pPr>
      <w:r>
        <w:rPr>
          <w:rFonts w:hint="eastAsia" w:ascii="宋体" w:hAnsi="宋体"/>
          <w:sz w:val="24"/>
        </w:rPr>
        <w:t>投资者进行投资时，应严格遵守反洗钱相关法规的规定，切实履行反洗钱及反恐怖融资义务。</w:t>
      </w:r>
    </w:p>
    <w:p>
      <w:pPr>
        <w:widowControl/>
        <w:numPr>
          <w:ilvl w:val="0"/>
          <w:numId w:val="69"/>
        </w:numPr>
        <w:spacing w:line="360" w:lineRule="auto"/>
        <w:contextualSpacing/>
        <w:rPr>
          <w:rFonts w:hint="eastAsia" w:ascii="宋体" w:hAnsi="宋体"/>
          <w:b/>
          <w:bCs/>
          <w:sz w:val="24"/>
        </w:rPr>
      </w:pPr>
      <w:r>
        <w:rPr>
          <w:rFonts w:hint="eastAsia" w:ascii="宋体" w:hAnsi="宋体"/>
          <w:b/>
          <w:bCs/>
          <w:sz w:val="24"/>
        </w:rPr>
        <w:t>投资者个人信息授权</w:t>
      </w:r>
    </w:p>
    <w:p>
      <w:pPr>
        <w:widowControl/>
        <w:spacing w:line="360" w:lineRule="auto"/>
        <w:ind w:firstLine="482" w:firstLineChars="200"/>
        <w:contextualSpacing/>
        <w:rPr>
          <w:rFonts w:hint="eastAsia" w:ascii="宋体" w:hAnsi="宋体"/>
          <w:b/>
          <w:bCs/>
          <w:sz w:val="24"/>
        </w:rPr>
      </w:pPr>
      <w:r>
        <w:rPr>
          <w:rFonts w:hint="eastAsia" w:ascii="宋体" w:hAnsi="宋体"/>
          <w:b/>
          <w:bCs/>
          <w:sz w:val="24"/>
        </w:rPr>
        <w:t>基于</w:t>
      </w:r>
      <w:r>
        <w:rPr>
          <w:rFonts w:hint="eastAsia" w:ascii="宋体" w:hAnsi="宋体"/>
          <w:b/>
          <w:bCs/>
          <w:sz w:val="24"/>
          <w:lang w:eastAsia="zh-CN"/>
        </w:rPr>
        <w:t>销售机构</w:t>
      </w:r>
      <w:r>
        <w:rPr>
          <w:rFonts w:hint="eastAsia" w:ascii="宋体" w:hAnsi="宋体"/>
          <w:b/>
          <w:bCs/>
          <w:sz w:val="24"/>
        </w:rPr>
        <w:t>履行本协议、进行服务管理和风险管理、报送监管信息等需要，履行反洗钱、投资者资质审核和销售适当性等法律法规和监管要求的义务，投资者在此同意并授权</w:t>
      </w:r>
      <w:r>
        <w:rPr>
          <w:rFonts w:hint="eastAsia" w:ascii="宋体" w:hAnsi="宋体"/>
          <w:b/>
          <w:bCs/>
          <w:sz w:val="24"/>
          <w:lang w:eastAsia="zh-CN"/>
        </w:rPr>
        <w:t>销售机构</w:t>
      </w:r>
      <w:r>
        <w:rPr>
          <w:rFonts w:hint="eastAsia" w:ascii="宋体" w:hAnsi="宋体"/>
          <w:b/>
          <w:bCs/>
          <w:sz w:val="24"/>
        </w:rPr>
        <w:t>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spacing w:line="360" w:lineRule="auto"/>
        <w:ind w:firstLine="482" w:firstLineChars="200"/>
        <w:contextualSpacing/>
        <w:rPr>
          <w:rFonts w:hint="eastAsia" w:ascii="宋体" w:hAnsi="宋体"/>
          <w:b/>
          <w:bCs/>
          <w:sz w:val="24"/>
        </w:rPr>
      </w:pPr>
      <w:r>
        <w:rPr>
          <w:rFonts w:hint="eastAsia" w:ascii="宋体" w:hAnsi="宋体" w:eastAsia="宋体"/>
          <w:b/>
          <w:bCs/>
          <w:sz w:val="24"/>
          <w:lang w:eastAsia="zh-CN"/>
        </w:rPr>
        <w:t>（</w:t>
      </w:r>
      <w:r>
        <w:rPr>
          <w:rFonts w:hint="eastAsia" w:ascii="宋体" w:hAnsi="宋体" w:eastAsia="宋体"/>
          <w:b/>
          <w:bCs/>
          <w:sz w:val="24"/>
          <w:lang w:val="en-US" w:eastAsia="zh-CN"/>
        </w:rPr>
        <w:t>十四</w:t>
      </w:r>
      <w:r>
        <w:rPr>
          <w:rFonts w:hint="eastAsia" w:ascii="宋体" w:hAnsi="宋体" w:eastAsia="宋体"/>
          <w:b/>
          <w:bCs/>
          <w:sz w:val="24"/>
          <w:lang w:eastAsia="zh-CN"/>
        </w:rPr>
        <w:t>）</w:t>
      </w: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spacing w:line="360" w:lineRule="auto"/>
        <w:ind w:firstLine="482" w:firstLineChars="200"/>
        <w:contextualSpacing/>
        <w:rPr>
          <w:rFonts w:ascii="宋体" w:hAnsi="宋体"/>
          <w:b/>
          <w:bCs/>
          <w:sz w:val="24"/>
        </w:rPr>
      </w:pPr>
    </w:p>
    <w:p>
      <w:pPr>
        <w:widowControl/>
        <w:spacing w:line="360" w:lineRule="auto"/>
        <w:rPr>
          <w:rFonts w:hint="eastAsia"/>
          <w:b/>
          <w:bCs/>
          <w:sz w:val="24"/>
        </w:rPr>
      </w:pPr>
      <w:r>
        <w:rPr>
          <w:rFonts w:hint="eastAsia"/>
          <w:b/>
          <w:bCs/>
          <w:sz w:val="24"/>
        </w:rPr>
        <w:t xml:space="preserve">    第三条 </w:t>
      </w:r>
      <w:r>
        <w:rPr>
          <w:rFonts w:hint="eastAsia"/>
          <w:b/>
          <w:bCs/>
          <w:sz w:val="24"/>
          <w:lang w:eastAsia="zh-CN"/>
        </w:rPr>
        <w:t>销售机构</w:t>
      </w:r>
      <w:r>
        <w:rPr>
          <w:rFonts w:hint="eastAsia"/>
          <w:b/>
          <w:bCs/>
          <w:sz w:val="24"/>
        </w:rPr>
        <w:t>的权利与义务</w:t>
      </w:r>
    </w:p>
    <w:p>
      <w:pPr>
        <w:widowControl/>
        <w:numPr>
          <w:ilvl w:val="0"/>
          <w:numId w:val="76"/>
        </w:numPr>
        <w:spacing w:line="360" w:lineRule="auto"/>
        <w:contextualSpacing/>
        <w:jc w:val="left"/>
        <w:rPr>
          <w:rFonts w:hint="eastAsia" w:ascii="宋体" w:hAnsi="宋体"/>
          <w:sz w:val="24"/>
        </w:rPr>
      </w:pPr>
      <w:r>
        <w:rPr>
          <w:rFonts w:hint="eastAsia" w:ascii="宋体" w:hAnsi="宋体"/>
          <w:sz w:val="24"/>
          <w:lang w:eastAsia="zh-CN"/>
        </w:rPr>
        <w:t>销售机构</w:t>
      </w:r>
      <w:r>
        <w:rPr>
          <w:rFonts w:hint="eastAsia" w:ascii="宋体" w:hAnsi="宋体"/>
          <w:sz w:val="24"/>
        </w:rPr>
        <w:t>应对拟销售的理财计划开展尽职调查，承担审批职责，并纳入本机构统一专门名单管理，不得仅以管理人相关产品资料或其出具意见作为审批依据。</w:t>
      </w:r>
      <w:r>
        <w:rPr>
          <w:rFonts w:hint="eastAsia" w:ascii="宋体" w:hAnsi="宋体"/>
          <w:sz w:val="24"/>
          <w:lang w:eastAsia="zh-CN"/>
        </w:rPr>
        <w:t>销售机构</w:t>
      </w:r>
      <w:r>
        <w:rPr>
          <w:rFonts w:hint="eastAsia" w:ascii="宋体" w:hAnsi="宋体"/>
          <w:sz w:val="24"/>
        </w:rPr>
        <w:t>应当根据本机构的方式和方法，独立、审慎地对代理销售的理财计划进行销售评级。销售评级与管理人产品评级结果不一致的，</w:t>
      </w:r>
      <w:r>
        <w:rPr>
          <w:rFonts w:hint="eastAsia" w:ascii="宋体" w:hAnsi="宋体"/>
          <w:sz w:val="24"/>
          <w:lang w:eastAsia="zh-CN"/>
        </w:rPr>
        <w:t>销售机构</w:t>
      </w:r>
      <w:r>
        <w:rPr>
          <w:rFonts w:hint="eastAsia" w:ascii="宋体" w:hAnsi="宋体"/>
          <w:sz w:val="24"/>
        </w:rPr>
        <w:t>应当采用对应较高风险等级的评级结果并予以披露。</w:t>
      </w:r>
    </w:p>
    <w:p>
      <w:pPr>
        <w:widowControl/>
        <w:numPr>
          <w:ilvl w:val="0"/>
          <w:numId w:val="76"/>
        </w:numPr>
        <w:spacing w:line="360" w:lineRule="auto"/>
        <w:contextualSpacing/>
        <w:jc w:val="left"/>
        <w:rPr>
          <w:rFonts w:hint="eastAsia" w:ascii="宋体" w:hAnsi="宋体"/>
          <w:sz w:val="24"/>
        </w:rPr>
      </w:pPr>
      <w:r>
        <w:rPr>
          <w:rFonts w:hint="eastAsia" w:ascii="宋体" w:hAnsi="宋体"/>
          <w:b/>
          <w:bCs/>
          <w:sz w:val="24"/>
        </w:rPr>
        <w:t>代理销售机构非本计划的发行、管理机构，对本计划的业绩不承担任何保证和其他经济责任，不承担本计划的投资、兑付和风险管理责任</w:t>
      </w:r>
      <w:r>
        <w:rPr>
          <w:rFonts w:hint="eastAsia" w:ascii="宋体" w:hAnsi="宋体"/>
          <w:sz w:val="24"/>
        </w:rPr>
        <w:t>。</w:t>
      </w:r>
    </w:p>
    <w:p>
      <w:pPr>
        <w:widowControl/>
        <w:numPr>
          <w:ilvl w:val="0"/>
          <w:numId w:val="76"/>
        </w:numPr>
        <w:spacing w:line="360" w:lineRule="auto"/>
        <w:contextualSpacing/>
        <w:rPr>
          <w:rFonts w:hint="eastAsia" w:ascii="宋体" w:hAnsi="宋体"/>
          <w:sz w:val="24"/>
        </w:rPr>
      </w:pPr>
      <w:r>
        <w:rPr>
          <w:rFonts w:hint="eastAsia" w:ascii="宋体" w:hAnsi="宋体"/>
          <w:sz w:val="24"/>
          <w:lang w:eastAsia="zh-CN"/>
        </w:rPr>
        <w:t>销售机构</w:t>
      </w:r>
      <w:r>
        <w:rPr>
          <w:rFonts w:hint="eastAsia" w:ascii="宋体" w:hAnsi="宋体"/>
          <w:sz w:val="24"/>
        </w:rPr>
        <w:t>应定期对购买其代理销售的理财计划的非机构投资者进行有效风险承受能力评估，并保证向投资者推介及销售与其风险承受能力匹配的产品。</w:t>
      </w:r>
    </w:p>
    <w:p>
      <w:pPr>
        <w:widowControl/>
        <w:numPr>
          <w:ilvl w:val="0"/>
          <w:numId w:val="76"/>
        </w:numPr>
        <w:spacing w:line="360" w:lineRule="auto"/>
        <w:contextualSpacing/>
        <w:jc w:val="left"/>
        <w:rPr>
          <w:rFonts w:hint="eastAsia" w:ascii="宋体" w:hAnsi="宋体"/>
          <w:sz w:val="24"/>
        </w:rPr>
      </w:pPr>
      <w:r>
        <w:rPr>
          <w:rFonts w:hint="eastAsia" w:ascii="宋体" w:hAnsi="宋体"/>
          <w:sz w:val="24"/>
        </w:rPr>
        <w:t>对于通过营业网点向非机构投资者销售理财计划的，</w:t>
      </w:r>
      <w:r>
        <w:rPr>
          <w:rFonts w:hint="eastAsia" w:ascii="宋体" w:hAnsi="宋体"/>
          <w:sz w:val="24"/>
          <w:lang w:eastAsia="zh-CN"/>
        </w:rPr>
        <w:t>销售机构</w:t>
      </w:r>
      <w:r>
        <w:rPr>
          <w:rFonts w:hint="eastAsia" w:ascii="宋体" w:hAnsi="宋体"/>
          <w:sz w:val="24"/>
        </w:rPr>
        <w:t>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widowControl/>
        <w:numPr>
          <w:ilvl w:val="0"/>
          <w:numId w:val="76"/>
        </w:numPr>
        <w:spacing w:line="360" w:lineRule="auto"/>
        <w:contextualSpacing/>
        <w:rPr>
          <w:rFonts w:hint="eastAsia" w:ascii="宋体" w:hAnsi="宋体"/>
          <w:sz w:val="24"/>
        </w:rPr>
      </w:pPr>
      <w:r>
        <w:rPr>
          <w:rFonts w:hint="eastAsia" w:ascii="宋体" w:hAnsi="宋体"/>
          <w:sz w:val="24"/>
          <w:lang w:eastAsia="zh-CN"/>
        </w:rPr>
        <w:t>销售机构</w:t>
      </w:r>
      <w:r>
        <w:rPr>
          <w:rFonts w:hint="eastAsia" w:ascii="宋体" w:hAnsi="宋体"/>
          <w:sz w:val="24"/>
        </w:rPr>
        <w:t>不得擅自使用未经管理人授权或审核同意的理财计划宣传推介材料，在全国银行业理财信息登记系统对理财计划进行登记并获得登记编码前，不得发布理财计划宣传推介材料或办理理财计划销售业务。</w:t>
      </w:r>
    </w:p>
    <w:p>
      <w:pPr>
        <w:widowControl/>
        <w:numPr>
          <w:ilvl w:val="0"/>
          <w:numId w:val="76"/>
        </w:numPr>
        <w:spacing w:line="360" w:lineRule="auto"/>
        <w:contextualSpacing/>
        <w:jc w:val="left"/>
        <w:rPr>
          <w:rFonts w:hint="eastAsia" w:ascii="宋体" w:hAnsi="宋体"/>
          <w:sz w:val="24"/>
        </w:rPr>
      </w:pPr>
      <w:r>
        <w:rPr>
          <w:rFonts w:hint="eastAsia" w:ascii="宋体" w:hAnsi="宋体"/>
          <w:sz w:val="24"/>
          <w:lang w:eastAsia="zh-CN"/>
        </w:rPr>
        <w:t>销售机构</w:t>
      </w:r>
      <w:r>
        <w:rPr>
          <w:rFonts w:hint="eastAsia" w:ascii="宋体" w:hAnsi="宋体"/>
          <w:sz w:val="24"/>
        </w:rPr>
        <w:t>应建立健全上岗资格、持续培训、信息公示与查询核实等制度并有效执行。未经</w:t>
      </w:r>
      <w:r>
        <w:rPr>
          <w:rFonts w:hint="eastAsia" w:ascii="宋体" w:hAnsi="宋体"/>
          <w:sz w:val="24"/>
          <w:lang w:eastAsia="zh-CN"/>
        </w:rPr>
        <w:t>销售机构</w:t>
      </w:r>
      <w:r>
        <w:rPr>
          <w:rFonts w:hint="eastAsia" w:ascii="宋体" w:hAnsi="宋体"/>
          <w:sz w:val="24"/>
        </w:rPr>
        <w:t>进行上岗资格认定并签订劳动合同，任何人员不得从事理财计划销售业务活动。</w:t>
      </w:r>
    </w:p>
    <w:p>
      <w:pPr>
        <w:widowControl/>
        <w:numPr>
          <w:ilvl w:val="0"/>
          <w:numId w:val="76"/>
        </w:numPr>
        <w:spacing w:line="360" w:lineRule="auto"/>
        <w:contextualSpacing/>
        <w:jc w:val="left"/>
        <w:rPr>
          <w:rFonts w:hint="eastAsia" w:ascii="宋体" w:hAnsi="宋体"/>
          <w:sz w:val="24"/>
        </w:rPr>
      </w:pPr>
      <w:r>
        <w:rPr>
          <w:rFonts w:hint="eastAsia" w:ascii="宋体" w:hAnsi="宋体"/>
          <w:sz w:val="24"/>
          <w:lang w:eastAsia="zh-CN"/>
        </w:rPr>
        <w:t>销售机构</w:t>
      </w:r>
      <w:r>
        <w:rPr>
          <w:rFonts w:hint="eastAsia" w:ascii="宋体" w:hAnsi="宋体"/>
          <w:sz w:val="24"/>
        </w:rPr>
        <w:t>应对所有销售人员信息进行登记和公示。销售人员在向投资者宣传销售理财计划前进行自我介绍并告知信息查询和核实渠道，便于投资者查询核实，防止伪冒身份和虚假宣传。</w:t>
      </w:r>
    </w:p>
    <w:p>
      <w:pPr>
        <w:widowControl/>
        <w:numPr>
          <w:ilvl w:val="0"/>
          <w:numId w:val="76"/>
        </w:numPr>
        <w:spacing w:line="360" w:lineRule="auto"/>
        <w:contextualSpacing/>
        <w:jc w:val="left"/>
        <w:rPr>
          <w:rFonts w:hint="eastAsia" w:ascii="宋体" w:hAnsi="宋体"/>
          <w:sz w:val="24"/>
        </w:rPr>
      </w:pPr>
      <w:r>
        <w:rPr>
          <w:rFonts w:hint="eastAsia" w:ascii="宋体" w:hAnsi="宋体"/>
          <w:sz w:val="24"/>
          <w:lang w:eastAsia="zh-CN"/>
        </w:rPr>
        <w:t>销售机构</w:t>
      </w:r>
      <w:r>
        <w:rPr>
          <w:rFonts w:hint="eastAsia" w:ascii="宋体" w:hAnsi="宋体"/>
          <w:sz w:val="24"/>
        </w:rPr>
        <w:t>对投资者负有信息保密义务，未经投资者书面许可，乙方不得向任何组织、个人提供或泄露与甲方有关的业务资料及信息，但法律、法规另有规定的除外。</w:t>
      </w:r>
    </w:p>
    <w:p>
      <w:pPr>
        <w:widowControl/>
        <w:numPr>
          <w:ilvl w:val="0"/>
          <w:numId w:val="76"/>
        </w:numPr>
        <w:spacing w:line="360" w:lineRule="auto"/>
        <w:contextualSpacing/>
        <w:jc w:val="left"/>
        <w:rPr>
          <w:rFonts w:hint="eastAsia" w:ascii="宋体" w:hAnsi="宋体"/>
          <w:sz w:val="24"/>
        </w:rPr>
      </w:pPr>
      <w:r>
        <w:rPr>
          <w:rFonts w:hint="eastAsia" w:ascii="宋体" w:hAnsi="宋体"/>
          <w:sz w:val="24"/>
          <w:lang w:eastAsia="zh-CN"/>
        </w:rPr>
        <w:t>销售机构</w:t>
      </w:r>
      <w:r>
        <w:rPr>
          <w:rFonts w:hint="eastAsia" w:ascii="宋体" w:hAnsi="宋体"/>
          <w:sz w:val="24"/>
        </w:rPr>
        <w:t>应按照法律法规、监管规定、理财计划合同的约定收取销售费用，并如实核算、记账。未经载明，不得对不同投资者适用不同费率。</w:t>
      </w:r>
    </w:p>
    <w:p>
      <w:pPr>
        <w:widowControl/>
        <w:numPr>
          <w:ilvl w:val="0"/>
          <w:numId w:val="70"/>
        </w:numPr>
        <w:spacing w:line="360" w:lineRule="auto"/>
        <w:contextualSpacing/>
        <w:jc w:val="left"/>
        <w:rPr>
          <w:rFonts w:hint="eastAsia" w:ascii="宋体" w:hAnsi="宋体"/>
          <w:sz w:val="24"/>
        </w:rPr>
      </w:pPr>
      <w:r>
        <w:rPr>
          <w:rFonts w:hint="eastAsia" w:ascii="宋体" w:hAnsi="宋体"/>
          <w:sz w:val="24"/>
        </w:rPr>
        <w:t>理财计划销售结算资金属于理财计划投资者，</w:t>
      </w:r>
      <w:r>
        <w:rPr>
          <w:rFonts w:hint="eastAsia" w:ascii="宋体" w:hAnsi="宋体"/>
          <w:sz w:val="24"/>
          <w:lang w:eastAsia="zh-CN"/>
        </w:rPr>
        <w:t>销售机构</w:t>
      </w:r>
      <w:r>
        <w:rPr>
          <w:rFonts w:hint="eastAsia" w:ascii="宋体" w:hAnsi="宋体"/>
          <w:sz w:val="24"/>
        </w:rPr>
        <w:t>不得挪用理财计划销售结算资金或将理财计划销售结算资金归入自有资产。</w:t>
      </w:r>
    </w:p>
    <w:p>
      <w:pPr>
        <w:widowControl/>
        <w:numPr>
          <w:ilvl w:val="0"/>
          <w:numId w:val="70"/>
        </w:numPr>
        <w:spacing w:line="360" w:lineRule="auto"/>
        <w:contextualSpacing/>
        <w:jc w:val="left"/>
        <w:rPr>
          <w:rFonts w:hint="eastAsia" w:ascii="宋体" w:hAnsi="宋体"/>
          <w:sz w:val="24"/>
        </w:rPr>
      </w:pPr>
      <w:r>
        <w:rPr>
          <w:rFonts w:hint="eastAsia" w:ascii="宋体" w:hAnsi="宋体"/>
          <w:sz w:val="24"/>
          <w:lang w:eastAsia="zh-CN"/>
        </w:rPr>
        <w:t>销售机构</w:t>
      </w:r>
      <w:r>
        <w:rPr>
          <w:rFonts w:hint="eastAsia" w:ascii="宋体" w:hAnsi="宋体"/>
          <w:sz w:val="24"/>
        </w:rPr>
        <w:t>应遵守相关法律、法规、监管规定及理财计划合同约定，诚实守信、勤勉尽责，向购买理财计划的投资者充分传递管理人披露的产品相关信息并进行充分的风险揭示。</w:t>
      </w:r>
    </w:p>
    <w:p>
      <w:pPr>
        <w:widowControl/>
        <w:numPr>
          <w:ilvl w:val="0"/>
          <w:numId w:val="70"/>
        </w:numPr>
        <w:spacing w:line="360" w:lineRule="auto"/>
        <w:contextualSpacing/>
        <w:jc w:val="left"/>
        <w:rPr>
          <w:rFonts w:hint="eastAsia" w:ascii="宋体" w:hAnsi="宋体"/>
          <w:sz w:val="24"/>
        </w:rPr>
      </w:pPr>
      <w:r>
        <w:rPr>
          <w:rFonts w:hint="eastAsia" w:ascii="宋体" w:hAnsi="宋体"/>
          <w:sz w:val="24"/>
          <w:lang w:eastAsia="zh-CN"/>
        </w:rPr>
        <w:t>销售机构</w:t>
      </w:r>
      <w:r>
        <w:rPr>
          <w:rFonts w:hint="eastAsia" w:ascii="宋体" w:hAnsi="宋体"/>
          <w:sz w:val="24"/>
        </w:rPr>
        <w:t>应当充分利用科技手段，加强对伪冒网站、伪冒产品等监测，有效防范各类欺诈风险。</w:t>
      </w:r>
    </w:p>
    <w:p>
      <w:pPr>
        <w:widowControl/>
        <w:spacing w:line="360" w:lineRule="auto"/>
        <w:ind w:left="482"/>
        <w:contextualSpacing/>
        <w:jc w:val="left"/>
        <w:rPr>
          <w:rFonts w:hint="eastAsia" w:ascii="宋体" w:hAnsi="宋体"/>
          <w:b/>
          <w:bCs/>
          <w:sz w:val="24"/>
        </w:rPr>
      </w:pPr>
    </w:p>
    <w:p>
      <w:pPr>
        <w:widowControl/>
        <w:spacing w:line="360" w:lineRule="auto"/>
        <w:rPr>
          <w:rFonts w:hint="eastAsia"/>
          <w:b/>
          <w:bCs/>
          <w:sz w:val="24"/>
        </w:rPr>
      </w:pPr>
      <w:r>
        <w:rPr>
          <w:rFonts w:hint="eastAsia"/>
          <w:b/>
          <w:bCs/>
          <w:sz w:val="24"/>
        </w:rPr>
        <w:t xml:space="preserve">    第四条 理财计划认（申）购、赎回及终止</w:t>
      </w:r>
    </w:p>
    <w:p>
      <w:pPr>
        <w:widowControl/>
        <w:numPr>
          <w:ilvl w:val="0"/>
          <w:numId w:val="77"/>
        </w:numPr>
        <w:spacing w:line="360" w:lineRule="auto"/>
        <w:contextualSpacing/>
        <w:rPr>
          <w:rFonts w:hint="eastAsia" w:ascii="宋体" w:hAnsi="宋体"/>
          <w:sz w:val="24"/>
        </w:rPr>
      </w:pPr>
      <w:r>
        <w:rPr>
          <w:rFonts w:hint="eastAsia" w:ascii="宋体" w:hAnsi="宋体"/>
          <w:sz w:val="24"/>
        </w:rPr>
        <w:t xml:space="preserve">理财计划认/申购办理流程：参照投资者权益须知约定。 </w:t>
      </w:r>
    </w:p>
    <w:p>
      <w:pPr>
        <w:widowControl/>
        <w:numPr>
          <w:ilvl w:val="0"/>
          <w:numId w:val="77"/>
        </w:numPr>
        <w:spacing w:line="360" w:lineRule="auto"/>
        <w:contextualSpacing/>
        <w:rPr>
          <w:rFonts w:hint="eastAsia" w:ascii="宋体" w:hAnsi="宋体"/>
          <w:sz w:val="24"/>
        </w:rPr>
      </w:pPr>
      <w:r>
        <w:rPr>
          <w:rFonts w:hint="eastAsia" w:ascii="宋体" w:hAnsi="宋体"/>
          <w:sz w:val="24"/>
        </w:rPr>
        <w:t>理财计划认/申购确认：管理人根据销售渠道提供的交易信息及资金划付对投资者相应认/申购进行确认。</w:t>
      </w:r>
    </w:p>
    <w:p>
      <w:pPr>
        <w:widowControl/>
        <w:numPr>
          <w:ilvl w:val="0"/>
          <w:numId w:val="77"/>
        </w:numPr>
        <w:spacing w:line="360" w:lineRule="auto"/>
        <w:contextualSpacing/>
        <w:rPr>
          <w:rFonts w:hint="eastAsia" w:ascii="宋体" w:hAnsi="宋体"/>
          <w:sz w:val="24"/>
        </w:rPr>
      </w:pPr>
      <w:r>
        <w:rPr>
          <w:rFonts w:hint="eastAsia" w:ascii="宋体" w:hAnsi="宋体"/>
          <w:sz w:val="24"/>
        </w:rPr>
        <w:t>理财计划不成立：若在募集期结束日，本理财计划发行规模未能达到对应期次的理财计划产品说明书规定的要求，则本理财计划不成立，</w:t>
      </w:r>
      <w:r>
        <w:rPr>
          <w:rFonts w:hint="eastAsia" w:ascii="宋体" w:hAnsi="宋体"/>
          <w:sz w:val="24"/>
          <w:lang w:eastAsia="zh-CN"/>
        </w:rPr>
        <w:t>销售机构</w:t>
      </w:r>
      <w:r>
        <w:rPr>
          <w:rFonts w:hint="eastAsia" w:ascii="宋体" w:hAnsi="宋体"/>
          <w:sz w:val="24"/>
        </w:rPr>
        <w:t xml:space="preserve">将按对应期次的理财计划产品说明书约定条款向投资者进行公告，并将及时解除对投资者授权指定账户中认购资金的冻结。 </w:t>
      </w:r>
    </w:p>
    <w:p>
      <w:pPr>
        <w:widowControl/>
        <w:numPr>
          <w:ilvl w:val="0"/>
          <w:numId w:val="77"/>
        </w:numPr>
        <w:spacing w:line="360" w:lineRule="auto"/>
        <w:contextualSpacing/>
        <w:rPr>
          <w:rFonts w:hint="eastAsia" w:ascii="宋体" w:hAnsi="宋体"/>
          <w:sz w:val="24"/>
        </w:rPr>
      </w:pPr>
      <w:r>
        <w:rPr>
          <w:rFonts w:hint="eastAsia" w:ascii="宋体" w:hAnsi="宋体"/>
          <w:sz w:val="24"/>
        </w:rPr>
        <w:t xml:space="preserve">理财计划投资品种、投资起点金额、收益支付方式：参照对应期次的理财计划产品说明书中的条款约定。 </w:t>
      </w:r>
    </w:p>
    <w:p>
      <w:pPr>
        <w:widowControl/>
        <w:numPr>
          <w:ilvl w:val="0"/>
          <w:numId w:val="77"/>
        </w:numPr>
        <w:spacing w:line="360" w:lineRule="auto"/>
        <w:contextualSpacing/>
        <w:rPr>
          <w:rFonts w:hint="eastAsia" w:ascii="宋体" w:hAnsi="宋体"/>
          <w:sz w:val="24"/>
        </w:rPr>
      </w:pPr>
      <w:r>
        <w:rPr>
          <w:rFonts w:hint="eastAsia" w:ascii="宋体" w:hAnsi="宋体"/>
          <w:sz w:val="24"/>
        </w:rPr>
        <w:t>理财计划赎回/终止兑付：在正常情况下，管理人和</w:t>
      </w:r>
      <w:r>
        <w:rPr>
          <w:rFonts w:hint="eastAsia" w:ascii="宋体" w:hAnsi="宋体"/>
          <w:sz w:val="24"/>
          <w:lang w:eastAsia="zh-CN"/>
        </w:rPr>
        <w:t>销售机构</w:t>
      </w:r>
      <w:r>
        <w:rPr>
          <w:rFonts w:hint="eastAsia" w:ascii="宋体" w:hAnsi="宋体"/>
          <w:sz w:val="24"/>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理财计划产品说明书约定管理人对理财计划进行延期或转换时，</w:t>
      </w:r>
      <w:r>
        <w:rPr>
          <w:rFonts w:hint="eastAsia" w:ascii="宋体" w:hAnsi="宋体"/>
          <w:sz w:val="24"/>
          <w:lang w:eastAsia="zh-CN"/>
        </w:rPr>
        <w:t>销售机构</w:t>
      </w:r>
      <w:r>
        <w:rPr>
          <w:rFonts w:hint="eastAsia" w:ascii="宋体" w:hAnsi="宋体"/>
          <w:sz w:val="24"/>
        </w:rPr>
        <w:t>将于原约定清算日前通过信息披露途径及时通知，并根据实际情况进行后续处理。</w:t>
      </w:r>
    </w:p>
    <w:p>
      <w:pPr>
        <w:widowControl/>
        <w:numPr>
          <w:ilvl w:val="0"/>
          <w:numId w:val="77"/>
        </w:numPr>
        <w:spacing w:line="360" w:lineRule="auto"/>
        <w:contextualSpacing/>
        <w:rPr>
          <w:rFonts w:hint="eastAsia" w:ascii="宋体" w:hAnsi="宋体"/>
          <w:sz w:val="24"/>
        </w:rPr>
      </w:pPr>
      <w:r>
        <w:rPr>
          <w:rFonts w:hint="eastAsia" w:ascii="宋体" w:hAnsi="宋体"/>
          <w:sz w:val="24"/>
        </w:rPr>
        <w:t>资金清算：理财计划终止或份额赎回时，管理人按理财计划合同约定划付至</w:t>
      </w:r>
      <w:r>
        <w:rPr>
          <w:rFonts w:hint="eastAsia" w:ascii="宋体" w:hAnsi="宋体"/>
          <w:sz w:val="24"/>
          <w:lang w:eastAsia="zh-CN"/>
        </w:rPr>
        <w:t>销售机构</w:t>
      </w:r>
      <w:r>
        <w:rPr>
          <w:rFonts w:hint="eastAsia" w:ascii="宋体" w:hAnsi="宋体"/>
          <w:sz w:val="24"/>
        </w:rPr>
        <w:t>清算账户后，由</w:t>
      </w:r>
      <w:r>
        <w:rPr>
          <w:rFonts w:hint="eastAsia" w:ascii="宋体" w:hAnsi="宋体"/>
          <w:sz w:val="24"/>
          <w:lang w:eastAsia="zh-CN"/>
        </w:rPr>
        <w:t>销售机构</w:t>
      </w:r>
      <w:r>
        <w:rPr>
          <w:rFonts w:hint="eastAsia" w:ascii="宋体" w:hAnsi="宋体"/>
          <w:sz w:val="24"/>
        </w:rPr>
        <w:t>向投资者划付投资者应得资金。如因投资者清算账户余额不足，或</w:t>
      </w:r>
      <w:r>
        <w:rPr>
          <w:rFonts w:hint="eastAsia" w:ascii="宋体" w:hAnsi="宋体"/>
          <w:sz w:val="24"/>
          <w:lang w:eastAsia="zh-CN"/>
        </w:rPr>
        <w:t>销售机构</w:t>
      </w:r>
      <w:r>
        <w:rPr>
          <w:rFonts w:hint="eastAsia" w:ascii="宋体" w:hAnsi="宋体"/>
          <w:sz w:val="24"/>
        </w:rPr>
        <w:t>未及时足额划付资金，或</w:t>
      </w:r>
      <w:r>
        <w:rPr>
          <w:rFonts w:hint="eastAsia" w:ascii="宋体" w:hAnsi="宋体"/>
          <w:sz w:val="24"/>
          <w:lang w:eastAsia="zh-CN"/>
        </w:rPr>
        <w:t>销售机构</w:t>
      </w:r>
      <w:r>
        <w:rPr>
          <w:rFonts w:hint="eastAsia" w:ascii="宋体" w:hAnsi="宋体"/>
          <w:sz w:val="24"/>
        </w:rPr>
        <w:t>清算账户内资金被依法冻结或扣划，或</w:t>
      </w:r>
      <w:r>
        <w:rPr>
          <w:rFonts w:hint="eastAsia" w:ascii="宋体" w:hAnsi="宋体"/>
          <w:sz w:val="24"/>
          <w:lang w:eastAsia="zh-CN"/>
        </w:rPr>
        <w:t>销售机构</w:t>
      </w:r>
      <w:r>
        <w:rPr>
          <w:rFonts w:hint="eastAsia" w:ascii="宋体" w:hAnsi="宋体"/>
          <w:sz w:val="24"/>
        </w:rPr>
        <w:t>清算账户处于被挂失、冻结、注销或其他非正常状态等原因而导致交易失败，对于因上述原因导致的交易失败可能带来的任何损失及预期损失，投资者须自行承担或向</w:t>
      </w:r>
      <w:r>
        <w:rPr>
          <w:rFonts w:hint="eastAsia" w:ascii="宋体" w:hAnsi="宋体"/>
          <w:sz w:val="24"/>
          <w:lang w:eastAsia="zh-CN"/>
        </w:rPr>
        <w:t>销售机构</w:t>
      </w:r>
      <w:r>
        <w:rPr>
          <w:rFonts w:hint="eastAsia" w:ascii="宋体" w:hAnsi="宋体"/>
          <w:sz w:val="24"/>
        </w:rPr>
        <w:t>依法主张。</w:t>
      </w:r>
    </w:p>
    <w:p>
      <w:pPr>
        <w:widowControl/>
        <w:spacing w:line="360" w:lineRule="auto"/>
        <w:ind w:left="178" w:leftChars="85"/>
        <w:contextualSpacing/>
        <w:rPr>
          <w:rFonts w:hint="eastAsia" w:ascii="宋体" w:hAnsi="宋体"/>
          <w:b/>
          <w:bCs/>
          <w:sz w:val="24"/>
        </w:rPr>
      </w:pPr>
    </w:p>
    <w:p>
      <w:pPr>
        <w:widowControl/>
        <w:spacing w:line="360" w:lineRule="auto"/>
        <w:rPr>
          <w:rFonts w:hint="eastAsia"/>
          <w:b/>
          <w:bCs/>
          <w:sz w:val="24"/>
        </w:rPr>
      </w:pPr>
      <w:r>
        <w:rPr>
          <w:rFonts w:hint="eastAsia"/>
          <w:b/>
          <w:bCs/>
          <w:sz w:val="24"/>
        </w:rPr>
        <w:t xml:space="preserve">    第五条 违约责任及免责条款</w:t>
      </w:r>
    </w:p>
    <w:p>
      <w:pPr>
        <w:widowControl/>
        <w:numPr>
          <w:ilvl w:val="0"/>
          <w:numId w:val="78"/>
        </w:numPr>
        <w:spacing w:line="360" w:lineRule="auto"/>
        <w:contextualSpacing/>
        <w:rPr>
          <w:rFonts w:hint="eastAsia" w:ascii="宋体" w:hAnsi="宋体"/>
          <w:sz w:val="24"/>
        </w:rPr>
      </w:pPr>
      <w:r>
        <w:rPr>
          <w:rFonts w:hint="eastAsia" w:ascii="宋体" w:hAnsi="宋体"/>
          <w:sz w:val="24"/>
        </w:rPr>
        <w:t>若因投资者原因导致司法或行政等有权机关采取强制措施对其理财本金、收益进行部分或全部被扣划，均视投资者本人就全部理财本金进行了提前</w:t>
      </w:r>
      <w:r>
        <w:rPr>
          <w:rFonts w:hint="eastAsia" w:ascii="宋体" w:hAnsi="宋体"/>
          <w:sz w:val="24"/>
          <w:lang w:val="en-US" w:eastAsia="zh-CN"/>
        </w:rPr>
        <w:t>赎回</w:t>
      </w:r>
      <w:r>
        <w:rPr>
          <w:rFonts w:hint="eastAsia" w:ascii="宋体" w:hAnsi="宋体"/>
          <w:sz w:val="24"/>
        </w:rPr>
        <w:t>，本协议自动终止。因提前终止而产生的损失及相关费用由投资者承担。本协议因前述情况终止的，理财本金不计付</w:t>
      </w:r>
      <w:r>
        <w:rPr>
          <w:rFonts w:hint="eastAsia" w:ascii="宋体" w:hAnsi="宋体"/>
          <w:sz w:val="24"/>
          <w:lang w:val="en-US" w:eastAsia="zh-CN"/>
        </w:rPr>
        <w:t>赎回</w:t>
      </w:r>
      <w:r>
        <w:rPr>
          <w:rFonts w:hint="eastAsia" w:ascii="宋体" w:hAnsi="宋体"/>
          <w:sz w:val="24"/>
        </w:rPr>
        <w:t>日前的理财收益，也不计付存款利息。</w:t>
      </w:r>
    </w:p>
    <w:p>
      <w:pPr>
        <w:widowControl/>
        <w:numPr>
          <w:ilvl w:val="0"/>
          <w:numId w:val="78"/>
        </w:numPr>
        <w:spacing w:line="360" w:lineRule="auto"/>
        <w:contextualSpacing/>
        <w:rPr>
          <w:rFonts w:hint="eastAsia" w:ascii="宋体" w:hAnsi="宋体"/>
          <w:sz w:val="24"/>
        </w:rPr>
      </w:pPr>
      <w:r>
        <w:rPr>
          <w:rFonts w:hint="eastAsia" w:ascii="宋体" w:hAnsi="宋体"/>
          <w:sz w:val="24"/>
        </w:rPr>
        <w:t>投资者违反本协议第二条内容，应承担相应违约责任。</w:t>
      </w:r>
      <w:r>
        <w:rPr>
          <w:rFonts w:hint="eastAsia" w:ascii="宋体" w:hAnsi="宋体"/>
          <w:sz w:val="24"/>
          <w:lang w:eastAsia="zh-CN"/>
        </w:rPr>
        <w:t>销售机构</w:t>
      </w:r>
      <w:r>
        <w:rPr>
          <w:rFonts w:hint="eastAsia" w:ascii="宋体" w:hAnsi="宋体"/>
          <w:sz w:val="24"/>
        </w:rPr>
        <w:t>对由此导致的理财业务交易延误、中断、终止及投资者损失不承担任何责任，并有权单方终止双方理财业务关系。因投资者违反双方约定给</w:t>
      </w:r>
      <w:r>
        <w:rPr>
          <w:rFonts w:hint="eastAsia" w:ascii="宋体" w:hAnsi="宋体"/>
          <w:sz w:val="24"/>
          <w:lang w:eastAsia="zh-CN"/>
        </w:rPr>
        <w:t>销售机构</w:t>
      </w:r>
      <w:r>
        <w:rPr>
          <w:rFonts w:hint="eastAsia" w:ascii="宋体" w:hAnsi="宋体"/>
          <w:sz w:val="24"/>
        </w:rPr>
        <w:t>或全体投资者造成损失的，投资者应承担相应的赔偿责任。</w:t>
      </w:r>
    </w:p>
    <w:p>
      <w:pPr>
        <w:widowControl/>
        <w:numPr>
          <w:ilvl w:val="0"/>
          <w:numId w:val="78"/>
        </w:numPr>
        <w:spacing w:line="360" w:lineRule="auto"/>
        <w:contextualSpacing/>
        <w:rPr>
          <w:rFonts w:hint="eastAsia" w:ascii="宋体" w:hAnsi="宋体"/>
          <w:sz w:val="24"/>
        </w:rPr>
      </w:pPr>
      <w:r>
        <w:rPr>
          <w:rFonts w:hint="eastAsia" w:ascii="宋体" w:hAnsi="宋体"/>
          <w:sz w:val="24"/>
        </w:rPr>
        <w:t>若由于</w:t>
      </w:r>
      <w:r>
        <w:rPr>
          <w:rFonts w:hint="eastAsia" w:ascii="宋体" w:hAnsi="宋体"/>
          <w:sz w:val="24"/>
          <w:lang w:eastAsia="zh-CN"/>
        </w:rPr>
        <w:t>销售机构</w:t>
      </w:r>
      <w:r>
        <w:rPr>
          <w:rFonts w:hint="eastAsia" w:ascii="宋体" w:hAnsi="宋体"/>
          <w:sz w:val="24"/>
        </w:rPr>
        <w:t>过错导致理财计划资产发生损失，</w:t>
      </w:r>
      <w:r>
        <w:rPr>
          <w:rFonts w:hint="eastAsia" w:ascii="宋体" w:hAnsi="宋体"/>
          <w:sz w:val="24"/>
          <w:lang w:eastAsia="zh-CN"/>
        </w:rPr>
        <w:t>销售机构</w:t>
      </w:r>
      <w:r>
        <w:rPr>
          <w:rFonts w:hint="eastAsia" w:ascii="宋体" w:hAnsi="宋体"/>
          <w:sz w:val="24"/>
        </w:rPr>
        <w:t>应按其过错承担赔偿责任，</w:t>
      </w:r>
      <w:r>
        <w:rPr>
          <w:rFonts w:hint="eastAsia" w:ascii="宋体" w:hAnsi="宋体"/>
          <w:sz w:val="24"/>
          <w:lang w:eastAsia="zh-CN"/>
        </w:rPr>
        <w:t>销售机构</w:t>
      </w:r>
      <w:r>
        <w:rPr>
          <w:rFonts w:hint="eastAsia" w:ascii="宋体" w:hAnsi="宋体"/>
          <w:sz w:val="24"/>
        </w:rPr>
        <w:t>赔偿的款项计入理财计划的资产和收益。</w:t>
      </w:r>
    </w:p>
    <w:p>
      <w:pPr>
        <w:widowControl/>
        <w:numPr>
          <w:ilvl w:val="0"/>
          <w:numId w:val="78"/>
        </w:numPr>
        <w:spacing w:line="360" w:lineRule="auto"/>
        <w:contextualSpacing/>
        <w:rPr>
          <w:rFonts w:hint="eastAsia" w:ascii="宋体" w:hAnsi="宋体"/>
          <w:sz w:val="24"/>
        </w:rPr>
      </w:pPr>
      <w:r>
        <w:rPr>
          <w:rFonts w:hint="eastAsia" w:ascii="宋体" w:hAnsi="宋体"/>
          <w:sz w:val="24"/>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sz w:val="24"/>
        </w:rPr>
        <w:t>不承担责任；但</w:t>
      </w:r>
      <w:r>
        <w:rPr>
          <w:rFonts w:hint="eastAsia" w:ascii="宋体" w:hAnsi="宋体"/>
          <w:sz w:val="24"/>
          <w:lang w:eastAsia="zh-CN"/>
        </w:rPr>
        <w:t>销售机构</w:t>
      </w:r>
      <w:r>
        <w:rPr>
          <w:rFonts w:hint="eastAsia" w:ascii="宋体" w:hAnsi="宋体"/>
          <w:sz w:val="24"/>
        </w:rPr>
        <w:t>应在上述情况发生后在条件允许时及时通知投资者并采取一切必要且可能的措施阻止损失扩大。</w:t>
      </w:r>
    </w:p>
    <w:p>
      <w:pPr>
        <w:widowControl/>
        <w:numPr>
          <w:ilvl w:val="0"/>
          <w:numId w:val="78"/>
        </w:numPr>
        <w:spacing w:line="360" w:lineRule="auto"/>
        <w:contextualSpacing/>
        <w:rPr>
          <w:rFonts w:hint="eastAsia" w:ascii="宋体" w:hAnsi="宋体"/>
          <w:sz w:val="24"/>
        </w:rPr>
      </w:pPr>
      <w:r>
        <w:rPr>
          <w:rFonts w:hint="eastAsia" w:ascii="宋体" w:hAnsi="宋体"/>
          <w:sz w:val="24"/>
        </w:rPr>
        <w:t>因国家有关法律、法规、规章、政策的修改或新的法律、法规、规章、政策颁布以及紧急措施的出台导致的风险及损失，</w:t>
      </w:r>
      <w:r>
        <w:rPr>
          <w:rFonts w:hint="eastAsia" w:ascii="宋体" w:hAnsi="宋体"/>
          <w:sz w:val="24"/>
          <w:lang w:eastAsia="zh-CN"/>
        </w:rPr>
        <w:t>销售机构</w:t>
      </w:r>
      <w:r>
        <w:rPr>
          <w:rFonts w:hint="eastAsia" w:ascii="宋体" w:hAnsi="宋体"/>
          <w:sz w:val="24"/>
        </w:rPr>
        <w:t>不承担责任。</w:t>
      </w:r>
    </w:p>
    <w:p>
      <w:pPr>
        <w:widowControl/>
        <w:spacing w:line="360" w:lineRule="auto"/>
        <w:contextualSpacing/>
        <w:rPr>
          <w:rFonts w:hint="eastAsia" w:ascii="宋体" w:hAnsi="宋体"/>
          <w:b/>
          <w:bCs/>
          <w:sz w:val="24"/>
        </w:rPr>
      </w:pPr>
    </w:p>
    <w:p>
      <w:pPr>
        <w:widowControl/>
        <w:spacing w:line="360" w:lineRule="auto"/>
        <w:rPr>
          <w:rFonts w:hint="eastAsia"/>
          <w:b/>
          <w:bCs/>
          <w:sz w:val="24"/>
        </w:rPr>
      </w:pPr>
      <w:r>
        <w:rPr>
          <w:rFonts w:hint="eastAsia"/>
          <w:b/>
          <w:bCs/>
          <w:sz w:val="24"/>
        </w:rPr>
        <w:t xml:space="preserve">    第六条 适用法律与争议解决</w:t>
      </w:r>
    </w:p>
    <w:p>
      <w:pPr>
        <w:widowControl/>
        <w:spacing w:line="360" w:lineRule="auto"/>
        <w:ind w:firstLine="480" w:firstLineChars="200"/>
        <w:contextualSpacing/>
        <w:rPr>
          <w:rFonts w:hint="eastAsia" w:ascii="宋体" w:hAnsi="宋体"/>
          <w:sz w:val="24"/>
        </w:rPr>
      </w:pPr>
      <w:r>
        <w:rPr>
          <w:rFonts w:hint="eastAsia" w:ascii="宋体" w:hAnsi="宋体"/>
          <w:sz w:val="24"/>
        </w:rPr>
        <w:t>本协议适用中华人民共和国（仅为明确本合同适用法律规则，不含香港特别行政区、澳门特别行政区及中国台湾地区）的法律和行政法规。本协议项下的及与之有关的一切争议，投资者与</w:t>
      </w:r>
      <w:r>
        <w:rPr>
          <w:rFonts w:hint="eastAsia" w:ascii="宋体" w:hAnsi="宋体"/>
          <w:sz w:val="24"/>
          <w:lang w:eastAsia="zh-CN"/>
        </w:rPr>
        <w:t>销售机构</w:t>
      </w:r>
      <w:r>
        <w:rPr>
          <w:rFonts w:hint="eastAsia" w:ascii="宋体" w:hAnsi="宋体"/>
          <w:sz w:val="24"/>
        </w:rPr>
        <w:t>双方应首先协商解决，协商不成的，应提交</w:t>
      </w:r>
      <w:r>
        <w:rPr>
          <w:rFonts w:hint="eastAsia" w:ascii="宋体" w:hAnsi="宋体"/>
          <w:sz w:val="24"/>
          <w:lang w:eastAsia="zh-CN"/>
        </w:rPr>
        <w:t>销售机构</w:t>
      </w:r>
      <w:r>
        <w:rPr>
          <w:rFonts w:hint="eastAsia" w:ascii="宋体" w:hAnsi="宋体" w:eastAsia="宋体" w:cs="黑体"/>
          <w:sz w:val="24"/>
          <w:highlight w:val="none"/>
          <w:lang w:val="en-US" w:eastAsia="zh-CN"/>
        </w:rPr>
        <w:t>或管理人</w:t>
      </w:r>
      <w:r>
        <w:rPr>
          <w:rFonts w:hint="eastAsia" w:ascii="宋体" w:hAnsi="宋体"/>
          <w:sz w:val="24"/>
        </w:rPr>
        <w:t>所在地人民法院诉讼解决。诉讼期间，未涉及争议的条款仍需继续履行。</w:t>
      </w:r>
    </w:p>
    <w:p>
      <w:pPr>
        <w:widowControl/>
        <w:spacing w:line="360" w:lineRule="auto"/>
        <w:ind w:firstLine="482" w:firstLineChars="200"/>
        <w:contextualSpacing/>
        <w:rPr>
          <w:rFonts w:hint="eastAsia" w:ascii="宋体" w:hAnsi="宋体"/>
          <w:b/>
          <w:bCs/>
          <w:sz w:val="24"/>
        </w:rPr>
      </w:pPr>
    </w:p>
    <w:p>
      <w:pPr>
        <w:widowControl/>
        <w:spacing w:line="360" w:lineRule="auto"/>
        <w:rPr>
          <w:rFonts w:hint="eastAsia"/>
          <w:b/>
          <w:bCs/>
          <w:sz w:val="24"/>
        </w:rPr>
      </w:pPr>
      <w:r>
        <w:rPr>
          <w:rFonts w:hint="eastAsia"/>
          <w:b/>
          <w:bCs/>
          <w:sz w:val="24"/>
        </w:rPr>
        <w:t xml:space="preserve">    第七条 协议生效和终止</w:t>
      </w:r>
    </w:p>
    <w:p>
      <w:pPr>
        <w:widowControl/>
        <w:numPr>
          <w:ilvl w:val="0"/>
          <w:numId w:val="79"/>
        </w:numPr>
        <w:spacing w:line="360" w:lineRule="auto"/>
        <w:contextualSpacing/>
        <w:rPr>
          <w:rFonts w:hint="eastAsia" w:ascii="宋体" w:hAnsi="宋体"/>
          <w:sz w:val="24"/>
        </w:rPr>
      </w:pPr>
      <w:r>
        <w:rPr>
          <w:rFonts w:hint="eastAsia" w:ascii="宋体" w:hAnsi="宋体"/>
          <w:sz w:val="24"/>
        </w:rPr>
        <w:t>投资者和</w:t>
      </w:r>
      <w:r>
        <w:rPr>
          <w:rFonts w:hint="eastAsia" w:ascii="宋体" w:hAnsi="宋体"/>
          <w:sz w:val="24"/>
          <w:lang w:eastAsia="zh-CN"/>
        </w:rPr>
        <w:t>销售机构</w:t>
      </w:r>
      <w:r>
        <w:rPr>
          <w:rFonts w:hint="eastAsia" w:ascii="宋体" w:hAnsi="宋体"/>
          <w:sz w:val="24"/>
        </w:rPr>
        <w:t xml:space="preserve">双方认可本协议可以纸质或电子数据等形式提交、订立或确认。 </w:t>
      </w:r>
    </w:p>
    <w:p>
      <w:pPr>
        <w:widowControl/>
        <w:numPr>
          <w:ilvl w:val="0"/>
          <w:numId w:val="80"/>
        </w:numPr>
        <w:spacing w:line="360" w:lineRule="auto"/>
        <w:contextualSpacing/>
        <w:rPr>
          <w:rFonts w:hint="eastAsia" w:ascii="宋体" w:hAnsi="宋体"/>
          <w:sz w:val="24"/>
        </w:rPr>
      </w:pPr>
      <w:r>
        <w:rPr>
          <w:rFonts w:hint="eastAsia" w:ascii="宋体" w:hAnsi="宋体"/>
          <w:sz w:val="24"/>
        </w:rPr>
        <w:t>本协议书以纸质书面形式订立的，自投资者签字和</w:t>
      </w:r>
      <w:r>
        <w:rPr>
          <w:rFonts w:hint="eastAsia" w:ascii="宋体" w:hAnsi="宋体"/>
          <w:sz w:val="24"/>
          <w:lang w:eastAsia="zh-CN"/>
        </w:rPr>
        <w:t>销售机构</w:t>
      </w:r>
      <w:r>
        <w:rPr>
          <w:rFonts w:hint="eastAsia" w:ascii="宋体" w:hAnsi="宋体"/>
          <w:sz w:val="24"/>
        </w:rPr>
        <w:t>签章之后立即生效。协议一式叁份，投资者、管理人和</w:t>
      </w:r>
      <w:r>
        <w:rPr>
          <w:rFonts w:hint="eastAsia" w:ascii="宋体" w:hAnsi="宋体"/>
          <w:sz w:val="24"/>
          <w:lang w:eastAsia="zh-CN"/>
        </w:rPr>
        <w:t>销售机构</w:t>
      </w:r>
      <w:r>
        <w:rPr>
          <w:rFonts w:hint="eastAsia" w:ascii="宋体" w:hAnsi="宋体"/>
          <w:sz w:val="24"/>
        </w:rPr>
        <w:t xml:space="preserve">各执壹份，具有同等法律效力。 </w:t>
      </w:r>
    </w:p>
    <w:p>
      <w:pPr>
        <w:widowControl/>
        <w:numPr>
          <w:ilvl w:val="0"/>
          <w:numId w:val="80"/>
        </w:numPr>
        <w:spacing w:line="360" w:lineRule="auto"/>
        <w:contextualSpacing/>
        <w:rPr>
          <w:rFonts w:hint="eastAsia" w:ascii="宋体" w:hAnsi="宋体"/>
          <w:sz w:val="24"/>
        </w:rPr>
      </w:pPr>
      <w:r>
        <w:rPr>
          <w:rFonts w:hint="eastAsia" w:ascii="宋体" w:hAnsi="宋体"/>
          <w:sz w:val="24"/>
        </w:rPr>
        <w:t>本协议书以数据电文形式订立的，投资者在</w:t>
      </w:r>
      <w:r>
        <w:rPr>
          <w:rFonts w:hint="eastAsia" w:ascii="宋体" w:hAnsi="宋体"/>
          <w:sz w:val="24"/>
          <w:lang w:eastAsia="zh-CN"/>
        </w:rPr>
        <w:t>销售机构</w:t>
      </w:r>
      <w:r>
        <w:rPr>
          <w:rFonts w:hint="eastAsia" w:ascii="宋体" w:hAnsi="宋体"/>
          <w:sz w:val="24"/>
        </w:rPr>
        <w:t>的电子银行渠道（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80"/>
        </w:numPr>
        <w:spacing w:line="360" w:lineRule="auto"/>
        <w:contextualSpacing/>
        <w:rPr>
          <w:rFonts w:hint="eastAsia" w:ascii="宋体" w:hAnsi="宋体"/>
          <w:sz w:val="24"/>
        </w:rPr>
      </w:pPr>
      <w:r>
        <w:rPr>
          <w:rFonts w:hint="eastAsia" w:ascii="宋体" w:hAnsi="宋体"/>
          <w:sz w:val="24"/>
        </w:rPr>
        <w:t>投资者和</w:t>
      </w:r>
      <w:r>
        <w:rPr>
          <w:rFonts w:hint="eastAsia" w:ascii="宋体" w:hAnsi="宋体"/>
          <w:sz w:val="24"/>
          <w:lang w:eastAsia="zh-CN"/>
        </w:rPr>
        <w:t>销售机构</w:t>
      </w:r>
      <w:r>
        <w:rPr>
          <w:rFonts w:hint="eastAsia" w:ascii="宋体" w:hAnsi="宋体"/>
          <w:sz w:val="24"/>
        </w:rPr>
        <w:t>双方在本协议及对应期次的理财计划产品说明书项下权利义务履行完毕之日，本协议自动终止。</w:t>
      </w:r>
    </w:p>
    <w:p>
      <w:pPr>
        <w:widowControl/>
        <w:spacing w:line="360" w:lineRule="auto"/>
        <w:ind w:left="420"/>
        <w:contextualSpacing/>
        <w:rPr>
          <w:rFonts w:hint="eastAsia" w:ascii="宋体" w:hAnsi="宋体"/>
          <w:sz w:val="24"/>
        </w:rPr>
      </w:pPr>
    </w:p>
    <w:p>
      <w:pPr>
        <w:widowControl/>
        <w:spacing w:line="360" w:lineRule="auto"/>
        <w:rPr>
          <w:rFonts w:hint="eastAsia"/>
          <w:b/>
          <w:sz w:val="24"/>
        </w:rPr>
      </w:pPr>
      <w:r>
        <w:rPr>
          <w:rFonts w:hint="eastAsia"/>
          <w:b/>
          <w:sz w:val="24"/>
        </w:rPr>
        <w:t xml:space="preserve">    第八条 附则 </w:t>
      </w:r>
    </w:p>
    <w:p>
      <w:pPr>
        <w:widowControl/>
        <w:numPr>
          <w:ilvl w:val="0"/>
          <w:numId w:val="81"/>
        </w:numPr>
        <w:spacing w:line="360" w:lineRule="auto"/>
        <w:contextualSpacing/>
        <w:rPr>
          <w:rFonts w:hint="eastAsia" w:ascii="宋体" w:hAnsi="宋体"/>
          <w:sz w:val="24"/>
        </w:rPr>
      </w:pPr>
      <w:r>
        <w:rPr>
          <w:rFonts w:hint="eastAsia" w:ascii="宋体" w:hAnsi="宋体"/>
          <w:sz w:val="24"/>
        </w:rPr>
        <w:t>如果投资者与</w:t>
      </w:r>
      <w:r>
        <w:rPr>
          <w:rFonts w:hint="eastAsia" w:ascii="宋体" w:hAnsi="宋体"/>
          <w:sz w:val="24"/>
          <w:lang w:eastAsia="zh-CN"/>
        </w:rPr>
        <w:t>销售机构</w:t>
      </w:r>
      <w:r>
        <w:rPr>
          <w:rFonts w:hint="eastAsia" w:ascii="宋体" w:hAnsi="宋体"/>
          <w:sz w:val="24"/>
        </w:rPr>
        <w:t>之间存在多份理财计划销售协议书，则每一协议书分别与其所对应的理财计划产品说明书等销售文本单独构成一个理财计划合同，各个合同之间互相独立，每一合同的效力及履行情况均独立于其他合同。</w:t>
      </w:r>
    </w:p>
    <w:p>
      <w:pPr>
        <w:widowControl/>
        <w:numPr>
          <w:ilvl w:val="0"/>
          <w:numId w:val="81"/>
        </w:numPr>
        <w:spacing w:line="360" w:lineRule="auto"/>
        <w:contextualSpacing/>
        <w:rPr>
          <w:rFonts w:hint="eastAsia" w:ascii="宋体" w:hAnsi="宋体"/>
          <w:sz w:val="24"/>
        </w:rPr>
      </w:pPr>
      <w:r>
        <w:rPr>
          <w:rFonts w:hint="eastAsia" w:ascii="宋体" w:hAnsi="宋体"/>
          <w:sz w:val="24"/>
        </w:rPr>
        <w:t>如果由于任何原因使本合同下的任何条款或内容成为无效或被依法撤销，本合同其他条款或内容的合法性、有效性和可执行性不受影响。</w:t>
      </w:r>
    </w:p>
    <w:p>
      <w:pPr>
        <w:widowControl/>
        <w:numPr>
          <w:ilvl w:val="0"/>
          <w:numId w:val="81"/>
        </w:numPr>
        <w:spacing w:line="360" w:lineRule="auto"/>
        <w:contextualSpacing/>
        <w:rPr>
          <w:rFonts w:hint="eastAsia" w:ascii="宋体" w:hAnsi="宋体"/>
          <w:sz w:val="24"/>
        </w:rPr>
      </w:pPr>
      <w:r>
        <w:rPr>
          <w:rFonts w:hint="eastAsia" w:ascii="宋体" w:hAnsi="宋体"/>
          <w:sz w:val="24"/>
        </w:rPr>
        <w:t>在理财计划存续期内，如因监管政策或法律法规发生变化，在不损害投资者利益的前提下，管理人有权单方对理财计划</w:t>
      </w:r>
      <w:r>
        <w:rPr>
          <w:rFonts w:ascii="宋体" w:hAnsi="宋体"/>
          <w:sz w:val="24"/>
        </w:rPr>
        <w:t>合同</w:t>
      </w:r>
      <w:r>
        <w:rPr>
          <w:rFonts w:hint="eastAsia" w:ascii="宋体" w:hAnsi="宋体"/>
          <w:sz w:val="24"/>
        </w:rPr>
        <w:t>销售文件进行修订。</w:t>
      </w:r>
    </w:p>
    <w:p>
      <w:pPr>
        <w:widowControl/>
        <w:spacing w:line="360" w:lineRule="auto"/>
        <w:contextualSpacing/>
        <w:rPr>
          <w:rFonts w:hint="eastAsia" w:ascii="宋体" w:hAnsi="宋体"/>
          <w:sz w:val="24"/>
        </w:rPr>
      </w:pPr>
    </w:p>
    <w:p>
      <w:pPr>
        <w:spacing w:line="360" w:lineRule="auto"/>
      </w:pPr>
    </w:p>
    <w:p>
      <w:pPr>
        <w:spacing w:line="360" w:lineRule="auto"/>
      </w:pPr>
    </w:p>
    <w:p>
      <w:pPr>
        <w:widowControl/>
        <w:spacing w:line="360" w:lineRule="auto"/>
        <w:jc w:val="right"/>
        <w:rPr>
          <w:rFonts w:hint="eastAsia" w:ascii="宋体" w:hAnsi="Wingdings" w:cs="宋体"/>
          <w:color w:val="000000"/>
          <w:kern w:val="0"/>
          <w:sz w:val="24"/>
        </w:rPr>
      </w:pPr>
      <w:r>
        <w:rPr>
          <w:rFonts w:hint="eastAsia" w:ascii="宋体" w:hAnsi="宋体" w:cs="宋体"/>
          <w:kern w:val="0"/>
          <w:sz w:val="24"/>
        </w:rPr>
        <w:t>杭银理财有限责任公司</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ascii="宋体" w:hAnsi="宋体"/>
          <w:sz w:val="24"/>
        </w:rPr>
      </w:pPr>
      <w:r>
        <w:rPr>
          <w:rFonts w:hint="eastAsia" w:ascii="宋体" w:hAnsi="宋体"/>
          <w:sz w:val="24"/>
        </w:rPr>
        <w:t>本页为纸质形式（如有）销售协议书签章页</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rFonts w:hint="eastAsia" w:ascii="宋体" w:hAnsi="宋体"/>
          <w:b/>
          <w:bCs/>
          <w:sz w:val="24"/>
        </w:rPr>
      </w:pPr>
      <w:r>
        <w:rPr>
          <w:rFonts w:hint="eastAsia" w:ascii="宋体" w:hAnsi="宋体"/>
          <w:b/>
          <w:bCs/>
          <w:sz w:val="24"/>
        </w:rPr>
        <w:t>投资者（签字</w:t>
      </w:r>
      <w:r>
        <w:rPr>
          <w:rFonts w:hint="eastAsia" w:ascii="宋体" w:hAnsi="宋体" w:eastAsia="宋体" w:cs="黑体"/>
          <w:b/>
          <w:bCs/>
          <w:sz w:val="24"/>
          <w:highlight w:val="none"/>
          <w:lang w:eastAsia="zh-CN"/>
        </w:rPr>
        <w:t>或签章</w:t>
      </w:r>
      <w:r>
        <w:rPr>
          <w:rFonts w:hint="eastAsia" w:ascii="宋体" w:hAnsi="宋体"/>
          <w:b/>
          <w:bCs/>
          <w:sz w:val="24"/>
        </w:rPr>
        <w:t>）：</w:t>
      </w:r>
    </w:p>
    <w:p>
      <w:pPr>
        <w:spacing w:before="156" w:beforeLines="50" w:after="156" w:afterLines="50" w:line="360" w:lineRule="auto"/>
        <w:ind w:firstLine="4800" w:firstLineChars="2000"/>
        <w:jc w:val="right"/>
        <w:rPr>
          <w:rFonts w:hint="eastAsia" w:ascii="Arial" w:hAnsi="Arial"/>
          <w:sz w:val="24"/>
        </w:rPr>
      </w:pPr>
      <w:r>
        <w:rPr>
          <w:rFonts w:hint="eastAsia" w:ascii="Arial" w:hAnsi="Arial"/>
          <w:sz w:val="24"/>
        </w:rPr>
        <w:t xml:space="preserve">   年   月   日</w:t>
      </w:r>
    </w:p>
    <w:p>
      <w:pPr>
        <w:spacing w:line="360" w:lineRule="auto"/>
        <w:rPr>
          <w:rFonts w:hint="eastAsia" w:ascii="宋体" w:hAnsi="宋体"/>
          <w:b/>
          <w:bCs/>
          <w:sz w:val="24"/>
        </w:rPr>
      </w:pPr>
    </w:p>
    <w:p>
      <w:pPr>
        <w:spacing w:line="360" w:lineRule="auto"/>
        <w:rPr>
          <w:rFonts w:hint="eastAsia" w:ascii="宋体" w:hAnsi="宋体"/>
          <w:b/>
          <w:bCs/>
          <w:sz w:val="24"/>
        </w:rPr>
      </w:pPr>
    </w:p>
    <w:p>
      <w:pPr>
        <w:spacing w:line="360" w:lineRule="auto"/>
        <w:rPr>
          <w:rFonts w:hint="eastAsia" w:ascii="宋体" w:hAnsi="宋体"/>
          <w:b/>
          <w:bCs/>
          <w:sz w:val="24"/>
        </w:rPr>
      </w:pPr>
    </w:p>
    <w:p>
      <w:pPr>
        <w:spacing w:line="360" w:lineRule="auto"/>
        <w:rPr>
          <w:rFonts w:hint="eastAsia" w:ascii="宋体" w:hAnsi="宋体"/>
          <w:b/>
          <w:bCs/>
          <w:sz w:val="24"/>
        </w:rPr>
      </w:pPr>
    </w:p>
    <w:p>
      <w:pPr>
        <w:spacing w:line="360" w:lineRule="auto"/>
        <w:rPr>
          <w:rFonts w:hint="eastAsia" w:ascii="宋体" w:hAnsi="宋体"/>
          <w:b/>
          <w:bCs/>
          <w:sz w:val="24"/>
        </w:rPr>
      </w:pPr>
      <w:r>
        <w:rPr>
          <w:rFonts w:hint="eastAsia" w:ascii="宋体" w:hAnsi="宋体"/>
          <w:b/>
          <w:bCs/>
          <w:sz w:val="24"/>
          <w:lang w:eastAsia="zh-CN"/>
        </w:rPr>
        <w:t>销售机构</w:t>
      </w:r>
      <w:r>
        <w:rPr>
          <w:rFonts w:hint="eastAsia" w:ascii="宋体" w:hAnsi="宋体"/>
          <w:b/>
          <w:bCs/>
          <w:sz w:val="24"/>
        </w:rPr>
        <w:t>签章：</w:t>
      </w:r>
    </w:p>
    <w:p>
      <w:pPr>
        <w:spacing w:line="360" w:lineRule="auto"/>
        <w:rPr>
          <w:rFonts w:hint="eastAsia" w:ascii="宋体" w:hAnsi="宋体"/>
          <w:b/>
          <w:bCs/>
          <w:sz w:val="24"/>
        </w:rPr>
      </w:pPr>
    </w:p>
    <w:p>
      <w:pPr>
        <w:spacing w:line="360" w:lineRule="auto"/>
        <w:rPr>
          <w:rFonts w:hint="eastAsia" w:ascii="宋体" w:hAnsi="宋体"/>
          <w:b/>
          <w:bCs/>
          <w:sz w:val="24"/>
        </w:rPr>
      </w:pPr>
    </w:p>
    <w:p>
      <w:pPr>
        <w:spacing w:before="156" w:beforeLines="50" w:after="156" w:afterLines="50" w:line="360" w:lineRule="auto"/>
        <w:ind w:firstLine="4800" w:firstLineChars="2000"/>
        <w:jc w:val="right"/>
        <w:rPr>
          <w:rFonts w:hint="eastAsia" w:ascii="Arial" w:hAnsi="Arial"/>
          <w:sz w:val="24"/>
        </w:rPr>
      </w:pPr>
      <w:r>
        <w:rPr>
          <w:rFonts w:hint="eastAsia" w:ascii="Arial" w:hAnsi="Arial"/>
          <w:sz w:val="24"/>
        </w:rPr>
        <w:t xml:space="preserve">   年   月   日</w:t>
      </w:r>
    </w:p>
    <w:p>
      <w:pPr>
        <w:spacing w:line="360" w:lineRule="auto"/>
        <w:ind w:firstLine="480" w:firstLineChars="200"/>
        <w:rPr>
          <w:rFonts w:ascii="宋体" w:hAnsi="宋体" w:cs="宋体"/>
          <w:bCs/>
          <w:color w:val="000000"/>
          <w:sz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32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51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32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51</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pPr>
    <w:r>
      <w:rPr>
        <w:rFonts w:hint="eastAsia"/>
        <w:b/>
        <w:bCs/>
        <w:color w:val="auto"/>
        <w:lang w:eastAsia="zh-CN"/>
      </w:rPr>
      <w:t>理财非存款</w:t>
    </w:r>
    <w:r>
      <w:rPr>
        <w:rFonts w:hint="eastAsia"/>
        <w:b/>
        <w:bCs/>
        <w:color w:val="auto"/>
        <w:lang w:val="en-US" w:eastAsia="zh-CN"/>
      </w:rPr>
      <w:t xml:space="preserve"> 产品有风险 投资需谨慎</w:t>
    </w: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9">
    <w:nsid w:val="BEDCB94E"/>
    <w:multiLevelType w:val="singleLevel"/>
    <w:tmpl w:val="BEDCB94E"/>
    <w:lvl w:ilvl="0" w:tentative="0">
      <w:start w:val="1"/>
      <w:numFmt w:val="upperLetter"/>
      <w:suff w:val="nothing"/>
      <w:lvlText w:val="%1、"/>
      <w:lvlJc w:val="left"/>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CB63BE6"/>
    <w:multiLevelType w:val="singleLevel"/>
    <w:tmpl w:val="2CB63BE6"/>
    <w:lvl w:ilvl="0" w:tentative="0">
      <w:start w:val="1"/>
      <w:numFmt w:val="decimal"/>
      <w:suff w:val="nothing"/>
      <w:lvlText w:val="（%1）"/>
      <w:lvlJc w:val="left"/>
      <w:rPr>
        <w:rFonts w:hint="default"/>
        <w:b w:val="0"/>
        <w:bCs w:val="0"/>
      </w:rPr>
    </w:lvl>
  </w:abstractNum>
  <w:abstractNum w:abstractNumId="46">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7">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8">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9">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0">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1">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2">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3">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4">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5">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6">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7">
    <w:nsid w:val="5BA91325"/>
    <w:multiLevelType w:val="singleLevel"/>
    <w:tmpl w:val="5BA91325"/>
    <w:lvl w:ilvl="0" w:tentative="0">
      <w:start w:val="1"/>
      <w:numFmt w:val="decimal"/>
      <w:suff w:val="nothing"/>
      <w:lvlText w:val="（%1）"/>
      <w:lvlJc w:val="left"/>
    </w:lvl>
  </w:abstractNum>
  <w:abstractNum w:abstractNumId="58">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59">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0">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1">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2">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3">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4">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5">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6">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7">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68">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69">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0">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1">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2">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3">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4">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5">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6">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77">
    <w:nsid w:val="61F30F62"/>
    <w:multiLevelType w:val="singleLevel"/>
    <w:tmpl w:val="61F30F62"/>
    <w:lvl w:ilvl="0" w:tentative="0">
      <w:start w:val="1"/>
      <w:numFmt w:val="decimal"/>
      <w:suff w:val="nothing"/>
      <w:lvlText w:val="（%1）"/>
      <w:lvlJc w:val="left"/>
      <w:rPr>
        <w:rFonts w:hint="default"/>
        <w:b w:val="0"/>
        <w:bCs w:val="0"/>
      </w:rPr>
    </w:lvl>
  </w:abstractNum>
  <w:abstractNum w:abstractNumId="78">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79">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0">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0"/>
  </w:num>
  <w:num w:numId="4">
    <w:abstractNumId w:val="43"/>
  </w:num>
  <w:num w:numId="5">
    <w:abstractNumId w:val="21"/>
  </w:num>
  <w:num w:numId="6">
    <w:abstractNumId w:val="79"/>
  </w:num>
  <w:num w:numId="7">
    <w:abstractNumId w:val="37"/>
  </w:num>
  <w:num w:numId="8">
    <w:abstractNumId w:val="80"/>
  </w:num>
  <w:num w:numId="9">
    <w:abstractNumId w:val="55"/>
  </w:num>
  <w:num w:numId="10">
    <w:abstractNumId w:val="52"/>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8"/>
  </w:num>
  <w:num w:numId="18">
    <w:abstractNumId w:val="19"/>
  </w:num>
  <w:num w:numId="19">
    <w:abstractNumId w:val="9"/>
  </w:num>
  <w:num w:numId="20">
    <w:abstractNumId w:val="7"/>
  </w:num>
  <w:num w:numId="21">
    <w:abstractNumId w:val="38"/>
  </w:num>
  <w:num w:numId="22">
    <w:abstractNumId w:val="51"/>
  </w:num>
  <w:num w:numId="23">
    <w:abstractNumId w:val="33"/>
  </w:num>
  <w:num w:numId="24">
    <w:abstractNumId w:val="57"/>
  </w:num>
  <w:num w:numId="25">
    <w:abstractNumId w:val="20"/>
  </w:num>
  <w:num w:numId="26">
    <w:abstractNumId w:val="44"/>
  </w:num>
  <w:num w:numId="27">
    <w:abstractNumId w:val="24"/>
  </w:num>
  <w:num w:numId="28">
    <w:abstractNumId w:val="6"/>
  </w:num>
  <w:num w:numId="29">
    <w:abstractNumId w:val="54"/>
  </w:num>
  <w:num w:numId="30">
    <w:abstractNumId w:val="5"/>
  </w:num>
  <w:num w:numId="31">
    <w:abstractNumId w:val="36"/>
  </w:num>
  <w:num w:numId="32">
    <w:abstractNumId w:val="42"/>
  </w:num>
  <w:num w:numId="33">
    <w:abstractNumId w:val="78"/>
  </w:num>
  <w:num w:numId="34">
    <w:abstractNumId w:val="35"/>
  </w:num>
  <w:num w:numId="35">
    <w:abstractNumId w:val="23"/>
  </w:num>
  <w:num w:numId="36">
    <w:abstractNumId w:val="46"/>
  </w:num>
  <w:num w:numId="37">
    <w:abstractNumId w:val="0"/>
  </w:num>
  <w:num w:numId="38">
    <w:abstractNumId w:val="26"/>
  </w:num>
  <w:num w:numId="39">
    <w:abstractNumId w:val="49"/>
  </w:num>
  <w:num w:numId="40">
    <w:abstractNumId w:val="3"/>
  </w:num>
  <w:num w:numId="41">
    <w:abstractNumId w:val="27"/>
  </w:num>
  <w:num w:numId="42">
    <w:abstractNumId w:val="17"/>
  </w:num>
  <w:num w:numId="43">
    <w:abstractNumId w:val="53"/>
  </w:num>
  <w:num w:numId="44">
    <w:abstractNumId w:val="40"/>
  </w:num>
  <w:num w:numId="45">
    <w:abstractNumId w:val="18"/>
  </w:num>
  <w:num w:numId="46">
    <w:abstractNumId w:val="32"/>
  </w:num>
  <w:num w:numId="47">
    <w:abstractNumId w:val="28"/>
  </w:num>
  <w:num w:numId="48">
    <w:abstractNumId w:val="29"/>
  </w:num>
  <w:num w:numId="49">
    <w:abstractNumId w:val="77"/>
  </w:num>
  <w:num w:numId="50">
    <w:abstractNumId w:val="45"/>
  </w:num>
  <w:num w:numId="51">
    <w:abstractNumId w:val="2"/>
  </w:num>
  <w:num w:numId="52">
    <w:abstractNumId w:val="56"/>
  </w:num>
  <w:num w:numId="53">
    <w:abstractNumId w:val="12"/>
  </w:num>
  <w:num w:numId="54">
    <w:abstractNumId w:val="10"/>
  </w:num>
  <w:num w:numId="55">
    <w:abstractNumId w:val="13"/>
  </w:num>
  <w:num w:numId="56">
    <w:abstractNumId w:val="41"/>
  </w:num>
  <w:num w:numId="57">
    <w:abstractNumId w:val="25"/>
  </w:num>
  <w:num w:numId="58">
    <w:abstractNumId w:val="4"/>
  </w:num>
  <w:num w:numId="59">
    <w:abstractNumId w:val="48"/>
  </w:num>
  <w:num w:numId="60">
    <w:abstractNumId w:val="65"/>
  </w:num>
  <w:num w:numId="61">
    <w:abstractNumId w:val="64"/>
  </w:num>
  <w:num w:numId="62">
    <w:abstractNumId w:val="66"/>
  </w:num>
  <w:num w:numId="63">
    <w:abstractNumId w:val="67"/>
  </w:num>
  <w:num w:numId="64">
    <w:abstractNumId w:val="68"/>
  </w:num>
  <w:num w:numId="65">
    <w:abstractNumId w:val="69"/>
  </w:num>
  <w:num w:numId="66">
    <w:abstractNumId w:val="70"/>
  </w:num>
  <w:num w:numId="67">
    <w:abstractNumId w:val="47"/>
  </w:num>
  <w:num w:numId="68">
    <w:abstractNumId w:val="16"/>
  </w:num>
  <w:num w:numId="69">
    <w:abstractNumId w:val="58"/>
  </w:num>
  <w:num w:numId="70">
    <w:abstractNumId w:val="59"/>
  </w:num>
  <w:num w:numId="71">
    <w:abstractNumId w:val="60"/>
  </w:num>
  <w:num w:numId="72">
    <w:abstractNumId w:val="61"/>
  </w:num>
  <w:num w:numId="73">
    <w:abstractNumId w:val="62"/>
  </w:num>
  <w:num w:numId="74">
    <w:abstractNumId w:val="63"/>
  </w:num>
  <w:num w:numId="75">
    <w:abstractNumId w:val="71"/>
  </w:num>
  <w:num w:numId="76">
    <w:abstractNumId w:val="72"/>
  </w:num>
  <w:num w:numId="77">
    <w:abstractNumId w:val="15"/>
  </w:num>
  <w:num w:numId="78">
    <w:abstractNumId w:val="73"/>
  </w:num>
  <w:num w:numId="79">
    <w:abstractNumId w:val="74"/>
  </w:num>
  <w:num w:numId="80">
    <w:abstractNumId w:val="75"/>
  </w:num>
  <w:num w:numId="81">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jRlZDVkMGNhZWM2ZDc0NWIwYmZiZDBhZDllMzMifQ=="/>
  </w:docVars>
  <w:rsids>
    <w:rsidRoot w:val="00172A27"/>
    <w:rsid w:val="00127EED"/>
    <w:rsid w:val="002C7EF9"/>
    <w:rsid w:val="00520830"/>
    <w:rsid w:val="006E07BC"/>
    <w:rsid w:val="007B6489"/>
    <w:rsid w:val="008A30D4"/>
    <w:rsid w:val="00AB5752"/>
    <w:rsid w:val="00E06929"/>
    <w:rsid w:val="00FB0E83"/>
    <w:rsid w:val="022C266D"/>
    <w:rsid w:val="03170B42"/>
    <w:rsid w:val="033259D5"/>
    <w:rsid w:val="03E00C28"/>
    <w:rsid w:val="0468177F"/>
    <w:rsid w:val="04845B79"/>
    <w:rsid w:val="06605967"/>
    <w:rsid w:val="06DF1F61"/>
    <w:rsid w:val="07F57DA4"/>
    <w:rsid w:val="0825466B"/>
    <w:rsid w:val="0AEF3D0C"/>
    <w:rsid w:val="0B8251C9"/>
    <w:rsid w:val="0B995032"/>
    <w:rsid w:val="0B9C1C2D"/>
    <w:rsid w:val="0B9E090F"/>
    <w:rsid w:val="0CD50D95"/>
    <w:rsid w:val="0E726EA1"/>
    <w:rsid w:val="0E9E528B"/>
    <w:rsid w:val="0F777231"/>
    <w:rsid w:val="0F8072BB"/>
    <w:rsid w:val="0F866D61"/>
    <w:rsid w:val="0FAD023A"/>
    <w:rsid w:val="10267CF2"/>
    <w:rsid w:val="108D380D"/>
    <w:rsid w:val="10D07610"/>
    <w:rsid w:val="10E505B7"/>
    <w:rsid w:val="1141717E"/>
    <w:rsid w:val="11C946E2"/>
    <w:rsid w:val="12683E32"/>
    <w:rsid w:val="126D33E8"/>
    <w:rsid w:val="127D7AC5"/>
    <w:rsid w:val="12CA36E8"/>
    <w:rsid w:val="132F20ED"/>
    <w:rsid w:val="15025C38"/>
    <w:rsid w:val="15507D31"/>
    <w:rsid w:val="155A68E0"/>
    <w:rsid w:val="169C1DA3"/>
    <w:rsid w:val="17C330B2"/>
    <w:rsid w:val="17F36337"/>
    <w:rsid w:val="18A92B8D"/>
    <w:rsid w:val="19377D59"/>
    <w:rsid w:val="19F226C0"/>
    <w:rsid w:val="1A8F73B6"/>
    <w:rsid w:val="1BFC63BA"/>
    <w:rsid w:val="1C8F465C"/>
    <w:rsid w:val="1CDE544D"/>
    <w:rsid w:val="1E135651"/>
    <w:rsid w:val="1E544E3F"/>
    <w:rsid w:val="1F7D3106"/>
    <w:rsid w:val="1FDA2F63"/>
    <w:rsid w:val="1FF633DD"/>
    <w:rsid w:val="21A67B64"/>
    <w:rsid w:val="2297514B"/>
    <w:rsid w:val="242D0854"/>
    <w:rsid w:val="247755D9"/>
    <w:rsid w:val="25A831C0"/>
    <w:rsid w:val="25DA3557"/>
    <w:rsid w:val="25E05DBD"/>
    <w:rsid w:val="26B7240F"/>
    <w:rsid w:val="26B84FF0"/>
    <w:rsid w:val="26FF24B9"/>
    <w:rsid w:val="28AD63E0"/>
    <w:rsid w:val="2A130179"/>
    <w:rsid w:val="2BCD0352"/>
    <w:rsid w:val="2BFB4554"/>
    <w:rsid w:val="2C961139"/>
    <w:rsid w:val="2C9B2A75"/>
    <w:rsid w:val="2CA02CA1"/>
    <w:rsid w:val="2E804153"/>
    <w:rsid w:val="2F5B1280"/>
    <w:rsid w:val="2F7A6DFD"/>
    <w:rsid w:val="2FAF3B79"/>
    <w:rsid w:val="2FF60969"/>
    <w:rsid w:val="31750334"/>
    <w:rsid w:val="32485F31"/>
    <w:rsid w:val="34824A12"/>
    <w:rsid w:val="35105209"/>
    <w:rsid w:val="356767B0"/>
    <w:rsid w:val="35DE4D1A"/>
    <w:rsid w:val="370319F6"/>
    <w:rsid w:val="37501DF6"/>
    <w:rsid w:val="3888715E"/>
    <w:rsid w:val="389B7D8D"/>
    <w:rsid w:val="396B7DDB"/>
    <w:rsid w:val="39CE7544"/>
    <w:rsid w:val="39DC1BD6"/>
    <w:rsid w:val="3AFE2EA6"/>
    <w:rsid w:val="3B7A06B4"/>
    <w:rsid w:val="3C162EE1"/>
    <w:rsid w:val="3CB76EA9"/>
    <w:rsid w:val="3D803185"/>
    <w:rsid w:val="3D952002"/>
    <w:rsid w:val="3DAF1A5E"/>
    <w:rsid w:val="3E446F72"/>
    <w:rsid w:val="3E6260D1"/>
    <w:rsid w:val="3F9428BE"/>
    <w:rsid w:val="401D42F0"/>
    <w:rsid w:val="40802F79"/>
    <w:rsid w:val="40FA2D1A"/>
    <w:rsid w:val="41F97743"/>
    <w:rsid w:val="42E329DD"/>
    <w:rsid w:val="42FC5001"/>
    <w:rsid w:val="433D378B"/>
    <w:rsid w:val="434C7FF3"/>
    <w:rsid w:val="463B593D"/>
    <w:rsid w:val="476D0F0F"/>
    <w:rsid w:val="48402042"/>
    <w:rsid w:val="48424A1F"/>
    <w:rsid w:val="48975A3F"/>
    <w:rsid w:val="49CF5DF4"/>
    <w:rsid w:val="49DD0ED4"/>
    <w:rsid w:val="4A2263FF"/>
    <w:rsid w:val="4ADD3BE3"/>
    <w:rsid w:val="4CC53366"/>
    <w:rsid w:val="4D2E049A"/>
    <w:rsid w:val="4D693017"/>
    <w:rsid w:val="4F1B6F35"/>
    <w:rsid w:val="4F212124"/>
    <w:rsid w:val="503B586A"/>
    <w:rsid w:val="508D75C7"/>
    <w:rsid w:val="51F56F6B"/>
    <w:rsid w:val="52091595"/>
    <w:rsid w:val="5221238A"/>
    <w:rsid w:val="5246747D"/>
    <w:rsid w:val="525024E8"/>
    <w:rsid w:val="52D20572"/>
    <w:rsid w:val="52EC1CDC"/>
    <w:rsid w:val="52F557EC"/>
    <w:rsid w:val="5349716A"/>
    <w:rsid w:val="53916CC5"/>
    <w:rsid w:val="54155B9A"/>
    <w:rsid w:val="543B6C03"/>
    <w:rsid w:val="5452022E"/>
    <w:rsid w:val="550A7003"/>
    <w:rsid w:val="554B520C"/>
    <w:rsid w:val="55967810"/>
    <w:rsid w:val="55A42FA5"/>
    <w:rsid w:val="55BE4052"/>
    <w:rsid w:val="55D73C36"/>
    <w:rsid w:val="56192B5A"/>
    <w:rsid w:val="5764451A"/>
    <w:rsid w:val="58DD72C6"/>
    <w:rsid w:val="5A0B1227"/>
    <w:rsid w:val="5A1E2133"/>
    <w:rsid w:val="5BFA606A"/>
    <w:rsid w:val="5C7E7C83"/>
    <w:rsid w:val="5D6E6559"/>
    <w:rsid w:val="5DF93585"/>
    <w:rsid w:val="5E531617"/>
    <w:rsid w:val="5E893ACA"/>
    <w:rsid w:val="5F087411"/>
    <w:rsid w:val="5FE37D04"/>
    <w:rsid w:val="60705156"/>
    <w:rsid w:val="60A362BD"/>
    <w:rsid w:val="60B71D8A"/>
    <w:rsid w:val="60C809E8"/>
    <w:rsid w:val="612B3563"/>
    <w:rsid w:val="62D35EDA"/>
    <w:rsid w:val="63F074F2"/>
    <w:rsid w:val="64606D9B"/>
    <w:rsid w:val="64BD42A8"/>
    <w:rsid w:val="65D10DD1"/>
    <w:rsid w:val="66A95B28"/>
    <w:rsid w:val="66B655AC"/>
    <w:rsid w:val="67075395"/>
    <w:rsid w:val="672F5664"/>
    <w:rsid w:val="67B46A51"/>
    <w:rsid w:val="68982F49"/>
    <w:rsid w:val="68C43CF2"/>
    <w:rsid w:val="68E6218C"/>
    <w:rsid w:val="69001092"/>
    <w:rsid w:val="697836CF"/>
    <w:rsid w:val="698C75AE"/>
    <w:rsid w:val="69FF60E8"/>
    <w:rsid w:val="6A4D01F2"/>
    <w:rsid w:val="6C1A61DA"/>
    <w:rsid w:val="6CB00E61"/>
    <w:rsid w:val="6DF77052"/>
    <w:rsid w:val="6E822944"/>
    <w:rsid w:val="70DE1F58"/>
    <w:rsid w:val="723B4B2B"/>
    <w:rsid w:val="73040C29"/>
    <w:rsid w:val="739F7200"/>
    <w:rsid w:val="74F55397"/>
    <w:rsid w:val="753F4B02"/>
    <w:rsid w:val="7790260C"/>
    <w:rsid w:val="779E2189"/>
    <w:rsid w:val="77B52AAE"/>
    <w:rsid w:val="79C90C2C"/>
    <w:rsid w:val="7A3B2905"/>
    <w:rsid w:val="7AC953A0"/>
    <w:rsid w:val="7B0F21D0"/>
    <w:rsid w:val="7C0B400E"/>
    <w:rsid w:val="7C6F0463"/>
    <w:rsid w:val="7CC17505"/>
    <w:rsid w:val="7E09751D"/>
    <w:rsid w:val="7EA570C5"/>
    <w:rsid w:val="7F074098"/>
    <w:rsid w:val="7F7D20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4"/>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character" w:default="1" w:styleId="11">
    <w:name w:val="Default Paragraph Font"/>
    <w:unhideWhenUsed/>
    <w:qFormat/>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style>
  <w:style w:type="paragraph" w:styleId="3">
    <w:name w:val="annotation text"/>
    <w:basedOn w:val="1"/>
    <w:link w:val="17"/>
    <w:qFormat/>
    <w:uiPriority w:val="0"/>
    <w:pPr>
      <w:jc w:val="left"/>
    </w:pPr>
    <w:rPr>
      <w:rFonts w:cs="Times New Roman"/>
    </w:rPr>
  </w:style>
  <w:style w:type="paragraph" w:styleId="4">
    <w:name w:val="Balloon Text"/>
    <w:basedOn w:val="1"/>
    <w:link w:val="18"/>
    <w:qFormat/>
    <w:uiPriority w:val="0"/>
    <w:rPr>
      <w:rFonts w:cs="Times New Roman"/>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iPriority w:val="0"/>
    <w:rPr>
      <w:sz w:val="24"/>
    </w:rPr>
  </w:style>
  <w:style w:type="paragraph" w:styleId="8">
    <w:name w:val="annotation subject"/>
    <w:basedOn w:val="3"/>
    <w:next w:val="3"/>
    <w:link w:val="16"/>
    <w:qFormat/>
    <w:uiPriority w:val="0"/>
    <w:rPr>
      <w:rFonts w:cs="Times New Roman"/>
      <w:b/>
      <w:bCs/>
    </w:rPr>
  </w:style>
  <w:style w:type="table" w:styleId="10">
    <w:name w:val="Table Grid"/>
    <w:basedOn w:val="9"/>
    <w:unhideWhenUsed/>
    <w:qFormat/>
    <w:uiPriority w:val="99"/>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paragraph" w:customStyle="1" w:styleId="14">
    <w:name w:val="List Paragraph"/>
    <w:basedOn w:val="1"/>
    <w:unhideWhenUsed/>
    <w:uiPriority w:val="99"/>
    <w:pPr>
      <w:ind w:firstLine="420" w:firstLineChars="200"/>
    </w:pPr>
  </w:style>
  <w:style w:type="paragraph" w:customStyle="1" w:styleId="15">
    <w:name w:val="Default"/>
    <w:qFormat/>
    <w:uiPriority w:val="0"/>
    <w:pPr>
      <w:widowControl w:val="0"/>
      <w:autoSpaceDE w:val="0"/>
      <w:autoSpaceDN w:val="0"/>
      <w:adjustRightInd w:val="0"/>
    </w:pPr>
    <w:rPr>
      <w:color w:val="000000"/>
      <w:sz w:val="24"/>
      <w:szCs w:val="24"/>
      <w:lang w:val="en-US" w:eastAsia="zh-CN" w:bidi="ar-SA"/>
    </w:rPr>
  </w:style>
  <w:style w:type="character" w:customStyle="1" w:styleId="16">
    <w:name w:val="批注主题 Char"/>
    <w:link w:val="8"/>
    <w:qFormat/>
    <w:uiPriority w:val="0"/>
    <w:rPr>
      <w:rFonts w:ascii="Calibri" w:hAnsi="Calibri" w:cs="黑体"/>
      <w:b/>
      <w:bCs/>
      <w:kern w:val="2"/>
      <w:sz w:val="21"/>
      <w:szCs w:val="24"/>
    </w:rPr>
  </w:style>
  <w:style w:type="character" w:customStyle="1" w:styleId="17">
    <w:name w:val="批注文字 Char"/>
    <w:link w:val="3"/>
    <w:qFormat/>
    <w:uiPriority w:val="0"/>
    <w:rPr>
      <w:rFonts w:ascii="Calibri" w:hAnsi="Calibri" w:cs="黑体"/>
      <w:kern w:val="2"/>
      <w:sz w:val="21"/>
      <w:szCs w:val="24"/>
    </w:rPr>
  </w:style>
  <w:style w:type="character" w:customStyle="1" w:styleId="18">
    <w:name w:val="批注框文本 Char"/>
    <w:link w:val="4"/>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34964</Words>
  <Characters>36779</Characters>
  <Lines>255</Lines>
  <Paragraphs>71</Paragraphs>
  <TotalTime>0</TotalTime>
  <ScaleCrop>false</ScaleCrop>
  <LinksUpToDate>false</LinksUpToDate>
  <CharactersWithSpaces>37225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2021-07-01T06:35:00Z</dcterms:created>
  <dc:creator>Administrator</dc:creator>
  <cp:lastModifiedBy>hccb</cp:lastModifiedBy>
  <dcterms:modified xsi:type="dcterms:W3CDTF">2025-06-23T06:46:00Z</dcterms:modified>
  <dc:title>杭银理财幸福99XXXX理财计划合同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A70A2227A99B4340974191B47870DEF5</vt:lpwstr>
  </property>
</Properties>
</file>