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杭银理财幸福99添益90天周期型理财计划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D份额的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杭银理财幸福99添益90天周期型理财计划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TYG90D2101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D份额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2025年6月11日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