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E3D61B">
      <w:pPr>
        <w:spacing w:line="360" w:lineRule="auto"/>
        <w:jc w:val="center"/>
        <w:rPr>
          <w:rFonts w:asciiTheme="minorEastAsia" w:hAnsiTheme="minorEastAsia" w:eastAsiaTheme="minorEastAsia"/>
          <w:szCs w:val="21"/>
        </w:rPr>
      </w:pPr>
    </w:p>
    <w:p w14:paraId="40CF27CC">
      <w:pPr>
        <w:spacing w:line="360" w:lineRule="auto"/>
        <w:jc w:val="center"/>
        <w:rPr>
          <w:rFonts w:asciiTheme="minorEastAsia" w:hAnsiTheme="minorEastAsia" w:eastAsiaTheme="minorEastAsia"/>
          <w:szCs w:val="21"/>
        </w:rPr>
      </w:pPr>
    </w:p>
    <w:p w14:paraId="0FD69B7B">
      <w:pPr>
        <w:spacing w:line="360" w:lineRule="auto"/>
        <w:jc w:val="center"/>
        <w:rPr>
          <w:rFonts w:asciiTheme="minorEastAsia" w:hAnsiTheme="minorEastAsia" w:eastAsiaTheme="minorEastAsia"/>
          <w:szCs w:val="21"/>
        </w:rPr>
      </w:pPr>
    </w:p>
    <w:p w14:paraId="5CA4F923">
      <w:pPr>
        <w:spacing w:line="360" w:lineRule="auto"/>
        <w:jc w:val="center"/>
        <w:rPr>
          <w:rFonts w:asciiTheme="minorEastAsia" w:hAnsiTheme="minorEastAsia" w:eastAsiaTheme="minorEastAsia"/>
          <w:szCs w:val="21"/>
        </w:rPr>
      </w:pPr>
      <w:bookmarkStart w:id="90" w:name="_GoBack"/>
      <w:bookmarkEnd w:id="90"/>
    </w:p>
    <w:p w14:paraId="15CB7745">
      <w:pPr>
        <w:spacing w:line="360" w:lineRule="auto"/>
        <w:jc w:val="center"/>
        <w:rPr>
          <w:rFonts w:asciiTheme="minorEastAsia" w:hAnsiTheme="minorEastAsia" w:eastAsiaTheme="minorEastAsia"/>
          <w:szCs w:val="21"/>
        </w:rPr>
      </w:pPr>
    </w:p>
    <w:p w14:paraId="5DE4590D">
      <w:pPr>
        <w:adjustRightInd w:val="0"/>
        <w:snapToGrid w:val="0"/>
        <w:ind w:left="839"/>
        <w:jc w:val="center"/>
        <w:rPr>
          <w:rFonts w:ascii="宋体" w:hAnsi="宋体"/>
          <w:b/>
          <w:color w:val="000000"/>
          <w:sz w:val="52"/>
          <w:szCs w:val="52"/>
        </w:rPr>
      </w:pPr>
      <w:r>
        <w:rPr>
          <w:rFonts w:hint="eastAsia" w:ascii="宋体" w:hAnsi="宋体"/>
          <w:b/>
          <w:color w:val="000000"/>
          <w:sz w:val="52"/>
          <w:szCs w:val="52"/>
        </w:rPr>
        <w:t>广东南粤银行</w:t>
      </w:r>
    </w:p>
    <w:p w14:paraId="700FE805">
      <w:pPr>
        <w:adjustRightInd w:val="0"/>
        <w:snapToGrid w:val="0"/>
        <w:ind w:left="839"/>
        <w:jc w:val="center"/>
        <w:rPr>
          <w:rFonts w:hint="eastAsia" w:ascii="宋体" w:hAnsi="宋体" w:eastAsia="宋体"/>
          <w:b/>
          <w:color w:val="000000"/>
          <w:sz w:val="52"/>
          <w:szCs w:val="52"/>
          <w:lang w:eastAsia="zh-CN"/>
        </w:rPr>
      </w:pPr>
      <w:r>
        <w:rPr>
          <w:rFonts w:hint="eastAsia" w:ascii="宋体" w:hAnsi="宋体"/>
          <w:b/>
          <w:color w:val="000000"/>
          <w:sz w:val="52"/>
          <w:szCs w:val="52"/>
          <w:lang w:eastAsia="zh-CN"/>
        </w:rPr>
        <w:t>零售CRM系统建设项目（第二次）</w:t>
      </w:r>
    </w:p>
    <w:p w14:paraId="2B4309A7">
      <w:pPr>
        <w:adjustRightInd w:val="0"/>
        <w:snapToGrid w:val="0"/>
        <w:ind w:left="839"/>
        <w:jc w:val="center"/>
        <w:rPr>
          <w:rFonts w:ascii="宋体" w:hAnsi="宋体"/>
          <w:b/>
          <w:color w:val="000000"/>
          <w:sz w:val="52"/>
          <w:szCs w:val="52"/>
        </w:rPr>
      </w:pPr>
      <w:r>
        <w:rPr>
          <w:rFonts w:hint="eastAsia" w:ascii="宋体" w:hAnsi="宋体"/>
          <w:b/>
          <w:color w:val="000000"/>
          <w:sz w:val="52"/>
          <w:szCs w:val="52"/>
        </w:rPr>
        <w:t>PO</w:t>
      </w:r>
      <w:r>
        <w:rPr>
          <w:rFonts w:ascii="宋体" w:hAnsi="宋体"/>
          <w:b/>
          <w:color w:val="000000"/>
          <w:sz w:val="52"/>
          <w:szCs w:val="52"/>
        </w:rPr>
        <w:t>C</w:t>
      </w:r>
      <w:r>
        <w:rPr>
          <w:rFonts w:hint="eastAsia" w:ascii="宋体" w:hAnsi="宋体"/>
          <w:b/>
          <w:color w:val="000000"/>
          <w:sz w:val="52"/>
          <w:szCs w:val="52"/>
        </w:rPr>
        <w:t>测评方案</w:t>
      </w:r>
    </w:p>
    <w:p w14:paraId="34B90390">
      <w:pPr>
        <w:spacing w:line="360" w:lineRule="auto"/>
        <w:rPr>
          <w:rFonts w:asciiTheme="minorEastAsia" w:hAnsiTheme="minorEastAsia" w:eastAsiaTheme="minorEastAsia"/>
          <w:szCs w:val="21"/>
        </w:rPr>
      </w:pPr>
    </w:p>
    <w:p w14:paraId="77EB4B88">
      <w:pPr>
        <w:spacing w:line="360" w:lineRule="auto"/>
        <w:jc w:val="center"/>
        <w:rPr>
          <w:rFonts w:asciiTheme="minorEastAsia" w:hAnsiTheme="minorEastAsia" w:eastAsiaTheme="minorEastAsia"/>
          <w:b/>
          <w:bCs/>
          <w:szCs w:val="21"/>
        </w:rPr>
      </w:pPr>
      <w:r>
        <w:rPr>
          <w:rFonts w:asciiTheme="minorEastAsia" w:hAnsiTheme="minorEastAsia" w:eastAsiaTheme="minorEastAsia"/>
          <w:szCs w:val="21"/>
        </w:rPr>
        <w:br w:type="page"/>
      </w:r>
      <w:r>
        <w:rPr>
          <w:rFonts w:hint="eastAsia" w:asciiTheme="minorEastAsia" w:hAnsiTheme="minorEastAsia" w:eastAsiaTheme="minorEastAsia"/>
          <w:b/>
          <w:bCs/>
          <w:szCs w:val="21"/>
        </w:rPr>
        <w:t>目  录</w:t>
      </w:r>
    </w:p>
    <w:p w14:paraId="5F93AEA8">
      <w:pPr>
        <w:pStyle w:val="26"/>
        <w:tabs>
          <w:tab w:val="right" w:leader="dot" w:pos="8312"/>
        </w:tabs>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TOC \o "1-4" \h \z </w:instrText>
      </w:r>
      <w:r>
        <w:rPr>
          <w:rFonts w:asciiTheme="minorEastAsia" w:hAnsiTheme="minorEastAsia" w:eastAsiaTheme="minorEastAsia"/>
          <w:szCs w:val="21"/>
        </w:rPr>
        <w:fldChar w:fldCharType="separate"/>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HYPERLINK \l _Toc14211 </w:instrText>
      </w:r>
      <w:r>
        <w:rPr>
          <w:rFonts w:asciiTheme="minorEastAsia" w:hAnsiTheme="minorEastAsia" w:eastAsiaTheme="minorEastAsia"/>
          <w:szCs w:val="21"/>
        </w:rPr>
        <w:fldChar w:fldCharType="separate"/>
      </w:r>
      <w:r>
        <w:rPr>
          <w:rFonts w:hint="default"/>
        </w:rPr>
        <w:t xml:space="preserve">1. </w:t>
      </w:r>
      <w:r>
        <w:rPr>
          <w:rFonts w:hint="eastAsia"/>
        </w:rPr>
        <w:t>概述</w:t>
      </w:r>
      <w:r>
        <w:tab/>
      </w:r>
      <w:r>
        <w:fldChar w:fldCharType="begin"/>
      </w:r>
      <w:r>
        <w:instrText xml:space="preserve"> PAGEREF _Toc14211 \h </w:instrText>
      </w:r>
      <w:r>
        <w:fldChar w:fldCharType="separate"/>
      </w:r>
      <w:r>
        <w:t>1</w:t>
      </w:r>
      <w:r>
        <w:fldChar w:fldCharType="end"/>
      </w:r>
      <w:r>
        <w:rPr>
          <w:rFonts w:asciiTheme="minorEastAsia" w:hAnsiTheme="minorEastAsia" w:eastAsiaTheme="minorEastAsia"/>
          <w:szCs w:val="21"/>
        </w:rPr>
        <w:fldChar w:fldCharType="end"/>
      </w:r>
    </w:p>
    <w:p w14:paraId="164786DC">
      <w:pPr>
        <w:pStyle w:val="29"/>
        <w:tabs>
          <w:tab w:val="right" w:leader="dot" w:pos="8312"/>
        </w:tabs>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HYPERLINK \l _Toc25266 </w:instrText>
      </w:r>
      <w:r>
        <w:rPr>
          <w:rFonts w:asciiTheme="minorEastAsia" w:hAnsiTheme="minorEastAsia" w:eastAsiaTheme="minorEastAsia"/>
          <w:szCs w:val="21"/>
        </w:rPr>
        <w:fldChar w:fldCharType="separate"/>
      </w:r>
      <w:r>
        <w:rPr>
          <w:rFonts w:hint="default" w:ascii="仿宋" w:hAnsi="仿宋" w:eastAsia="仿宋" w:cs="仿宋"/>
        </w:rPr>
        <w:t xml:space="preserve">1.1. </w:t>
      </w:r>
      <w:r>
        <w:rPr>
          <w:rFonts w:hint="eastAsia" w:ascii="仿宋" w:hAnsi="仿宋" w:eastAsia="仿宋" w:cs="仿宋"/>
        </w:rPr>
        <w:t>测评目的</w:t>
      </w:r>
      <w:r>
        <w:tab/>
      </w:r>
      <w:r>
        <w:fldChar w:fldCharType="begin"/>
      </w:r>
      <w:r>
        <w:instrText xml:space="preserve"> PAGEREF _Toc25266 \h </w:instrText>
      </w:r>
      <w:r>
        <w:fldChar w:fldCharType="separate"/>
      </w:r>
      <w:r>
        <w:t>1</w:t>
      </w:r>
      <w:r>
        <w:fldChar w:fldCharType="end"/>
      </w:r>
      <w:r>
        <w:rPr>
          <w:rFonts w:asciiTheme="minorEastAsia" w:hAnsiTheme="minorEastAsia" w:eastAsiaTheme="minorEastAsia"/>
          <w:szCs w:val="21"/>
        </w:rPr>
        <w:fldChar w:fldCharType="end"/>
      </w:r>
    </w:p>
    <w:p w14:paraId="67AC394C">
      <w:pPr>
        <w:pStyle w:val="29"/>
        <w:tabs>
          <w:tab w:val="right" w:leader="dot" w:pos="8312"/>
        </w:tabs>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HYPERLINK \l _Toc1748 </w:instrText>
      </w:r>
      <w:r>
        <w:rPr>
          <w:rFonts w:asciiTheme="minorEastAsia" w:hAnsiTheme="minorEastAsia" w:eastAsiaTheme="minorEastAsia"/>
          <w:szCs w:val="21"/>
        </w:rPr>
        <w:fldChar w:fldCharType="separate"/>
      </w:r>
      <w:r>
        <w:rPr>
          <w:rFonts w:hint="default" w:ascii="仿宋" w:hAnsi="仿宋" w:eastAsia="仿宋" w:cs="仿宋"/>
        </w:rPr>
        <w:t xml:space="preserve">1.2. </w:t>
      </w:r>
      <w:r>
        <w:rPr>
          <w:rFonts w:hint="eastAsia" w:ascii="仿宋" w:hAnsi="仿宋" w:eastAsia="仿宋" w:cs="仿宋"/>
        </w:rPr>
        <w:t>测评内容概述</w:t>
      </w:r>
      <w:r>
        <w:tab/>
      </w:r>
      <w:r>
        <w:fldChar w:fldCharType="begin"/>
      </w:r>
      <w:r>
        <w:instrText xml:space="preserve"> PAGEREF _Toc1748 \h </w:instrText>
      </w:r>
      <w:r>
        <w:fldChar w:fldCharType="separate"/>
      </w:r>
      <w:r>
        <w:t>1</w:t>
      </w:r>
      <w:r>
        <w:fldChar w:fldCharType="end"/>
      </w:r>
      <w:r>
        <w:rPr>
          <w:rFonts w:asciiTheme="minorEastAsia" w:hAnsiTheme="minorEastAsia" w:eastAsiaTheme="minorEastAsia"/>
          <w:szCs w:val="21"/>
        </w:rPr>
        <w:fldChar w:fldCharType="end"/>
      </w:r>
    </w:p>
    <w:p w14:paraId="42186D74">
      <w:pPr>
        <w:pStyle w:val="29"/>
        <w:tabs>
          <w:tab w:val="right" w:leader="dot" w:pos="8312"/>
        </w:tabs>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HYPERLINK \l _Toc9555 </w:instrText>
      </w:r>
      <w:r>
        <w:rPr>
          <w:rFonts w:asciiTheme="minorEastAsia" w:hAnsiTheme="minorEastAsia" w:eastAsiaTheme="minorEastAsia"/>
          <w:szCs w:val="21"/>
        </w:rPr>
        <w:fldChar w:fldCharType="separate"/>
      </w:r>
      <w:r>
        <w:rPr>
          <w:rFonts w:hint="default" w:ascii="仿宋" w:hAnsi="仿宋" w:eastAsia="仿宋" w:cs="仿宋"/>
        </w:rPr>
        <w:t xml:space="preserve">1.3. </w:t>
      </w:r>
      <w:r>
        <w:rPr>
          <w:rFonts w:hint="eastAsia" w:ascii="仿宋" w:hAnsi="仿宋" w:eastAsia="仿宋" w:cs="仿宋"/>
        </w:rPr>
        <w:t>测评原则</w:t>
      </w:r>
      <w:r>
        <w:tab/>
      </w:r>
      <w:r>
        <w:fldChar w:fldCharType="begin"/>
      </w:r>
      <w:r>
        <w:instrText xml:space="preserve"> PAGEREF _Toc9555 \h </w:instrText>
      </w:r>
      <w:r>
        <w:fldChar w:fldCharType="separate"/>
      </w:r>
      <w:r>
        <w:t>1</w:t>
      </w:r>
      <w:r>
        <w:fldChar w:fldCharType="end"/>
      </w:r>
      <w:r>
        <w:rPr>
          <w:rFonts w:asciiTheme="minorEastAsia" w:hAnsiTheme="minorEastAsia" w:eastAsiaTheme="minorEastAsia"/>
          <w:szCs w:val="21"/>
        </w:rPr>
        <w:fldChar w:fldCharType="end"/>
      </w:r>
    </w:p>
    <w:p w14:paraId="177B2BBB">
      <w:pPr>
        <w:pStyle w:val="19"/>
        <w:tabs>
          <w:tab w:val="right" w:leader="dot" w:pos="8312"/>
        </w:tabs>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HYPERLINK \l _Toc30037 </w:instrText>
      </w:r>
      <w:r>
        <w:rPr>
          <w:rFonts w:asciiTheme="minorEastAsia" w:hAnsiTheme="minorEastAsia" w:eastAsiaTheme="minorEastAsia"/>
          <w:szCs w:val="21"/>
        </w:rPr>
        <w:fldChar w:fldCharType="separate"/>
      </w:r>
      <w:r>
        <w:rPr>
          <w:rFonts w:hint="default"/>
        </w:rPr>
        <w:t xml:space="preserve">1.3.1. </w:t>
      </w:r>
      <w:r>
        <w:rPr>
          <w:rFonts w:hint="eastAsia"/>
        </w:rPr>
        <w:t>公正要求</w:t>
      </w:r>
      <w:r>
        <w:tab/>
      </w:r>
      <w:r>
        <w:fldChar w:fldCharType="begin"/>
      </w:r>
      <w:r>
        <w:instrText xml:space="preserve"> PAGEREF _Toc30037 \h </w:instrText>
      </w:r>
      <w:r>
        <w:fldChar w:fldCharType="separate"/>
      </w:r>
      <w:r>
        <w:t>1</w:t>
      </w:r>
      <w:r>
        <w:fldChar w:fldCharType="end"/>
      </w:r>
      <w:r>
        <w:rPr>
          <w:rFonts w:asciiTheme="minorEastAsia" w:hAnsiTheme="minorEastAsia" w:eastAsiaTheme="minorEastAsia"/>
          <w:szCs w:val="21"/>
        </w:rPr>
        <w:fldChar w:fldCharType="end"/>
      </w:r>
    </w:p>
    <w:p w14:paraId="7CD78894">
      <w:pPr>
        <w:pStyle w:val="19"/>
        <w:tabs>
          <w:tab w:val="right" w:leader="dot" w:pos="8312"/>
        </w:tabs>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HYPERLINK \l _Toc24126 </w:instrText>
      </w:r>
      <w:r>
        <w:rPr>
          <w:rFonts w:asciiTheme="minorEastAsia" w:hAnsiTheme="minorEastAsia" w:eastAsiaTheme="minorEastAsia"/>
          <w:szCs w:val="21"/>
        </w:rPr>
        <w:fldChar w:fldCharType="separate"/>
      </w:r>
      <w:r>
        <w:rPr>
          <w:rFonts w:hint="default"/>
        </w:rPr>
        <w:t xml:space="preserve">1.3.2. </w:t>
      </w:r>
      <w:r>
        <w:rPr>
          <w:rFonts w:hint="eastAsia"/>
        </w:rPr>
        <w:t>时间要求</w:t>
      </w:r>
      <w:r>
        <w:tab/>
      </w:r>
      <w:r>
        <w:fldChar w:fldCharType="begin"/>
      </w:r>
      <w:r>
        <w:instrText xml:space="preserve"> PAGEREF _Toc24126 \h </w:instrText>
      </w:r>
      <w:r>
        <w:fldChar w:fldCharType="separate"/>
      </w:r>
      <w:r>
        <w:t>2</w:t>
      </w:r>
      <w:r>
        <w:fldChar w:fldCharType="end"/>
      </w:r>
      <w:r>
        <w:rPr>
          <w:rFonts w:asciiTheme="minorEastAsia" w:hAnsiTheme="minorEastAsia" w:eastAsiaTheme="minorEastAsia"/>
          <w:szCs w:val="21"/>
        </w:rPr>
        <w:fldChar w:fldCharType="end"/>
      </w:r>
    </w:p>
    <w:p w14:paraId="62200A74">
      <w:pPr>
        <w:pStyle w:val="19"/>
        <w:tabs>
          <w:tab w:val="right" w:leader="dot" w:pos="8312"/>
        </w:tabs>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HYPERLINK \l _Toc18020 </w:instrText>
      </w:r>
      <w:r>
        <w:rPr>
          <w:rFonts w:asciiTheme="minorEastAsia" w:hAnsiTheme="minorEastAsia" w:eastAsiaTheme="minorEastAsia"/>
          <w:szCs w:val="21"/>
        </w:rPr>
        <w:fldChar w:fldCharType="separate"/>
      </w:r>
      <w:r>
        <w:rPr>
          <w:rFonts w:hint="default"/>
        </w:rPr>
        <w:t xml:space="preserve">1.3.3. </w:t>
      </w:r>
      <w:r>
        <w:rPr>
          <w:rFonts w:hint="eastAsia"/>
        </w:rPr>
        <w:t>保密要求</w:t>
      </w:r>
      <w:r>
        <w:tab/>
      </w:r>
      <w:r>
        <w:fldChar w:fldCharType="begin"/>
      </w:r>
      <w:r>
        <w:instrText xml:space="preserve"> PAGEREF _Toc18020 \h </w:instrText>
      </w:r>
      <w:r>
        <w:fldChar w:fldCharType="separate"/>
      </w:r>
      <w:r>
        <w:t>2</w:t>
      </w:r>
      <w:r>
        <w:fldChar w:fldCharType="end"/>
      </w:r>
      <w:r>
        <w:rPr>
          <w:rFonts w:asciiTheme="minorEastAsia" w:hAnsiTheme="minorEastAsia" w:eastAsiaTheme="minorEastAsia"/>
          <w:szCs w:val="21"/>
        </w:rPr>
        <w:fldChar w:fldCharType="end"/>
      </w:r>
    </w:p>
    <w:p w14:paraId="06A043F2">
      <w:pPr>
        <w:pStyle w:val="19"/>
        <w:tabs>
          <w:tab w:val="right" w:leader="dot" w:pos="8312"/>
        </w:tabs>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HYPERLINK \l _Toc23615 </w:instrText>
      </w:r>
      <w:r>
        <w:rPr>
          <w:rFonts w:asciiTheme="minorEastAsia" w:hAnsiTheme="minorEastAsia" w:eastAsiaTheme="minorEastAsia"/>
          <w:szCs w:val="21"/>
        </w:rPr>
        <w:fldChar w:fldCharType="separate"/>
      </w:r>
      <w:r>
        <w:rPr>
          <w:rFonts w:hint="default"/>
        </w:rPr>
        <w:t xml:space="preserve">1.3.4. </w:t>
      </w:r>
      <w:r>
        <w:rPr>
          <w:rFonts w:hint="eastAsia"/>
        </w:rPr>
        <w:t>诚信要求</w:t>
      </w:r>
      <w:r>
        <w:tab/>
      </w:r>
      <w:r>
        <w:fldChar w:fldCharType="begin"/>
      </w:r>
      <w:r>
        <w:instrText xml:space="preserve"> PAGEREF _Toc23615 \h </w:instrText>
      </w:r>
      <w:r>
        <w:fldChar w:fldCharType="separate"/>
      </w:r>
      <w:r>
        <w:t>2</w:t>
      </w:r>
      <w:r>
        <w:fldChar w:fldCharType="end"/>
      </w:r>
      <w:r>
        <w:rPr>
          <w:rFonts w:asciiTheme="minorEastAsia" w:hAnsiTheme="minorEastAsia" w:eastAsiaTheme="minorEastAsia"/>
          <w:szCs w:val="21"/>
        </w:rPr>
        <w:fldChar w:fldCharType="end"/>
      </w:r>
    </w:p>
    <w:p w14:paraId="1AB0DCB4">
      <w:pPr>
        <w:pStyle w:val="19"/>
        <w:tabs>
          <w:tab w:val="right" w:leader="dot" w:pos="8312"/>
        </w:tabs>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HYPERLINK \l _Toc19192 </w:instrText>
      </w:r>
      <w:r>
        <w:rPr>
          <w:rFonts w:asciiTheme="minorEastAsia" w:hAnsiTheme="minorEastAsia" w:eastAsiaTheme="minorEastAsia"/>
          <w:szCs w:val="21"/>
        </w:rPr>
        <w:fldChar w:fldCharType="separate"/>
      </w:r>
      <w:r>
        <w:rPr>
          <w:rFonts w:hint="default"/>
        </w:rPr>
        <w:t xml:space="preserve">1.3.5. </w:t>
      </w:r>
      <w:r>
        <w:rPr>
          <w:rFonts w:hint="eastAsia"/>
        </w:rPr>
        <w:t>其它要求</w:t>
      </w:r>
      <w:r>
        <w:tab/>
      </w:r>
      <w:r>
        <w:fldChar w:fldCharType="begin"/>
      </w:r>
      <w:r>
        <w:instrText xml:space="preserve"> PAGEREF _Toc19192 \h </w:instrText>
      </w:r>
      <w:r>
        <w:fldChar w:fldCharType="separate"/>
      </w:r>
      <w:r>
        <w:t>2</w:t>
      </w:r>
      <w:r>
        <w:fldChar w:fldCharType="end"/>
      </w:r>
      <w:r>
        <w:rPr>
          <w:rFonts w:asciiTheme="minorEastAsia" w:hAnsiTheme="minorEastAsia" w:eastAsiaTheme="minorEastAsia"/>
          <w:szCs w:val="21"/>
        </w:rPr>
        <w:fldChar w:fldCharType="end"/>
      </w:r>
    </w:p>
    <w:p w14:paraId="753ABF3B">
      <w:pPr>
        <w:pStyle w:val="29"/>
        <w:tabs>
          <w:tab w:val="right" w:leader="dot" w:pos="8312"/>
        </w:tabs>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HYPERLINK \l _Toc23649 </w:instrText>
      </w:r>
      <w:r>
        <w:rPr>
          <w:rFonts w:asciiTheme="minorEastAsia" w:hAnsiTheme="minorEastAsia" w:eastAsiaTheme="minorEastAsia"/>
          <w:szCs w:val="21"/>
        </w:rPr>
        <w:fldChar w:fldCharType="separate"/>
      </w:r>
      <w:r>
        <w:rPr>
          <w:rFonts w:hint="default" w:ascii="仿宋" w:hAnsi="仿宋" w:eastAsia="仿宋" w:cs="仿宋"/>
        </w:rPr>
        <w:t xml:space="preserve">1.4. </w:t>
      </w:r>
      <w:r>
        <w:rPr>
          <w:rFonts w:hint="eastAsia" w:ascii="仿宋" w:hAnsi="仿宋" w:eastAsia="仿宋" w:cs="仿宋"/>
        </w:rPr>
        <w:t>评测小组</w:t>
      </w:r>
      <w:r>
        <w:tab/>
      </w:r>
      <w:r>
        <w:fldChar w:fldCharType="begin"/>
      </w:r>
      <w:r>
        <w:instrText xml:space="preserve"> PAGEREF _Toc23649 \h </w:instrText>
      </w:r>
      <w:r>
        <w:fldChar w:fldCharType="separate"/>
      </w:r>
      <w:r>
        <w:t>3</w:t>
      </w:r>
      <w:r>
        <w:fldChar w:fldCharType="end"/>
      </w:r>
      <w:r>
        <w:rPr>
          <w:rFonts w:asciiTheme="minorEastAsia" w:hAnsiTheme="minorEastAsia" w:eastAsiaTheme="minorEastAsia"/>
          <w:szCs w:val="21"/>
        </w:rPr>
        <w:fldChar w:fldCharType="end"/>
      </w:r>
    </w:p>
    <w:p w14:paraId="5461B9B1">
      <w:pPr>
        <w:pStyle w:val="29"/>
        <w:tabs>
          <w:tab w:val="right" w:leader="dot" w:pos="8312"/>
        </w:tabs>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HYPERLINK \l _Toc1047 </w:instrText>
      </w:r>
      <w:r>
        <w:rPr>
          <w:rFonts w:asciiTheme="minorEastAsia" w:hAnsiTheme="minorEastAsia" w:eastAsiaTheme="minorEastAsia"/>
          <w:szCs w:val="21"/>
        </w:rPr>
        <w:fldChar w:fldCharType="separate"/>
      </w:r>
      <w:r>
        <w:rPr>
          <w:rFonts w:hint="default" w:ascii="仿宋" w:hAnsi="仿宋" w:eastAsia="仿宋" w:cs="仿宋"/>
        </w:rPr>
        <w:t xml:space="preserve">1.5. </w:t>
      </w:r>
      <w:r>
        <w:rPr>
          <w:rFonts w:hint="eastAsia" w:ascii="仿宋" w:hAnsi="仿宋" w:eastAsia="仿宋" w:cs="仿宋"/>
        </w:rPr>
        <w:t>测评计划</w:t>
      </w:r>
      <w:r>
        <w:tab/>
      </w:r>
      <w:r>
        <w:fldChar w:fldCharType="begin"/>
      </w:r>
      <w:r>
        <w:instrText xml:space="preserve"> PAGEREF _Toc1047 \h </w:instrText>
      </w:r>
      <w:r>
        <w:fldChar w:fldCharType="separate"/>
      </w:r>
      <w:r>
        <w:t>3</w:t>
      </w:r>
      <w:r>
        <w:fldChar w:fldCharType="end"/>
      </w:r>
      <w:r>
        <w:rPr>
          <w:rFonts w:asciiTheme="minorEastAsia" w:hAnsiTheme="minorEastAsia" w:eastAsiaTheme="minorEastAsia"/>
          <w:szCs w:val="21"/>
        </w:rPr>
        <w:fldChar w:fldCharType="end"/>
      </w:r>
    </w:p>
    <w:p w14:paraId="1A0CD599">
      <w:pPr>
        <w:pStyle w:val="26"/>
        <w:tabs>
          <w:tab w:val="right" w:leader="dot" w:pos="8312"/>
        </w:tabs>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HYPERLINK \l _Toc23316 </w:instrText>
      </w:r>
      <w:r>
        <w:rPr>
          <w:rFonts w:asciiTheme="minorEastAsia" w:hAnsiTheme="minorEastAsia" w:eastAsiaTheme="minorEastAsia"/>
          <w:szCs w:val="21"/>
        </w:rPr>
        <w:fldChar w:fldCharType="separate"/>
      </w:r>
      <w:r>
        <w:rPr>
          <w:rFonts w:hint="default"/>
        </w:rPr>
        <w:t xml:space="preserve">2. </w:t>
      </w:r>
      <w:r>
        <w:rPr>
          <w:rFonts w:hint="eastAsia"/>
        </w:rPr>
        <w:t>评测案例</w:t>
      </w:r>
      <w:r>
        <w:tab/>
      </w:r>
      <w:r>
        <w:fldChar w:fldCharType="begin"/>
      </w:r>
      <w:r>
        <w:instrText xml:space="preserve"> PAGEREF _Toc23316 \h </w:instrText>
      </w:r>
      <w:r>
        <w:fldChar w:fldCharType="separate"/>
      </w:r>
      <w:r>
        <w:t>4</w:t>
      </w:r>
      <w:r>
        <w:fldChar w:fldCharType="end"/>
      </w:r>
      <w:r>
        <w:rPr>
          <w:rFonts w:asciiTheme="minorEastAsia" w:hAnsiTheme="minorEastAsia" w:eastAsiaTheme="minorEastAsia"/>
          <w:szCs w:val="21"/>
        </w:rPr>
        <w:fldChar w:fldCharType="end"/>
      </w:r>
    </w:p>
    <w:p w14:paraId="581CF2B5">
      <w:pPr>
        <w:pStyle w:val="29"/>
        <w:tabs>
          <w:tab w:val="right" w:leader="dot" w:pos="8312"/>
        </w:tabs>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HYPERLINK \l _Toc1515 </w:instrText>
      </w:r>
      <w:r>
        <w:rPr>
          <w:rFonts w:asciiTheme="minorEastAsia" w:hAnsiTheme="minorEastAsia" w:eastAsiaTheme="minorEastAsia"/>
          <w:szCs w:val="21"/>
        </w:rPr>
        <w:fldChar w:fldCharType="separate"/>
      </w:r>
      <w:r>
        <w:rPr>
          <w:rFonts w:hint="default" w:ascii="仿宋" w:hAnsi="仿宋" w:eastAsia="仿宋" w:cs="仿宋"/>
        </w:rPr>
        <w:t xml:space="preserve">2.1. </w:t>
      </w:r>
      <w:r>
        <w:rPr>
          <w:rFonts w:hint="eastAsia" w:ascii="仿宋" w:hAnsi="仿宋" w:eastAsia="仿宋" w:cs="仿宋"/>
        </w:rPr>
        <w:t>业务方案评测</w:t>
      </w:r>
      <w:r>
        <w:tab/>
      </w:r>
      <w:r>
        <w:fldChar w:fldCharType="begin"/>
      </w:r>
      <w:r>
        <w:instrText xml:space="preserve"> PAGEREF _Toc1515 \h </w:instrText>
      </w:r>
      <w:r>
        <w:fldChar w:fldCharType="separate"/>
      </w:r>
      <w:r>
        <w:t>4</w:t>
      </w:r>
      <w:r>
        <w:fldChar w:fldCharType="end"/>
      </w:r>
      <w:r>
        <w:rPr>
          <w:rFonts w:asciiTheme="minorEastAsia" w:hAnsiTheme="minorEastAsia" w:eastAsiaTheme="minorEastAsia"/>
          <w:szCs w:val="21"/>
        </w:rPr>
        <w:fldChar w:fldCharType="end"/>
      </w:r>
    </w:p>
    <w:p w14:paraId="5910B1C6">
      <w:pPr>
        <w:pStyle w:val="19"/>
        <w:tabs>
          <w:tab w:val="right" w:leader="dot" w:pos="8312"/>
        </w:tabs>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HYPERLINK \l _Toc26478 </w:instrText>
      </w:r>
      <w:r>
        <w:rPr>
          <w:rFonts w:asciiTheme="minorEastAsia" w:hAnsiTheme="minorEastAsia" w:eastAsiaTheme="minorEastAsia"/>
          <w:szCs w:val="21"/>
        </w:rPr>
        <w:fldChar w:fldCharType="separate"/>
      </w:r>
      <w:r>
        <w:rPr>
          <w:rFonts w:hint="default"/>
        </w:rPr>
        <w:t xml:space="preserve">2.1.1. </w:t>
      </w:r>
      <w:r>
        <w:rPr>
          <w:rFonts w:hint="eastAsia"/>
        </w:rPr>
        <w:t>客户数据整合与统一视图（360视图）</w:t>
      </w:r>
      <w:r>
        <w:tab/>
      </w:r>
      <w:r>
        <w:fldChar w:fldCharType="begin"/>
      </w:r>
      <w:r>
        <w:instrText xml:space="preserve"> PAGEREF _Toc26478 \h </w:instrText>
      </w:r>
      <w:r>
        <w:fldChar w:fldCharType="separate"/>
      </w:r>
      <w:r>
        <w:t>4</w:t>
      </w:r>
      <w:r>
        <w:fldChar w:fldCharType="end"/>
      </w:r>
      <w:r>
        <w:rPr>
          <w:rFonts w:asciiTheme="minorEastAsia" w:hAnsiTheme="minorEastAsia" w:eastAsiaTheme="minorEastAsia"/>
          <w:szCs w:val="21"/>
        </w:rPr>
        <w:fldChar w:fldCharType="end"/>
      </w:r>
    </w:p>
    <w:p w14:paraId="4BCDD6E3">
      <w:pPr>
        <w:pStyle w:val="19"/>
        <w:tabs>
          <w:tab w:val="right" w:leader="dot" w:pos="8312"/>
        </w:tabs>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HYPERLINK \l _Toc2175 </w:instrText>
      </w:r>
      <w:r>
        <w:rPr>
          <w:rFonts w:asciiTheme="minorEastAsia" w:hAnsiTheme="minorEastAsia" w:eastAsiaTheme="minorEastAsia"/>
          <w:szCs w:val="21"/>
        </w:rPr>
        <w:fldChar w:fldCharType="separate"/>
      </w:r>
      <w:r>
        <w:rPr>
          <w:rFonts w:hint="default"/>
        </w:rPr>
        <w:t xml:space="preserve">2.1.2. </w:t>
      </w:r>
      <w:r>
        <w:rPr>
          <w:rFonts w:hint="eastAsia"/>
        </w:rPr>
        <w:t>客户细分与精准营销</w:t>
      </w:r>
      <w:r>
        <w:tab/>
      </w:r>
      <w:r>
        <w:fldChar w:fldCharType="begin"/>
      </w:r>
      <w:r>
        <w:instrText xml:space="preserve"> PAGEREF _Toc2175 \h </w:instrText>
      </w:r>
      <w:r>
        <w:fldChar w:fldCharType="separate"/>
      </w:r>
      <w:r>
        <w:t>4</w:t>
      </w:r>
      <w:r>
        <w:fldChar w:fldCharType="end"/>
      </w:r>
      <w:r>
        <w:rPr>
          <w:rFonts w:asciiTheme="minorEastAsia" w:hAnsiTheme="minorEastAsia" w:eastAsiaTheme="minorEastAsia"/>
          <w:szCs w:val="21"/>
        </w:rPr>
        <w:fldChar w:fldCharType="end"/>
      </w:r>
    </w:p>
    <w:p w14:paraId="042DF3F7">
      <w:pPr>
        <w:pStyle w:val="19"/>
        <w:tabs>
          <w:tab w:val="right" w:leader="dot" w:pos="8312"/>
        </w:tabs>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HYPERLINK \l _Toc20846 </w:instrText>
      </w:r>
      <w:r>
        <w:rPr>
          <w:rFonts w:asciiTheme="minorEastAsia" w:hAnsiTheme="minorEastAsia" w:eastAsiaTheme="minorEastAsia"/>
          <w:szCs w:val="21"/>
        </w:rPr>
        <w:fldChar w:fldCharType="separate"/>
      </w:r>
      <w:r>
        <w:rPr>
          <w:rFonts w:hint="default"/>
        </w:rPr>
        <w:t xml:space="preserve">2.1.3. </w:t>
      </w:r>
      <w:r>
        <w:rPr>
          <w:rFonts w:hint="eastAsia"/>
        </w:rPr>
        <w:t>客户生命周期管理</w:t>
      </w:r>
      <w:r>
        <w:tab/>
      </w:r>
      <w:r>
        <w:fldChar w:fldCharType="begin"/>
      </w:r>
      <w:r>
        <w:instrText xml:space="preserve"> PAGEREF _Toc20846 \h </w:instrText>
      </w:r>
      <w:r>
        <w:fldChar w:fldCharType="separate"/>
      </w:r>
      <w:r>
        <w:t>5</w:t>
      </w:r>
      <w:r>
        <w:fldChar w:fldCharType="end"/>
      </w:r>
      <w:r>
        <w:rPr>
          <w:rFonts w:asciiTheme="minorEastAsia" w:hAnsiTheme="minorEastAsia" w:eastAsiaTheme="minorEastAsia"/>
          <w:szCs w:val="21"/>
        </w:rPr>
        <w:fldChar w:fldCharType="end"/>
      </w:r>
    </w:p>
    <w:p w14:paraId="2CCDECD1">
      <w:pPr>
        <w:pStyle w:val="19"/>
        <w:tabs>
          <w:tab w:val="right" w:leader="dot" w:pos="8312"/>
        </w:tabs>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HYPERLINK \l _Toc15216 </w:instrText>
      </w:r>
      <w:r>
        <w:rPr>
          <w:rFonts w:asciiTheme="minorEastAsia" w:hAnsiTheme="minorEastAsia" w:eastAsiaTheme="minorEastAsia"/>
          <w:szCs w:val="21"/>
        </w:rPr>
        <w:fldChar w:fldCharType="separate"/>
      </w:r>
      <w:r>
        <w:rPr>
          <w:rFonts w:hint="default"/>
        </w:rPr>
        <w:t xml:space="preserve">2.1.4. </w:t>
      </w:r>
      <w:r>
        <w:rPr>
          <w:rFonts w:hint="eastAsia"/>
        </w:rPr>
        <w:t>多渠道客户互动</w:t>
      </w:r>
      <w:r>
        <w:tab/>
      </w:r>
      <w:r>
        <w:fldChar w:fldCharType="begin"/>
      </w:r>
      <w:r>
        <w:instrText xml:space="preserve"> PAGEREF _Toc15216 \h </w:instrText>
      </w:r>
      <w:r>
        <w:fldChar w:fldCharType="separate"/>
      </w:r>
      <w:r>
        <w:t>6</w:t>
      </w:r>
      <w:r>
        <w:fldChar w:fldCharType="end"/>
      </w:r>
      <w:r>
        <w:rPr>
          <w:rFonts w:asciiTheme="minorEastAsia" w:hAnsiTheme="minorEastAsia" w:eastAsiaTheme="minorEastAsia"/>
          <w:szCs w:val="21"/>
        </w:rPr>
        <w:fldChar w:fldCharType="end"/>
      </w:r>
    </w:p>
    <w:p w14:paraId="2869C9BF">
      <w:pPr>
        <w:pStyle w:val="19"/>
        <w:tabs>
          <w:tab w:val="right" w:leader="dot" w:pos="8312"/>
        </w:tabs>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HYPERLINK \l _Toc4975 </w:instrText>
      </w:r>
      <w:r>
        <w:rPr>
          <w:rFonts w:asciiTheme="minorEastAsia" w:hAnsiTheme="minorEastAsia" w:eastAsiaTheme="minorEastAsia"/>
          <w:szCs w:val="21"/>
        </w:rPr>
        <w:fldChar w:fldCharType="separate"/>
      </w:r>
      <w:r>
        <w:rPr>
          <w:rFonts w:hint="default"/>
        </w:rPr>
        <w:t xml:space="preserve">2.1.5. </w:t>
      </w:r>
      <w:r>
        <w:rPr>
          <w:rFonts w:hint="eastAsia"/>
        </w:rPr>
        <w:t>商机整合与提醒</w:t>
      </w:r>
      <w:r>
        <w:tab/>
      </w:r>
      <w:r>
        <w:fldChar w:fldCharType="begin"/>
      </w:r>
      <w:r>
        <w:instrText xml:space="preserve"> PAGEREF _Toc4975 \h </w:instrText>
      </w:r>
      <w:r>
        <w:fldChar w:fldCharType="separate"/>
      </w:r>
      <w:r>
        <w:t>6</w:t>
      </w:r>
      <w:r>
        <w:fldChar w:fldCharType="end"/>
      </w:r>
      <w:r>
        <w:rPr>
          <w:rFonts w:asciiTheme="minorEastAsia" w:hAnsiTheme="minorEastAsia" w:eastAsiaTheme="minorEastAsia"/>
          <w:szCs w:val="21"/>
        </w:rPr>
        <w:fldChar w:fldCharType="end"/>
      </w:r>
    </w:p>
    <w:p w14:paraId="52EB5077">
      <w:pPr>
        <w:pStyle w:val="19"/>
        <w:tabs>
          <w:tab w:val="right" w:leader="dot" w:pos="8312"/>
        </w:tabs>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HYPERLINK \l _Toc23571 </w:instrText>
      </w:r>
      <w:r>
        <w:rPr>
          <w:rFonts w:asciiTheme="minorEastAsia" w:hAnsiTheme="minorEastAsia" w:eastAsiaTheme="minorEastAsia"/>
          <w:szCs w:val="21"/>
        </w:rPr>
        <w:fldChar w:fldCharType="separate"/>
      </w:r>
      <w:r>
        <w:rPr>
          <w:rFonts w:hint="default"/>
        </w:rPr>
        <w:t xml:space="preserve">2.1.6. </w:t>
      </w:r>
      <w:r>
        <w:rPr>
          <w:rFonts w:hint="eastAsia"/>
        </w:rPr>
        <w:t>客户服务及触客活动量情况</w:t>
      </w:r>
      <w:r>
        <w:tab/>
      </w:r>
      <w:r>
        <w:fldChar w:fldCharType="begin"/>
      </w:r>
      <w:r>
        <w:instrText xml:space="preserve"> PAGEREF _Toc23571 \h </w:instrText>
      </w:r>
      <w:r>
        <w:fldChar w:fldCharType="separate"/>
      </w:r>
      <w:r>
        <w:t>7</w:t>
      </w:r>
      <w:r>
        <w:fldChar w:fldCharType="end"/>
      </w:r>
      <w:r>
        <w:rPr>
          <w:rFonts w:asciiTheme="minorEastAsia" w:hAnsiTheme="minorEastAsia" w:eastAsiaTheme="minorEastAsia"/>
          <w:szCs w:val="21"/>
        </w:rPr>
        <w:fldChar w:fldCharType="end"/>
      </w:r>
    </w:p>
    <w:p w14:paraId="01DB4709">
      <w:pPr>
        <w:pStyle w:val="19"/>
        <w:tabs>
          <w:tab w:val="right" w:leader="dot" w:pos="8312"/>
        </w:tabs>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HYPERLINK \l _Toc6194 </w:instrText>
      </w:r>
      <w:r>
        <w:rPr>
          <w:rFonts w:asciiTheme="minorEastAsia" w:hAnsiTheme="minorEastAsia" w:eastAsiaTheme="minorEastAsia"/>
          <w:szCs w:val="21"/>
        </w:rPr>
        <w:fldChar w:fldCharType="separate"/>
      </w:r>
      <w:r>
        <w:rPr>
          <w:rFonts w:hint="default"/>
        </w:rPr>
        <w:t xml:space="preserve">2.1.7. </w:t>
      </w:r>
      <w:r>
        <w:rPr>
          <w:rFonts w:hint="eastAsia"/>
        </w:rPr>
        <w:t>管户分配与交接</w:t>
      </w:r>
      <w:r>
        <w:tab/>
      </w:r>
      <w:r>
        <w:fldChar w:fldCharType="begin"/>
      </w:r>
      <w:r>
        <w:instrText xml:space="preserve"> PAGEREF _Toc6194 \h </w:instrText>
      </w:r>
      <w:r>
        <w:fldChar w:fldCharType="separate"/>
      </w:r>
      <w:r>
        <w:t>7</w:t>
      </w:r>
      <w:r>
        <w:fldChar w:fldCharType="end"/>
      </w:r>
      <w:r>
        <w:rPr>
          <w:rFonts w:asciiTheme="minorEastAsia" w:hAnsiTheme="minorEastAsia" w:eastAsiaTheme="minorEastAsia"/>
          <w:szCs w:val="21"/>
        </w:rPr>
        <w:fldChar w:fldCharType="end"/>
      </w:r>
    </w:p>
    <w:p w14:paraId="3C32FA2B">
      <w:pPr>
        <w:pStyle w:val="19"/>
        <w:tabs>
          <w:tab w:val="right" w:leader="dot" w:pos="8312"/>
        </w:tabs>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HYPERLINK \l _Toc18913 </w:instrText>
      </w:r>
      <w:r>
        <w:rPr>
          <w:rFonts w:asciiTheme="minorEastAsia" w:hAnsiTheme="minorEastAsia" w:eastAsiaTheme="minorEastAsia"/>
          <w:szCs w:val="21"/>
        </w:rPr>
        <w:fldChar w:fldCharType="separate"/>
      </w:r>
      <w:r>
        <w:rPr>
          <w:rFonts w:hint="default"/>
        </w:rPr>
        <w:t xml:space="preserve">2.1.8. </w:t>
      </w:r>
      <w:r>
        <w:rPr>
          <w:rFonts w:hint="eastAsia"/>
        </w:rPr>
        <w:t>8</w:t>
      </w:r>
      <w:r>
        <w:t>.</w:t>
      </w:r>
      <w:r>
        <w:rPr>
          <w:rFonts w:hint="eastAsia"/>
        </w:rPr>
        <w:t>首页展示</w:t>
      </w:r>
      <w:r>
        <w:tab/>
      </w:r>
      <w:r>
        <w:fldChar w:fldCharType="begin"/>
      </w:r>
      <w:r>
        <w:instrText xml:space="preserve"> PAGEREF _Toc18913 \h </w:instrText>
      </w:r>
      <w:r>
        <w:fldChar w:fldCharType="separate"/>
      </w:r>
      <w:r>
        <w:t>8</w:t>
      </w:r>
      <w:r>
        <w:fldChar w:fldCharType="end"/>
      </w:r>
      <w:r>
        <w:rPr>
          <w:rFonts w:asciiTheme="minorEastAsia" w:hAnsiTheme="minorEastAsia" w:eastAsiaTheme="minorEastAsia"/>
          <w:szCs w:val="21"/>
        </w:rPr>
        <w:fldChar w:fldCharType="end"/>
      </w:r>
    </w:p>
    <w:p w14:paraId="3A134F29">
      <w:pPr>
        <w:pStyle w:val="29"/>
        <w:tabs>
          <w:tab w:val="right" w:leader="dot" w:pos="8312"/>
        </w:tabs>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HYPERLINK \l _Toc18977 </w:instrText>
      </w:r>
      <w:r>
        <w:rPr>
          <w:rFonts w:asciiTheme="minorEastAsia" w:hAnsiTheme="minorEastAsia" w:eastAsiaTheme="minorEastAsia"/>
          <w:szCs w:val="21"/>
        </w:rPr>
        <w:fldChar w:fldCharType="separate"/>
      </w:r>
      <w:r>
        <w:rPr>
          <w:rFonts w:hint="default" w:ascii="仿宋" w:hAnsi="仿宋" w:eastAsia="仿宋" w:cs="仿宋"/>
        </w:rPr>
        <w:t xml:space="preserve">2.2. </w:t>
      </w:r>
      <w:r>
        <w:rPr>
          <w:rFonts w:hint="eastAsia" w:ascii="仿宋" w:hAnsi="仿宋" w:eastAsia="仿宋" w:cs="仿宋"/>
        </w:rPr>
        <w:t>技术方案评测</w:t>
      </w:r>
      <w:r>
        <w:tab/>
      </w:r>
      <w:r>
        <w:fldChar w:fldCharType="begin"/>
      </w:r>
      <w:r>
        <w:instrText xml:space="preserve"> PAGEREF _Toc18977 \h </w:instrText>
      </w:r>
      <w:r>
        <w:fldChar w:fldCharType="separate"/>
      </w:r>
      <w:r>
        <w:t>9</w:t>
      </w:r>
      <w:r>
        <w:fldChar w:fldCharType="end"/>
      </w:r>
      <w:r>
        <w:rPr>
          <w:rFonts w:asciiTheme="minorEastAsia" w:hAnsiTheme="minorEastAsia" w:eastAsiaTheme="minorEastAsia"/>
          <w:szCs w:val="21"/>
        </w:rPr>
        <w:fldChar w:fldCharType="end"/>
      </w:r>
    </w:p>
    <w:p w14:paraId="3E6D27A7">
      <w:pPr>
        <w:pStyle w:val="19"/>
        <w:tabs>
          <w:tab w:val="right" w:leader="dot" w:pos="8312"/>
        </w:tabs>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HYPERLINK \l _Toc29479 </w:instrText>
      </w:r>
      <w:r>
        <w:rPr>
          <w:rFonts w:asciiTheme="minorEastAsia" w:hAnsiTheme="minorEastAsia" w:eastAsiaTheme="minorEastAsia"/>
          <w:szCs w:val="21"/>
        </w:rPr>
        <w:fldChar w:fldCharType="separate"/>
      </w:r>
      <w:r>
        <w:rPr>
          <w:rFonts w:hint="default"/>
        </w:rPr>
        <w:t xml:space="preserve">2.2.1. </w:t>
      </w:r>
      <w:r>
        <w:rPr>
          <w:rFonts w:hint="eastAsia"/>
        </w:rPr>
        <w:t>产品技术能力</w:t>
      </w:r>
      <w:r>
        <w:tab/>
      </w:r>
      <w:r>
        <w:fldChar w:fldCharType="begin"/>
      </w:r>
      <w:r>
        <w:instrText xml:space="preserve"> PAGEREF _Toc29479 \h </w:instrText>
      </w:r>
      <w:r>
        <w:fldChar w:fldCharType="separate"/>
      </w:r>
      <w:r>
        <w:t>9</w:t>
      </w:r>
      <w:r>
        <w:fldChar w:fldCharType="end"/>
      </w:r>
      <w:r>
        <w:rPr>
          <w:rFonts w:asciiTheme="minorEastAsia" w:hAnsiTheme="minorEastAsia" w:eastAsiaTheme="minorEastAsia"/>
          <w:szCs w:val="21"/>
        </w:rPr>
        <w:fldChar w:fldCharType="end"/>
      </w:r>
    </w:p>
    <w:p w14:paraId="533A1013">
      <w:pPr>
        <w:pStyle w:val="19"/>
        <w:tabs>
          <w:tab w:val="right" w:leader="dot" w:pos="8312"/>
        </w:tabs>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HYPERLINK \l _Toc32184 </w:instrText>
      </w:r>
      <w:r>
        <w:rPr>
          <w:rFonts w:asciiTheme="minorEastAsia" w:hAnsiTheme="minorEastAsia" w:eastAsiaTheme="minorEastAsia"/>
          <w:szCs w:val="21"/>
        </w:rPr>
        <w:fldChar w:fldCharType="separate"/>
      </w:r>
      <w:r>
        <w:rPr>
          <w:rFonts w:hint="default"/>
        </w:rPr>
        <w:t xml:space="preserve">2.2.2. </w:t>
      </w:r>
      <w:r>
        <w:rPr>
          <w:rFonts w:hint="eastAsia"/>
        </w:rPr>
        <w:t>客户数据加工能力</w:t>
      </w:r>
      <w:r>
        <w:tab/>
      </w:r>
      <w:r>
        <w:fldChar w:fldCharType="begin"/>
      </w:r>
      <w:r>
        <w:instrText xml:space="preserve"> PAGEREF _Toc32184 \h </w:instrText>
      </w:r>
      <w:r>
        <w:fldChar w:fldCharType="separate"/>
      </w:r>
      <w:r>
        <w:t>9</w:t>
      </w:r>
      <w:r>
        <w:fldChar w:fldCharType="end"/>
      </w:r>
      <w:r>
        <w:rPr>
          <w:rFonts w:asciiTheme="minorEastAsia" w:hAnsiTheme="minorEastAsia" w:eastAsiaTheme="minorEastAsia"/>
          <w:szCs w:val="21"/>
        </w:rPr>
        <w:fldChar w:fldCharType="end"/>
      </w:r>
    </w:p>
    <w:p w14:paraId="682B80E2">
      <w:pPr>
        <w:pStyle w:val="26"/>
        <w:tabs>
          <w:tab w:val="right" w:leader="dot" w:pos="8312"/>
        </w:tabs>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HYPERLINK \l _Toc1095 </w:instrText>
      </w:r>
      <w:r>
        <w:rPr>
          <w:rFonts w:asciiTheme="minorEastAsia" w:hAnsiTheme="minorEastAsia" w:eastAsiaTheme="minorEastAsia"/>
          <w:szCs w:val="21"/>
        </w:rPr>
        <w:fldChar w:fldCharType="separate"/>
      </w:r>
      <w:r>
        <w:rPr>
          <w:rFonts w:hint="default"/>
        </w:rPr>
        <w:t xml:space="preserve">3. </w:t>
      </w:r>
      <w:r>
        <w:rPr>
          <w:rFonts w:hint="eastAsia"/>
        </w:rPr>
        <w:t>评分规则</w:t>
      </w:r>
      <w:r>
        <w:tab/>
      </w:r>
      <w:r>
        <w:fldChar w:fldCharType="begin"/>
      </w:r>
      <w:r>
        <w:instrText xml:space="preserve"> PAGEREF _Toc1095 \h </w:instrText>
      </w:r>
      <w:r>
        <w:fldChar w:fldCharType="separate"/>
      </w:r>
      <w:r>
        <w:t>10</w:t>
      </w:r>
      <w:r>
        <w:fldChar w:fldCharType="end"/>
      </w:r>
      <w:r>
        <w:rPr>
          <w:rFonts w:asciiTheme="minorEastAsia" w:hAnsiTheme="minorEastAsia" w:eastAsiaTheme="minorEastAsia"/>
          <w:szCs w:val="21"/>
        </w:rPr>
        <w:fldChar w:fldCharType="end"/>
      </w:r>
    </w:p>
    <w:p w14:paraId="2364AC15">
      <w:pPr>
        <w:pStyle w:val="26"/>
        <w:tabs>
          <w:tab w:val="right" w:leader="dot" w:pos="8312"/>
        </w:tabs>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HYPERLINK \l _Toc6207 </w:instrText>
      </w:r>
      <w:r>
        <w:rPr>
          <w:rFonts w:asciiTheme="minorEastAsia" w:hAnsiTheme="minorEastAsia" w:eastAsiaTheme="minorEastAsia"/>
          <w:szCs w:val="21"/>
        </w:rPr>
        <w:fldChar w:fldCharType="separate"/>
      </w:r>
      <w:r>
        <w:rPr>
          <w:rFonts w:hint="default"/>
        </w:rPr>
        <w:t xml:space="preserve">4. </w:t>
      </w:r>
      <w:r>
        <w:rPr>
          <w:rFonts w:hint="eastAsia"/>
        </w:rPr>
        <w:t>测评方式</w:t>
      </w:r>
      <w:r>
        <w:tab/>
      </w:r>
      <w:r>
        <w:fldChar w:fldCharType="begin"/>
      </w:r>
      <w:r>
        <w:instrText xml:space="preserve"> PAGEREF _Toc6207 \h </w:instrText>
      </w:r>
      <w:r>
        <w:fldChar w:fldCharType="separate"/>
      </w:r>
      <w:r>
        <w:t>12</w:t>
      </w:r>
      <w:r>
        <w:fldChar w:fldCharType="end"/>
      </w:r>
      <w:r>
        <w:rPr>
          <w:rFonts w:asciiTheme="minorEastAsia" w:hAnsiTheme="minorEastAsia" w:eastAsiaTheme="minorEastAsia"/>
          <w:szCs w:val="21"/>
        </w:rPr>
        <w:fldChar w:fldCharType="end"/>
      </w:r>
    </w:p>
    <w:p w14:paraId="049FB321">
      <w:pPr>
        <w:pStyle w:val="26"/>
        <w:tabs>
          <w:tab w:val="left" w:pos="1260"/>
          <w:tab w:val="right" w:leader="dot" w:pos="8302"/>
        </w:tabs>
        <w:rPr>
          <w:rFonts w:asciiTheme="minorEastAsia" w:hAnsiTheme="minorEastAsia" w:eastAsiaTheme="minorEastAsia"/>
          <w:szCs w:val="21"/>
        </w:rPr>
      </w:pPr>
      <w:r>
        <w:rPr>
          <w:rFonts w:asciiTheme="minorEastAsia" w:hAnsiTheme="minorEastAsia" w:eastAsiaTheme="minorEastAsia"/>
          <w:szCs w:val="21"/>
        </w:rPr>
        <w:fldChar w:fldCharType="end"/>
      </w:r>
    </w:p>
    <w:p w14:paraId="67110A8C">
      <w:pPr>
        <w:pStyle w:val="2"/>
        <w:sectPr>
          <w:headerReference r:id="rId3" w:type="default"/>
          <w:pgSz w:w="11906" w:h="16838"/>
          <w:pgMar w:top="1440" w:right="1797" w:bottom="1440" w:left="1797" w:header="851" w:footer="992" w:gutter="0"/>
          <w:cols w:space="425" w:num="1"/>
          <w:docGrid w:type="lines" w:linePitch="312" w:charSpace="0"/>
        </w:sectPr>
      </w:pPr>
    </w:p>
    <w:p w14:paraId="313679E2">
      <w:pPr>
        <w:pStyle w:val="2"/>
      </w:pPr>
      <w:bookmarkStart w:id="0" w:name="_Toc24419"/>
      <w:bookmarkStart w:id="1" w:name="_Toc14211"/>
      <w:bookmarkStart w:id="2" w:name="_Toc886"/>
      <w:bookmarkStart w:id="3" w:name="_Toc16672673"/>
      <w:r>
        <w:rPr>
          <w:rFonts w:hint="eastAsia"/>
        </w:rPr>
        <w:t>概述</w:t>
      </w:r>
      <w:bookmarkEnd w:id="0"/>
      <w:bookmarkEnd w:id="1"/>
      <w:bookmarkEnd w:id="2"/>
    </w:p>
    <w:bookmarkEnd w:id="3"/>
    <w:p w14:paraId="45AFCE40">
      <w:pPr>
        <w:pStyle w:val="3"/>
        <w:rPr>
          <w:rFonts w:ascii="仿宋" w:hAnsi="仿宋" w:eastAsia="仿宋" w:cs="仿宋"/>
        </w:rPr>
      </w:pPr>
      <w:bookmarkStart w:id="4" w:name="_Toc25266"/>
      <w:bookmarkStart w:id="5" w:name="_Toc23079"/>
      <w:bookmarkStart w:id="6" w:name="_Toc16672674"/>
      <w:bookmarkStart w:id="7" w:name="_Toc31283"/>
      <w:r>
        <w:rPr>
          <w:rFonts w:hint="eastAsia" w:ascii="仿宋" w:hAnsi="仿宋" w:eastAsia="仿宋" w:cs="仿宋"/>
        </w:rPr>
        <w:t>测评目的</w:t>
      </w:r>
      <w:bookmarkEnd w:id="4"/>
      <w:bookmarkEnd w:id="5"/>
      <w:bookmarkEnd w:id="6"/>
      <w:bookmarkEnd w:id="7"/>
    </w:p>
    <w:p w14:paraId="06983A9F">
      <w:pPr>
        <w:pStyle w:val="16"/>
        <w:ind w:firstLine="560"/>
      </w:pPr>
      <w:bookmarkStart w:id="8" w:name="_Toc299356606"/>
      <w:r>
        <w:rPr>
          <w:rFonts w:hint="eastAsia"/>
        </w:rPr>
        <w:t>本次POC针对我行</w:t>
      </w:r>
      <w:r>
        <w:rPr>
          <w:rFonts w:hint="eastAsia"/>
          <w:lang w:eastAsia="zh-CN"/>
        </w:rPr>
        <w:t>零售CRM系统建设项目（第二次）</w:t>
      </w:r>
      <w:r>
        <w:rPr>
          <w:rFonts w:hint="eastAsia"/>
        </w:rPr>
        <w:t>(以下简称“CRM项目”)的核心需求，重点验证意向供应商</w:t>
      </w:r>
      <w:bookmarkEnd w:id="8"/>
      <w:r>
        <w:rPr>
          <w:rFonts w:hint="eastAsia"/>
        </w:rPr>
        <w:t>（以下简称“厂商”）同类产品的成熟度和适用性，考察CRM系统建设的业务能力、技术能力和实施能力。</w:t>
      </w:r>
    </w:p>
    <w:p w14:paraId="7E135EFB">
      <w:pPr>
        <w:pStyle w:val="3"/>
        <w:rPr>
          <w:rFonts w:ascii="仿宋" w:hAnsi="仿宋" w:eastAsia="仿宋" w:cs="仿宋"/>
        </w:rPr>
      </w:pPr>
      <w:bookmarkStart w:id="9" w:name="_Toc5054"/>
      <w:bookmarkStart w:id="10" w:name="_Toc1748"/>
      <w:bookmarkStart w:id="11" w:name="_Toc16672675"/>
      <w:bookmarkStart w:id="12" w:name="_Toc25264"/>
      <w:r>
        <w:rPr>
          <w:rFonts w:hint="eastAsia" w:ascii="仿宋" w:hAnsi="仿宋" w:eastAsia="仿宋" w:cs="仿宋"/>
        </w:rPr>
        <w:t>测评内容概述</w:t>
      </w:r>
      <w:bookmarkEnd w:id="9"/>
      <w:bookmarkEnd w:id="10"/>
      <w:bookmarkEnd w:id="11"/>
      <w:bookmarkEnd w:id="12"/>
    </w:p>
    <w:p w14:paraId="3ECE4516">
      <w:pPr>
        <w:pStyle w:val="16"/>
        <w:ind w:firstLine="560"/>
      </w:pPr>
      <w:bookmarkStart w:id="13" w:name="_Toc418023750"/>
      <w:r>
        <w:rPr>
          <w:rFonts w:hint="eastAsia"/>
        </w:rPr>
        <w:t>本项目测评内容将从业务需求满足度、关键功能模块需求满足度、非功能性需求的满足度等多个维度进行测评。</w:t>
      </w:r>
    </w:p>
    <w:p w14:paraId="12AF6E55">
      <w:pPr>
        <w:pStyle w:val="16"/>
        <w:numPr>
          <w:ilvl w:val="0"/>
          <w:numId w:val="8"/>
        </w:numPr>
        <w:ind w:firstLine="560"/>
      </w:pPr>
      <w:r>
        <w:rPr>
          <w:rFonts w:hint="eastAsia"/>
        </w:rPr>
        <w:t>业务需求满足度：产品及实施方案是否覆盖我行业务场景；</w:t>
      </w:r>
    </w:p>
    <w:p w14:paraId="0FB84100">
      <w:pPr>
        <w:pStyle w:val="16"/>
        <w:numPr>
          <w:ilvl w:val="0"/>
          <w:numId w:val="8"/>
        </w:numPr>
        <w:ind w:firstLine="560"/>
      </w:pPr>
      <w:r>
        <w:rPr>
          <w:rFonts w:hint="eastAsia"/>
        </w:rPr>
        <w:t>关键功能模块需求满足度：对客户管理、产品管理、营销服务等关键功能模块的功能等进行评测，是否满足我行客户管理赋能和营销赋能业务需求；</w:t>
      </w:r>
    </w:p>
    <w:p w14:paraId="5E63834D">
      <w:pPr>
        <w:pStyle w:val="16"/>
        <w:numPr>
          <w:ilvl w:val="0"/>
          <w:numId w:val="8"/>
        </w:numPr>
        <w:ind w:firstLine="560"/>
      </w:pPr>
      <w:r>
        <w:rPr>
          <w:rFonts w:hint="eastAsia"/>
        </w:rPr>
        <w:t>非功能需求满足度：平台架构、扩展性、可运维可管理等方面是否符合我行要求。</w:t>
      </w:r>
    </w:p>
    <w:p w14:paraId="2FBA7546">
      <w:pPr>
        <w:pStyle w:val="3"/>
        <w:rPr>
          <w:rFonts w:ascii="仿宋" w:hAnsi="仿宋" w:eastAsia="仿宋" w:cs="仿宋"/>
        </w:rPr>
      </w:pPr>
      <w:bookmarkStart w:id="14" w:name="_Toc489365175"/>
      <w:bookmarkStart w:id="15" w:name="_Toc16672688"/>
      <w:bookmarkStart w:id="16" w:name="_Toc11594"/>
      <w:bookmarkStart w:id="17" w:name="_Toc8961"/>
      <w:bookmarkStart w:id="18" w:name="_Toc9555"/>
      <w:r>
        <w:rPr>
          <w:rFonts w:hint="eastAsia" w:ascii="仿宋" w:hAnsi="仿宋" w:eastAsia="仿宋" w:cs="仿宋"/>
        </w:rPr>
        <w:t>测</w:t>
      </w:r>
      <w:bookmarkEnd w:id="14"/>
      <w:bookmarkEnd w:id="15"/>
      <w:r>
        <w:rPr>
          <w:rFonts w:hint="eastAsia" w:ascii="仿宋" w:hAnsi="仿宋" w:eastAsia="仿宋" w:cs="仿宋"/>
        </w:rPr>
        <w:t>评原则</w:t>
      </w:r>
      <w:bookmarkEnd w:id="16"/>
      <w:bookmarkEnd w:id="17"/>
      <w:bookmarkEnd w:id="18"/>
    </w:p>
    <w:p w14:paraId="24D7EC2A">
      <w:pPr>
        <w:pStyle w:val="4"/>
      </w:pPr>
      <w:bookmarkStart w:id="19" w:name="_Toc30037"/>
      <w:bookmarkStart w:id="20" w:name="_Toc21521"/>
      <w:bookmarkStart w:id="21" w:name="_Toc17080"/>
      <w:r>
        <w:rPr>
          <w:rFonts w:hint="eastAsia"/>
        </w:rPr>
        <w:t>公正要求</w:t>
      </w:r>
      <w:bookmarkEnd w:id="19"/>
      <w:bookmarkEnd w:id="20"/>
      <w:bookmarkEnd w:id="21"/>
    </w:p>
    <w:p w14:paraId="25457395">
      <w:pPr>
        <w:pStyle w:val="16"/>
        <w:ind w:firstLine="560"/>
      </w:pPr>
      <w:r>
        <w:rPr>
          <w:rFonts w:hint="eastAsia"/>
        </w:rPr>
        <w:t>整个测评过程体现公平、公正、严密、严谨、严肃的原则；</w:t>
      </w:r>
    </w:p>
    <w:p w14:paraId="4D6CB7BD">
      <w:pPr>
        <w:pStyle w:val="16"/>
        <w:ind w:firstLine="560"/>
      </w:pPr>
      <w:r>
        <w:rPr>
          <w:rFonts w:hint="eastAsia"/>
        </w:rPr>
        <w:t>测评评价合理性原则，制定合理的测评内容及关注点，以客观事实为依据、实事求是表达测评结果。</w:t>
      </w:r>
    </w:p>
    <w:p w14:paraId="33914865">
      <w:pPr>
        <w:pStyle w:val="4"/>
      </w:pPr>
      <w:bookmarkStart w:id="22" w:name="_Toc24173"/>
      <w:bookmarkStart w:id="23" w:name="_Toc24126"/>
      <w:bookmarkStart w:id="24" w:name="_Toc11146"/>
      <w:r>
        <w:rPr>
          <w:rFonts w:hint="eastAsia"/>
        </w:rPr>
        <w:t>时间要求</w:t>
      </w:r>
      <w:bookmarkEnd w:id="22"/>
      <w:bookmarkEnd w:id="23"/>
      <w:bookmarkEnd w:id="24"/>
    </w:p>
    <w:p w14:paraId="075B0D8D">
      <w:pPr>
        <w:ind w:firstLine="560" w:firstLineChars="200"/>
        <w:rPr>
          <w:rFonts w:ascii="仿宋" w:hAnsi="仿宋" w:eastAsia="仿宋" w:cs="仿宋"/>
          <w:sz w:val="28"/>
          <w:szCs w:val="28"/>
        </w:rPr>
      </w:pPr>
      <w:r>
        <w:rPr>
          <w:rFonts w:hint="eastAsia" w:ascii="仿宋" w:hAnsi="仿宋" w:eastAsia="仿宋" w:cs="仿宋"/>
          <w:sz w:val="28"/>
          <w:szCs w:val="28"/>
        </w:rPr>
        <w:t>本次POC时间以</w:t>
      </w:r>
      <w:r>
        <w:rPr>
          <w:rStyle w:val="65"/>
          <w:rFonts w:hint="eastAsia"/>
        </w:rPr>
        <w:t>测</w:t>
      </w:r>
      <w:r>
        <w:rPr>
          <w:rFonts w:hint="eastAsia" w:ascii="仿宋" w:hAnsi="仿宋" w:eastAsia="仿宋" w:cs="仿宋"/>
          <w:sz w:val="28"/>
          <w:szCs w:val="28"/>
        </w:rPr>
        <w:t>评时间要求为准，参测厂商不得以任何理由延长测评时间或中途暂停，如果参测厂商提前准备好测评环境，则提前进入测评阶段。</w:t>
      </w:r>
    </w:p>
    <w:p w14:paraId="59C3C337">
      <w:pPr>
        <w:pStyle w:val="4"/>
      </w:pPr>
      <w:bookmarkStart w:id="25" w:name="_Toc18020"/>
      <w:bookmarkStart w:id="26" w:name="_Toc3990"/>
      <w:bookmarkStart w:id="27" w:name="_Toc1089"/>
      <w:r>
        <w:rPr>
          <w:rFonts w:hint="eastAsia"/>
        </w:rPr>
        <w:t>保密要求</w:t>
      </w:r>
      <w:bookmarkEnd w:id="25"/>
      <w:bookmarkEnd w:id="26"/>
      <w:bookmarkEnd w:id="27"/>
    </w:p>
    <w:p w14:paraId="4C8B76B6">
      <w:pPr>
        <w:ind w:firstLine="560" w:firstLineChars="200"/>
        <w:rPr>
          <w:rFonts w:ascii="仿宋" w:hAnsi="仿宋" w:eastAsia="仿宋" w:cs="仿宋"/>
          <w:sz w:val="28"/>
          <w:szCs w:val="28"/>
        </w:rPr>
      </w:pPr>
      <w:r>
        <w:rPr>
          <w:rFonts w:hint="eastAsia" w:ascii="仿宋" w:hAnsi="仿宋" w:eastAsia="仿宋" w:cs="仿宋"/>
          <w:sz w:val="28"/>
          <w:szCs w:val="28"/>
        </w:rPr>
        <w:t>POC测评期间不得以任何形式（包括电子邮件、即时聊天工具、U盘和工作人员笔记本电脑等）将我行相关信息、文件或数据泄露,并在离场前由行方人员监督销毁。</w:t>
      </w:r>
    </w:p>
    <w:p w14:paraId="3B292570">
      <w:pPr>
        <w:ind w:firstLine="560" w:firstLineChars="200"/>
        <w:rPr>
          <w:rFonts w:ascii="仿宋" w:hAnsi="仿宋" w:eastAsia="仿宋" w:cs="仿宋"/>
          <w:sz w:val="28"/>
          <w:szCs w:val="28"/>
        </w:rPr>
      </w:pPr>
      <w:r>
        <w:rPr>
          <w:rFonts w:hint="eastAsia" w:ascii="仿宋" w:hAnsi="仿宋" w:eastAsia="仿宋" w:cs="仿宋"/>
          <w:sz w:val="28"/>
          <w:szCs w:val="28"/>
        </w:rPr>
        <w:t>POC测评结束后，参测厂商必须将本行提供的相关信息、文件或数据从测评设备及测评人员工作设备(包括电脑、移动介质和网盘等)中全部清除。</w:t>
      </w:r>
    </w:p>
    <w:p w14:paraId="188E9A24">
      <w:pPr>
        <w:ind w:firstLine="560" w:firstLineChars="200"/>
        <w:rPr>
          <w:rFonts w:ascii="仿宋" w:hAnsi="仿宋" w:eastAsia="仿宋" w:cs="仿宋"/>
          <w:sz w:val="28"/>
          <w:szCs w:val="28"/>
        </w:rPr>
      </w:pPr>
      <w:r>
        <w:rPr>
          <w:rFonts w:hint="eastAsia" w:ascii="仿宋" w:hAnsi="仿宋" w:eastAsia="仿宋" w:cs="仿宋"/>
          <w:sz w:val="28"/>
          <w:szCs w:val="28"/>
        </w:rPr>
        <w:t>如参测厂商安装任何带有知识产权的软件产品、数据模型等，银行方保证不复制，不外传，在调研完成后应将其从POC测评环境中删除；</w:t>
      </w:r>
    </w:p>
    <w:p w14:paraId="0258B7FA">
      <w:pPr>
        <w:pStyle w:val="4"/>
      </w:pPr>
      <w:bookmarkStart w:id="28" w:name="_Toc25785"/>
      <w:bookmarkStart w:id="29" w:name="_Toc23615"/>
      <w:bookmarkStart w:id="30" w:name="_Toc16665"/>
      <w:r>
        <w:rPr>
          <w:rFonts w:hint="eastAsia"/>
        </w:rPr>
        <w:t>诚信要求</w:t>
      </w:r>
      <w:bookmarkEnd w:id="28"/>
      <w:bookmarkEnd w:id="29"/>
      <w:bookmarkEnd w:id="30"/>
    </w:p>
    <w:p w14:paraId="049B6D3A">
      <w:pPr>
        <w:ind w:firstLine="560" w:firstLineChars="200"/>
        <w:rPr>
          <w:rFonts w:ascii="仿宋" w:hAnsi="仿宋" w:eastAsia="仿宋" w:cs="仿宋"/>
          <w:sz w:val="28"/>
          <w:szCs w:val="28"/>
        </w:rPr>
      </w:pPr>
      <w:r>
        <w:rPr>
          <w:rFonts w:hint="eastAsia" w:ascii="仿宋" w:hAnsi="仿宋" w:eastAsia="仿宋" w:cs="仿宋"/>
          <w:sz w:val="28"/>
          <w:szCs w:val="28"/>
        </w:rPr>
        <w:t>本次测评过程中，各参测厂商需要在系统处理关键点记录日志，以备查询。如在系统请求接收，到处理返回接收点都必须记录相关时间日志，打印请求的处理耗时。测评完成后日志打包存档，以备后查。厂商在测评过程中一旦发现作弊情况，将取消</w:t>
      </w:r>
      <w:r>
        <w:rPr>
          <w:rFonts w:hint="eastAsia" w:ascii="仿宋" w:hAnsi="仿宋" w:eastAsia="仿宋" w:cs="仿宋"/>
          <w:sz w:val="28"/>
          <w:szCs w:val="28"/>
          <w:lang w:val="en-US" w:eastAsia="zh-CN"/>
        </w:rPr>
        <w:t>测评</w:t>
      </w:r>
      <w:r>
        <w:rPr>
          <w:rFonts w:hint="eastAsia" w:ascii="仿宋" w:hAnsi="仿宋" w:eastAsia="仿宋" w:cs="仿宋"/>
          <w:sz w:val="28"/>
          <w:szCs w:val="28"/>
        </w:rPr>
        <w:t>资格，成绩作废。</w:t>
      </w:r>
    </w:p>
    <w:p w14:paraId="0A8E6293">
      <w:pPr>
        <w:pStyle w:val="4"/>
      </w:pPr>
      <w:bookmarkStart w:id="31" w:name="_Toc19192"/>
      <w:bookmarkStart w:id="32" w:name="_Toc29705"/>
      <w:bookmarkStart w:id="33" w:name="_Toc24427"/>
      <w:r>
        <w:rPr>
          <w:rFonts w:hint="eastAsia"/>
        </w:rPr>
        <w:t>其它要求</w:t>
      </w:r>
      <w:bookmarkEnd w:id="31"/>
      <w:bookmarkEnd w:id="32"/>
      <w:bookmarkEnd w:id="33"/>
    </w:p>
    <w:p w14:paraId="7D79A83C">
      <w:pPr>
        <w:ind w:firstLine="560" w:firstLineChars="200"/>
        <w:rPr>
          <w:rFonts w:ascii="仿宋" w:hAnsi="仿宋" w:eastAsia="仿宋" w:cs="仿宋"/>
          <w:sz w:val="28"/>
          <w:szCs w:val="28"/>
        </w:rPr>
      </w:pPr>
      <w:r>
        <w:rPr>
          <w:rFonts w:hint="eastAsia" w:ascii="仿宋" w:hAnsi="仿宋" w:eastAsia="仿宋" w:cs="仿宋"/>
          <w:sz w:val="28"/>
          <w:szCs w:val="28"/>
        </w:rPr>
        <w:t>参测厂商应保证在测评期间遵守本行的各项规定；其它未尽事宜或临时调整，由本行POC测评小组解释执行。</w:t>
      </w:r>
      <w:r>
        <w:rPr>
          <w:rFonts w:hint="eastAsia" w:ascii="仿宋" w:hAnsi="仿宋" w:eastAsia="仿宋" w:cs="仿宋"/>
          <w:b/>
          <w:bCs/>
          <w:sz w:val="28"/>
          <w:szCs w:val="28"/>
        </w:rPr>
        <w:t>评测时请现场提供《法定代表人授权委托书》（见附录），不提供则视为放弃评测。</w:t>
      </w:r>
    </w:p>
    <w:bookmarkEnd w:id="13"/>
    <w:p w14:paraId="73A10826">
      <w:pPr>
        <w:pStyle w:val="3"/>
        <w:rPr>
          <w:rFonts w:ascii="仿宋" w:hAnsi="仿宋" w:eastAsia="仿宋" w:cs="仿宋"/>
        </w:rPr>
      </w:pPr>
      <w:bookmarkStart w:id="34" w:name="_Toc382"/>
      <w:bookmarkStart w:id="35" w:name="_Toc23649"/>
      <w:bookmarkStart w:id="36" w:name="_Toc18226"/>
      <w:bookmarkStart w:id="37" w:name="_Toc16672678"/>
      <w:bookmarkStart w:id="38" w:name="_Toc418023751"/>
      <w:r>
        <w:rPr>
          <w:rFonts w:hint="eastAsia" w:ascii="仿宋" w:hAnsi="仿宋" w:eastAsia="仿宋" w:cs="仿宋"/>
        </w:rPr>
        <w:t>评测小组</w:t>
      </w:r>
      <w:bookmarkEnd w:id="34"/>
      <w:bookmarkEnd w:id="35"/>
      <w:bookmarkEnd w:id="36"/>
    </w:p>
    <w:p w14:paraId="09DC6375">
      <w:pPr>
        <w:ind w:firstLine="560" w:firstLineChars="200"/>
        <w:rPr>
          <w:rFonts w:ascii="仿宋" w:hAnsi="仿宋" w:eastAsia="仿宋" w:cs="仿宋"/>
          <w:sz w:val="28"/>
          <w:szCs w:val="28"/>
        </w:rPr>
      </w:pPr>
      <w:r>
        <w:rPr>
          <w:rFonts w:hint="eastAsia" w:ascii="仿宋" w:hAnsi="仿宋" w:eastAsia="仿宋" w:cs="仿宋"/>
          <w:sz w:val="28"/>
          <w:szCs w:val="28"/>
        </w:rPr>
        <w:t>本项目评测小组成员由财富管理部、信息科技部相关人员组成。小组成员间、小组成员与厂商间应相互尊重、充分沟通，秉承公平、公正、严密、严谨、严肃的原则进行评测。</w:t>
      </w:r>
    </w:p>
    <w:p w14:paraId="2019BF75">
      <w:pPr>
        <w:pStyle w:val="3"/>
        <w:rPr>
          <w:rFonts w:ascii="仿宋" w:hAnsi="仿宋" w:eastAsia="仿宋" w:cs="仿宋"/>
        </w:rPr>
      </w:pPr>
      <w:bookmarkStart w:id="39" w:name="_Toc32319"/>
      <w:bookmarkStart w:id="40" w:name="_Toc30134"/>
      <w:bookmarkStart w:id="41" w:name="_Toc1047"/>
      <w:r>
        <w:rPr>
          <w:rFonts w:hint="eastAsia" w:ascii="仿宋" w:hAnsi="仿宋" w:eastAsia="仿宋" w:cs="仿宋"/>
        </w:rPr>
        <w:t>测评计划</w:t>
      </w:r>
      <w:bookmarkEnd w:id="39"/>
      <w:bookmarkEnd w:id="40"/>
      <w:bookmarkEnd w:id="41"/>
    </w:p>
    <w:tbl>
      <w:tblPr>
        <w:tblStyle w:val="37"/>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15" w:type="dxa"/>
          <w:left w:w="15" w:type="dxa"/>
          <w:bottom w:w="15" w:type="dxa"/>
          <w:right w:w="15" w:type="dxa"/>
        </w:tblCellMar>
      </w:tblPr>
      <w:tblGrid>
        <w:gridCol w:w="2006"/>
        <w:gridCol w:w="7094"/>
      </w:tblGrid>
      <w:tr w14:paraId="71ED21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95" w:hRule="atLeast"/>
        </w:trPr>
        <w:tc>
          <w:tcPr>
            <w:tcW w:w="5000" w:type="pct"/>
            <w:gridSpan w:val="2"/>
            <w:vAlign w:val="center"/>
          </w:tcPr>
          <w:p w14:paraId="11F23F61">
            <w:pPr>
              <w:rPr>
                <w:rFonts w:ascii="华文仿宋" w:hAnsi="华文仿宋" w:eastAsia="华文仿宋" w:cs="华文仿宋"/>
                <w:color w:val="000000"/>
                <w:sz w:val="24"/>
              </w:rPr>
            </w:pPr>
            <w:r>
              <w:rPr>
                <w:rFonts w:hint="eastAsia" w:ascii="华文仿宋" w:hAnsi="华文仿宋" w:eastAsia="华文仿宋" w:cs="华文仿宋"/>
                <w:sz w:val="24"/>
              </w:rPr>
              <w:t>以报名时间截至后第1个自然日（如非工作日，则顺延到工作日）为T日。</w:t>
            </w:r>
          </w:p>
        </w:tc>
      </w:tr>
      <w:tr w14:paraId="6BD6B0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91" w:hRule="atLeast"/>
        </w:trPr>
        <w:tc>
          <w:tcPr>
            <w:tcW w:w="1102" w:type="pct"/>
            <w:vAlign w:val="center"/>
          </w:tcPr>
          <w:p w14:paraId="13333D69">
            <w:pPr>
              <w:jc w:val="center"/>
              <w:textAlignment w:val="center"/>
              <w:rPr>
                <w:rFonts w:ascii="华文仿宋" w:hAnsi="华文仿宋" w:eastAsia="华文仿宋" w:cs="华文仿宋"/>
                <w:color w:val="auto"/>
                <w:kern w:val="0"/>
                <w:sz w:val="24"/>
                <w:lang w:bidi="ar"/>
              </w:rPr>
            </w:pPr>
            <w:r>
              <w:rPr>
                <w:rFonts w:hint="eastAsia" w:ascii="华文仿宋" w:hAnsi="华文仿宋" w:eastAsia="华文仿宋" w:cs="华文仿宋"/>
                <w:color w:val="auto"/>
                <w:kern w:val="0"/>
                <w:sz w:val="24"/>
                <w:lang w:bidi="ar"/>
              </w:rPr>
              <w:t>T日</w:t>
            </w:r>
          </w:p>
        </w:tc>
        <w:tc>
          <w:tcPr>
            <w:tcW w:w="3897" w:type="pct"/>
            <w:vAlign w:val="center"/>
          </w:tcPr>
          <w:p w14:paraId="2F574AED">
            <w:pPr>
              <w:numPr>
                <w:ilvl w:val="0"/>
                <w:numId w:val="9"/>
              </w:numPr>
              <w:rPr>
                <w:rFonts w:ascii="华文仿宋" w:hAnsi="华文仿宋" w:eastAsia="华文仿宋" w:cs="华文仿宋"/>
                <w:color w:val="auto"/>
                <w:kern w:val="0"/>
                <w:sz w:val="24"/>
                <w:lang w:bidi="ar"/>
              </w:rPr>
            </w:pPr>
            <w:r>
              <w:rPr>
                <w:rFonts w:hint="eastAsia" w:ascii="华文仿宋" w:hAnsi="华文仿宋" w:eastAsia="华文仿宋" w:cs="华文仿宋"/>
                <w:color w:val="auto"/>
                <w:sz w:val="24"/>
              </w:rPr>
              <w:t>评测小组对参测</w:t>
            </w:r>
            <w:r>
              <w:rPr>
                <w:rFonts w:hint="eastAsia" w:ascii="华文仿宋" w:hAnsi="华文仿宋" w:eastAsia="华文仿宋" w:cs="华文仿宋"/>
                <w:color w:val="auto"/>
                <w:kern w:val="0"/>
                <w:sz w:val="24"/>
                <w:lang w:bidi="ar"/>
              </w:rPr>
              <w:t>厂商按报名顺序逐一进行POC测评方案解答（线上方式）；</w:t>
            </w:r>
          </w:p>
          <w:p w14:paraId="318BD0EA">
            <w:pPr>
              <w:pStyle w:val="81"/>
              <w:widowControl/>
              <w:numPr>
                <w:ilvl w:val="255"/>
                <w:numId w:val="0"/>
              </w:numPr>
              <w:tabs>
                <w:tab w:val="left" w:pos="392"/>
              </w:tabs>
              <w:spacing w:after="0" w:line="240" w:lineRule="auto"/>
              <w:jc w:val="left"/>
              <w:textAlignment w:val="center"/>
              <w:rPr>
                <w:rFonts w:ascii="华文仿宋" w:hAnsi="华文仿宋" w:eastAsia="华文仿宋" w:cs="华文仿宋"/>
                <w:color w:val="auto"/>
                <w:sz w:val="24"/>
                <w:szCs w:val="24"/>
              </w:rPr>
            </w:pPr>
            <w:r>
              <w:rPr>
                <w:rFonts w:hint="eastAsia" w:ascii="华文仿宋" w:hAnsi="华文仿宋" w:eastAsia="华文仿宋" w:cs="华文仿宋"/>
                <w:color w:val="auto"/>
                <w:kern w:val="0"/>
                <w:sz w:val="24"/>
                <w:szCs w:val="24"/>
                <w:lang w:bidi="ar"/>
              </w:rPr>
              <w:t>2、报名顺序即为测评顺序。</w:t>
            </w:r>
          </w:p>
        </w:tc>
      </w:tr>
      <w:tr w14:paraId="12FC88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91" w:hRule="atLeast"/>
        </w:trPr>
        <w:tc>
          <w:tcPr>
            <w:tcW w:w="1102" w:type="pct"/>
            <w:vAlign w:val="center"/>
          </w:tcPr>
          <w:p w14:paraId="6762E3AB">
            <w:pPr>
              <w:jc w:val="center"/>
              <w:textAlignment w:val="center"/>
              <w:rPr>
                <w:rFonts w:ascii="华文仿宋" w:hAnsi="华文仿宋" w:eastAsia="华文仿宋" w:cs="华文仿宋"/>
                <w:color w:val="auto"/>
                <w:kern w:val="0"/>
                <w:sz w:val="24"/>
                <w:lang w:bidi="ar"/>
              </w:rPr>
            </w:pPr>
            <w:r>
              <w:rPr>
                <w:rFonts w:hint="eastAsia" w:ascii="华文仿宋" w:hAnsi="华文仿宋" w:eastAsia="华文仿宋" w:cs="华文仿宋"/>
                <w:color w:val="auto"/>
                <w:kern w:val="0"/>
                <w:sz w:val="24"/>
                <w:lang w:bidi="ar"/>
              </w:rPr>
              <w:t>T+1日至T+10日</w:t>
            </w:r>
          </w:p>
          <w:p w14:paraId="0BC6E937">
            <w:pPr>
              <w:jc w:val="center"/>
              <w:textAlignment w:val="center"/>
              <w:rPr>
                <w:rFonts w:ascii="华文仿宋" w:hAnsi="华文仿宋" w:eastAsia="华文仿宋" w:cs="华文仿宋"/>
                <w:color w:val="auto"/>
                <w:sz w:val="24"/>
              </w:rPr>
            </w:pPr>
            <w:r>
              <w:rPr>
                <w:rFonts w:hint="eastAsia" w:ascii="华文仿宋" w:hAnsi="华文仿宋" w:eastAsia="华文仿宋" w:cs="华文仿宋"/>
                <w:color w:val="auto"/>
                <w:kern w:val="0"/>
                <w:sz w:val="24"/>
                <w:lang w:bidi="ar"/>
              </w:rPr>
              <w:t>（包含假期）</w:t>
            </w:r>
          </w:p>
        </w:tc>
        <w:tc>
          <w:tcPr>
            <w:tcW w:w="3897" w:type="pct"/>
            <w:vAlign w:val="center"/>
          </w:tcPr>
          <w:p w14:paraId="6F4FA97F">
            <w:pPr>
              <w:textAlignment w:val="center"/>
              <w:rPr>
                <w:rFonts w:ascii="华文仿宋" w:hAnsi="华文仿宋" w:eastAsia="华文仿宋" w:cs="华文仿宋"/>
                <w:color w:val="auto"/>
                <w:sz w:val="24"/>
              </w:rPr>
            </w:pPr>
            <w:r>
              <w:rPr>
                <w:rFonts w:hint="eastAsia" w:ascii="华文仿宋" w:hAnsi="华文仿宋" w:eastAsia="华文仿宋" w:cs="华文仿宋"/>
                <w:color w:val="auto"/>
                <w:kern w:val="0"/>
                <w:sz w:val="24"/>
                <w:lang w:bidi="ar"/>
              </w:rPr>
              <w:t>各个厂商自行准备测评环境，根据测评方案准备测评案例，包括业务应用场景数据准备、数据加工、系统配置、系统功能全流程演示案例准备等。</w:t>
            </w:r>
          </w:p>
        </w:tc>
      </w:tr>
      <w:tr w14:paraId="3C82BE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91" w:hRule="atLeast"/>
        </w:trPr>
        <w:tc>
          <w:tcPr>
            <w:tcW w:w="1102" w:type="pct"/>
            <w:vAlign w:val="center"/>
          </w:tcPr>
          <w:p w14:paraId="235363F3">
            <w:pPr>
              <w:jc w:val="center"/>
              <w:textAlignment w:val="center"/>
              <w:rPr>
                <w:rFonts w:ascii="华文仿宋" w:hAnsi="华文仿宋" w:eastAsia="华文仿宋" w:cs="华文仿宋"/>
                <w:color w:val="000000"/>
                <w:kern w:val="0"/>
                <w:sz w:val="24"/>
                <w:lang w:bidi="ar"/>
              </w:rPr>
            </w:pPr>
            <w:r>
              <w:rPr>
                <w:rFonts w:hint="eastAsia" w:ascii="华文仿宋" w:hAnsi="华文仿宋" w:eastAsia="华文仿宋" w:cs="华文仿宋"/>
                <w:color w:val="000000"/>
                <w:kern w:val="0"/>
                <w:sz w:val="24"/>
                <w:lang w:bidi="ar"/>
              </w:rPr>
              <w:t>T+10日</w:t>
            </w:r>
          </w:p>
        </w:tc>
        <w:tc>
          <w:tcPr>
            <w:tcW w:w="3897" w:type="pct"/>
            <w:vAlign w:val="center"/>
          </w:tcPr>
          <w:p w14:paraId="26F4EA40">
            <w:pPr>
              <w:textAlignment w:val="center"/>
              <w:rPr>
                <w:rFonts w:ascii="华文仿宋" w:hAnsi="华文仿宋" w:eastAsia="华文仿宋" w:cs="华文仿宋"/>
                <w:color w:val="000000"/>
                <w:kern w:val="0"/>
                <w:sz w:val="24"/>
                <w:lang w:bidi="ar"/>
              </w:rPr>
            </w:pPr>
            <w:r>
              <w:rPr>
                <w:rFonts w:hint="eastAsia" w:ascii="华文仿宋" w:hAnsi="华文仿宋" w:eastAsia="华文仿宋" w:cs="华文仿宋"/>
                <w:color w:val="000000"/>
                <w:kern w:val="0"/>
                <w:sz w:val="24"/>
                <w:lang w:bidi="ar"/>
              </w:rPr>
              <w:t>所有参测厂商于T+10日下午16:00前提交POC测评报告及佐证材料。</w:t>
            </w:r>
          </w:p>
        </w:tc>
      </w:tr>
      <w:tr w14:paraId="41D8A8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91" w:hRule="atLeast"/>
        </w:trPr>
        <w:tc>
          <w:tcPr>
            <w:tcW w:w="1102" w:type="pct"/>
            <w:vAlign w:val="center"/>
          </w:tcPr>
          <w:p w14:paraId="77E12547">
            <w:pPr>
              <w:jc w:val="center"/>
              <w:textAlignment w:val="center"/>
              <w:rPr>
                <w:rFonts w:ascii="华文仿宋" w:hAnsi="华文仿宋" w:eastAsia="华文仿宋" w:cs="华文仿宋"/>
                <w:color w:val="000000"/>
                <w:kern w:val="0"/>
                <w:sz w:val="24"/>
                <w:lang w:bidi="ar"/>
              </w:rPr>
            </w:pPr>
            <w:r>
              <w:rPr>
                <w:rFonts w:hint="eastAsia" w:ascii="华文仿宋" w:hAnsi="华文仿宋" w:eastAsia="华文仿宋" w:cs="华文仿宋"/>
                <w:color w:val="000000"/>
                <w:kern w:val="0"/>
                <w:sz w:val="24"/>
                <w:lang w:bidi="ar"/>
              </w:rPr>
              <w:t>T+11日至T+15日</w:t>
            </w:r>
          </w:p>
        </w:tc>
        <w:tc>
          <w:tcPr>
            <w:tcW w:w="3897" w:type="pct"/>
            <w:vAlign w:val="center"/>
          </w:tcPr>
          <w:p w14:paraId="0C4CFA3E">
            <w:pPr>
              <w:textAlignment w:val="center"/>
              <w:rPr>
                <w:rFonts w:ascii="华文仿宋" w:hAnsi="华文仿宋" w:eastAsia="华文仿宋" w:cs="华文仿宋"/>
                <w:color w:val="000000"/>
                <w:kern w:val="0"/>
                <w:sz w:val="24"/>
                <w:lang w:bidi="ar"/>
              </w:rPr>
            </w:pPr>
            <w:r>
              <w:rPr>
                <w:rFonts w:hint="eastAsia" w:ascii="华文仿宋" w:hAnsi="华文仿宋" w:eastAsia="华文仿宋" w:cs="华文仿宋"/>
                <w:color w:val="000000"/>
                <w:kern w:val="0"/>
                <w:sz w:val="24"/>
                <w:lang w:bidi="ar"/>
              </w:rPr>
              <w:t>按厂商测评顺序进行测评，每家参测厂商2小时。</w:t>
            </w:r>
          </w:p>
        </w:tc>
      </w:tr>
      <w:tr w14:paraId="5191DD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91" w:hRule="atLeast"/>
        </w:trPr>
        <w:tc>
          <w:tcPr>
            <w:tcW w:w="1102" w:type="pct"/>
            <w:vAlign w:val="center"/>
          </w:tcPr>
          <w:p w14:paraId="602B581F">
            <w:pPr>
              <w:jc w:val="center"/>
              <w:textAlignment w:val="center"/>
              <w:rPr>
                <w:rFonts w:ascii="华文仿宋" w:hAnsi="华文仿宋" w:eastAsia="华文仿宋" w:cs="华文仿宋"/>
                <w:color w:val="000000"/>
                <w:kern w:val="0"/>
                <w:sz w:val="24"/>
                <w:lang w:bidi="ar"/>
              </w:rPr>
            </w:pPr>
            <w:r>
              <w:rPr>
                <w:rFonts w:hint="eastAsia" w:ascii="华文仿宋" w:hAnsi="华文仿宋" w:eastAsia="华文仿宋" w:cs="华文仿宋"/>
                <w:color w:val="000000"/>
                <w:kern w:val="0"/>
                <w:sz w:val="24"/>
                <w:lang w:bidi="ar"/>
              </w:rPr>
              <w:t>T+18日</w:t>
            </w:r>
          </w:p>
        </w:tc>
        <w:tc>
          <w:tcPr>
            <w:tcW w:w="3897" w:type="pct"/>
            <w:vAlign w:val="center"/>
          </w:tcPr>
          <w:p w14:paraId="27A4689F">
            <w:pPr>
              <w:textAlignment w:val="center"/>
              <w:rPr>
                <w:rFonts w:ascii="华文仿宋" w:hAnsi="华文仿宋" w:eastAsia="华文仿宋" w:cs="华文仿宋"/>
                <w:color w:val="000000"/>
                <w:kern w:val="0"/>
                <w:sz w:val="24"/>
                <w:lang w:bidi="ar"/>
              </w:rPr>
            </w:pPr>
            <w:r>
              <w:rPr>
                <w:rFonts w:hint="eastAsia" w:ascii="华文仿宋" w:hAnsi="华文仿宋" w:eastAsia="华文仿宋" w:cs="华文仿宋"/>
                <w:sz w:val="24"/>
              </w:rPr>
              <w:t>本行评测小组</w:t>
            </w:r>
            <w:r>
              <w:rPr>
                <w:rFonts w:hint="eastAsia" w:ascii="华文仿宋" w:hAnsi="华文仿宋" w:eastAsia="华文仿宋" w:cs="华文仿宋"/>
                <w:color w:val="000000"/>
                <w:kern w:val="0"/>
                <w:sz w:val="24"/>
                <w:lang w:bidi="ar"/>
              </w:rPr>
              <w:t>完成供应商POC测评报告</w:t>
            </w:r>
            <w:r>
              <w:rPr>
                <w:rFonts w:hint="eastAsia" w:ascii="仿宋" w:hAnsi="仿宋" w:eastAsia="仿宋" w:cs="仿宋"/>
                <w:sz w:val="24"/>
                <w:szCs w:val="32"/>
              </w:rPr>
              <w:t>整理</w:t>
            </w:r>
            <w:r>
              <w:rPr>
                <w:rFonts w:hint="eastAsia" w:ascii="华文仿宋" w:hAnsi="华文仿宋" w:eastAsia="华文仿宋" w:cs="华文仿宋"/>
                <w:color w:val="000000"/>
                <w:kern w:val="0"/>
                <w:sz w:val="24"/>
                <w:lang w:bidi="ar"/>
              </w:rPr>
              <w:t>。包括测评报告正文、供应商POC得分。</w:t>
            </w:r>
          </w:p>
        </w:tc>
      </w:tr>
      <w:bookmarkEnd w:id="37"/>
      <w:bookmarkEnd w:id="38"/>
    </w:tbl>
    <w:p w14:paraId="4A34C75E">
      <w:pPr>
        <w:pStyle w:val="2"/>
      </w:pPr>
      <w:bookmarkStart w:id="42" w:name="_Toc4301"/>
      <w:bookmarkStart w:id="43" w:name="_Toc12364"/>
      <w:bookmarkStart w:id="44" w:name="_Toc23316"/>
      <w:bookmarkStart w:id="45" w:name="_Toc418023753"/>
      <w:r>
        <w:rPr>
          <w:rFonts w:hint="eastAsia"/>
        </w:rPr>
        <w:t>评测案例</w:t>
      </w:r>
      <w:bookmarkEnd w:id="42"/>
      <w:bookmarkEnd w:id="43"/>
      <w:bookmarkEnd w:id="44"/>
    </w:p>
    <w:p w14:paraId="16CF5819">
      <w:pPr>
        <w:pStyle w:val="3"/>
        <w:rPr>
          <w:rFonts w:ascii="仿宋" w:hAnsi="仿宋" w:eastAsia="仿宋" w:cs="仿宋"/>
        </w:rPr>
      </w:pPr>
      <w:bookmarkStart w:id="46" w:name="_Toc5669"/>
      <w:bookmarkStart w:id="47" w:name="_Toc1515"/>
      <w:bookmarkStart w:id="48" w:name="_Toc1813"/>
      <w:r>
        <w:rPr>
          <w:rFonts w:hint="eastAsia" w:ascii="仿宋" w:hAnsi="仿宋" w:eastAsia="仿宋" w:cs="仿宋"/>
        </w:rPr>
        <w:t>业务方案评测</w:t>
      </w:r>
      <w:bookmarkEnd w:id="46"/>
      <w:bookmarkEnd w:id="47"/>
      <w:bookmarkEnd w:id="48"/>
    </w:p>
    <w:p w14:paraId="22BECD3A">
      <w:pPr>
        <w:pStyle w:val="4"/>
      </w:pPr>
      <w:bookmarkStart w:id="49" w:name="_Toc26478"/>
      <w:bookmarkStart w:id="50" w:name="_Toc9288"/>
      <w:bookmarkStart w:id="51" w:name="_Toc2245"/>
      <w:r>
        <w:rPr>
          <w:rFonts w:hint="eastAsia"/>
        </w:rPr>
        <w:t>客户数据整合与统一视图（360视图）</w:t>
      </w:r>
      <w:bookmarkEnd w:id="49"/>
      <w:bookmarkEnd w:id="50"/>
      <w:bookmarkEnd w:id="51"/>
    </w:p>
    <w:p w14:paraId="4263AEF4">
      <w:pPr>
        <w:pStyle w:val="16"/>
        <w:ind w:firstLine="560"/>
      </w:pPr>
      <w:r>
        <w:rPr>
          <w:rFonts w:hint="eastAsia"/>
        </w:rPr>
        <w:t>假设某一个人客户，持有我行所有的产品和开通相关业务功能（活期、定期、通知存款、自营理财、代理理财、资管信托、基金、保险、贷款产品；开通手机银行、微信小程序等；有积分），有固定的客户经理跟踪，每月有不同类型的触客行为（包括但不限于产品到期提醒，积分到期提醒，节日祝福、资产配置营销建议等）。</w:t>
      </w:r>
    </w:p>
    <w:p w14:paraId="0EEAA3C3">
      <w:pPr>
        <w:pStyle w:val="16"/>
        <w:ind w:firstLine="560"/>
      </w:pPr>
      <w:r>
        <w:t>（1）</w:t>
      </w:r>
      <w:r>
        <w:rPr>
          <w:rFonts w:hint="eastAsia"/>
        </w:rPr>
        <w:t>展示该客户的客户360视图，如何让管户人清晰全方位了解客户的各类信息，以便管户人更好的服务客户及挖掘客户需求；</w:t>
      </w:r>
    </w:p>
    <w:p w14:paraId="4D2C00E3">
      <w:pPr>
        <w:pStyle w:val="16"/>
        <w:ind w:firstLine="560"/>
      </w:pPr>
      <w:r>
        <w:t>（2）</w:t>
      </w:r>
      <w:r>
        <w:rPr>
          <w:rFonts w:hint="eastAsia"/>
        </w:rPr>
        <w:t>解说当行内产品发生变化，如新增、到期、撤销时，系统如何知悉，并启用何种机制，通过何种方式快速实现变化更新信息，保证数据的准确和及时，同时展示在各层级用户的界面。</w:t>
      </w:r>
    </w:p>
    <w:p w14:paraId="58E2C604">
      <w:pPr>
        <w:pStyle w:val="16"/>
        <w:ind w:firstLine="560"/>
      </w:pPr>
      <w:r>
        <w:rPr>
          <w:rFonts w:hint="eastAsia"/>
        </w:rPr>
        <w:t>关注要点：</w:t>
      </w:r>
    </w:p>
    <w:p w14:paraId="2E1E8F03">
      <w:pPr>
        <w:pStyle w:val="16"/>
        <w:ind w:firstLine="560"/>
      </w:pPr>
      <w:r>
        <w:rPr>
          <w:rFonts w:hint="eastAsia"/>
        </w:rPr>
        <w:t>（1）客户信息展示是否齐全、科学合理；</w:t>
      </w:r>
    </w:p>
    <w:p w14:paraId="4FB4B4AA">
      <w:pPr>
        <w:pStyle w:val="16"/>
        <w:ind w:firstLine="560"/>
      </w:pPr>
      <w:r>
        <w:t>（2）</w:t>
      </w:r>
      <w:r>
        <w:rPr>
          <w:rFonts w:hint="eastAsia"/>
        </w:rPr>
        <w:t>数据校验和更新机制是否完善。</w:t>
      </w:r>
    </w:p>
    <w:p w14:paraId="2D7C7567">
      <w:pPr>
        <w:pStyle w:val="4"/>
      </w:pPr>
      <w:bookmarkStart w:id="52" w:name="_Toc2175"/>
      <w:bookmarkStart w:id="53" w:name="_Toc15326"/>
      <w:bookmarkStart w:id="54" w:name="_Toc2168"/>
      <w:r>
        <w:rPr>
          <w:rFonts w:hint="eastAsia"/>
        </w:rPr>
        <w:t>客户细分与精准营销</w:t>
      </w:r>
      <w:bookmarkEnd w:id="52"/>
      <w:bookmarkEnd w:id="53"/>
      <w:bookmarkEnd w:id="54"/>
    </w:p>
    <w:p w14:paraId="3470C8A1">
      <w:pPr>
        <w:pStyle w:val="16"/>
        <w:ind w:firstLine="560"/>
        <w:rPr>
          <w:rFonts w:ascii="仿宋" w:hAnsi="仿宋" w:cs="仿宋"/>
          <w:szCs w:val="28"/>
        </w:rPr>
      </w:pPr>
      <w:r>
        <w:rPr>
          <w:rFonts w:hint="eastAsia" w:ascii="仿宋" w:hAnsi="仿宋" w:cs="仿宋"/>
          <w:szCs w:val="28"/>
        </w:rPr>
        <w:t>场景1：假设有固定时点的三个客群（基础客户（滚动季日均1千元及以上）、金卡客户（滚动季日均10万元及以上）、财私客户（滚动季日均100万元及 以上）），根据业务需要，在这三个客群中，增加筛选条件，筛选出具有代发标识，近半年累计代发金额大于2万、未持有理财，有手机银行的男性客户进行季度的重点营销。</w:t>
      </w:r>
    </w:p>
    <w:p w14:paraId="66B52B05">
      <w:pPr>
        <w:pStyle w:val="16"/>
        <w:ind w:firstLine="560"/>
        <w:rPr>
          <w:rFonts w:ascii="仿宋" w:hAnsi="仿宋" w:cs="仿宋"/>
          <w:szCs w:val="28"/>
        </w:rPr>
      </w:pPr>
      <w:r>
        <w:rPr>
          <w:rFonts w:hint="eastAsia" w:ascii="仿宋" w:hAnsi="仿宋" w:cs="仿宋"/>
          <w:szCs w:val="28"/>
        </w:rPr>
        <w:t>场景2：筛选银发客群（60岁及以上）且持有代理理财产品，其A</w:t>
      </w:r>
      <w:r>
        <w:rPr>
          <w:rFonts w:ascii="仿宋" w:hAnsi="仿宋" w:cs="仿宋"/>
          <w:szCs w:val="28"/>
        </w:rPr>
        <w:t>UM</w:t>
      </w:r>
      <w:r>
        <w:rPr>
          <w:rFonts w:hint="eastAsia" w:ascii="仿宋" w:hAnsi="仿宋" w:cs="仿宋"/>
          <w:szCs w:val="28"/>
        </w:rPr>
        <w:t>占比低于1</w:t>
      </w:r>
      <w:r>
        <w:rPr>
          <w:rFonts w:ascii="仿宋" w:hAnsi="仿宋" w:cs="仿宋"/>
          <w:szCs w:val="28"/>
        </w:rPr>
        <w:t>0%</w:t>
      </w:r>
      <w:r>
        <w:rPr>
          <w:rFonts w:hint="eastAsia" w:ascii="仿宋" w:hAnsi="仿宋" w:cs="仿宋"/>
          <w:szCs w:val="28"/>
        </w:rPr>
        <w:t>等组合的客户群体，主动营销新代理理财产品。</w:t>
      </w:r>
    </w:p>
    <w:p w14:paraId="39BE774C">
      <w:pPr>
        <w:pStyle w:val="16"/>
        <w:ind w:firstLine="560"/>
        <w:rPr>
          <w:rFonts w:ascii="仿宋" w:hAnsi="仿宋" w:cs="仿宋"/>
          <w:szCs w:val="28"/>
        </w:rPr>
      </w:pPr>
      <w:r>
        <w:rPr>
          <w:rFonts w:hint="eastAsia" w:ascii="仿宋" w:hAnsi="仿宋" w:cs="仿宋"/>
          <w:szCs w:val="28"/>
        </w:rPr>
        <w:t>（1）系统中展示筛选过程，名单如何产生；</w:t>
      </w:r>
    </w:p>
    <w:p w14:paraId="3E02B089">
      <w:pPr>
        <w:pStyle w:val="16"/>
        <w:ind w:firstLine="560"/>
        <w:rPr>
          <w:rFonts w:ascii="仿宋" w:hAnsi="仿宋" w:cs="仿宋"/>
          <w:szCs w:val="28"/>
        </w:rPr>
      </w:pPr>
      <w:r>
        <w:rPr>
          <w:rFonts w:hint="eastAsia" w:ascii="仿宋" w:hAnsi="仿宋" w:cs="仿宋"/>
          <w:szCs w:val="28"/>
        </w:rPr>
        <w:t>（2）产生后的营销名单如何在系统中进行任务分配（分配到分支行管户人）；</w:t>
      </w:r>
    </w:p>
    <w:p w14:paraId="512AE2C1">
      <w:pPr>
        <w:pStyle w:val="16"/>
        <w:ind w:firstLine="560"/>
        <w:rPr>
          <w:rFonts w:ascii="仿宋" w:hAnsi="仿宋" w:cs="仿宋"/>
          <w:szCs w:val="28"/>
        </w:rPr>
      </w:pPr>
      <w:r>
        <w:rPr>
          <w:rFonts w:hint="eastAsia" w:ascii="仿宋" w:hAnsi="仿宋" w:cs="仿宋"/>
          <w:szCs w:val="28"/>
        </w:rPr>
        <w:t>（3）总行、分行、支行各层级用户可视情况；</w:t>
      </w:r>
    </w:p>
    <w:p w14:paraId="2A12084E">
      <w:pPr>
        <w:pStyle w:val="16"/>
        <w:ind w:firstLine="560"/>
        <w:rPr>
          <w:rFonts w:ascii="仿宋" w:hAnsi="仿宋" w:cs="仿宋"/>
          <w:szCs w:val="28"/>
        </w:rPr>
      </w:pPr>
      <w:r>
        <w:rPr>
          <w:rFonts w:hint="eastAsia" w:ascii="仿宋" w:hAnsi="仿宋" w:cs="仿宋"/>
          <w:szCs w:val="28"/>
        </w:rPr>
        <w:t>（4）管户人如何查看被分配的客群任务，如何执行相应的营销动作，系统如何提醒和记录；</w:t>
      </w:r>
    </w:p>
    <w:p w14:paraId="6AB16AC6">
      <w:pPr>
        <w:pStyle w:val="16"/>
        <w:ind w:firstLine="560"/>
        <w:rPr>
          <w:rFonts w:ascii="仿宋" w:hAnsi="仿宋" w:cs="仿宋"/>
          <w:szCs w:val="28"/>
        </w:rPr>
      </w:pPr>
      <w:r>
        <w:rPr>
          <w:rFonts w:hint="eastAsia" w:ascii="仿宋" w:hAnsi="仿宋" w:cs="仿宋"/>
          <w:szCs w:val="28"/>
        </w:rPr>
        <w:t>（5）展示每日系统监控跟踪、维护渠道查看，效果评估的案例要求；</w:t>
      </w:r>
    </w:p>
    <w:p w14:paraId="6D3A1C98">
      <w:pPr>
        <w:pStyle w:val="16"/>
        <w:ind w:firstLine="560"/>
        <w:rPr>
          <w:rFonts w:ascii="仿宋" w:hAnsi="仿宋" w:cs="仿宋"/>
          <w:szCs w:val="28"/>
        </w:rPr>
      </w:pPr>
      <w:r>
        <w:rPr>
          <w:rFonts w:hint="eastAsia" w:ascii="仿宋" w:hAnsi="仿宋" w:cs="仿宋"/>
          <w:szCs w:val="28"/>
        </w:rPr>
        <w:t>（6）业务管理人员过程如何追踪该锁定客群的资产变化，管户人的触客次数，透视营销内容，检验成效等。活动结束后，如何对筛选名单进行处理。</w:t>
      </w:r>
    </w:p>
    <w:p w14:paraId="3504200B">
      <w:pPr>
        <w:pStyle w:val="16"/>
        <w:ind w:firstLine="560"/>
        <w:rPr>
          <w:rFonts w:ascii="仿宋" w:hAnsi="仿宋" w:cs="仿宋"/>
          <w:szCs w:val="28"/>
        </w:rPr>
      </w:pPr>
      <w:r>
        <w:rPr>
          <w:rFonts w:hint="eastAsia" w:ascii="仿宋" w:hAnsi="仿宋" w:cs="仿宋"/>
          <w:szCs w:val="28"/>
        </w:rPr>
        <w:t>关注要点：</w:t>
      </w:r>
    </w:p>
    <w:p w14:paraId="31EE45A9">
      <w:pPr>
        <w:pStyle w:val="16"/>
        <w:ind w:firstLine="560"/>
        <w:rPr>
          <w:rFonts w:ascii="仿宋" w:hAnsi="仿宋" w:cs="仿宋"/>
          <w:szCs w:val="28"/>
        </w:rPr>
      </w:pPr>
      <w:r>
        <w:rPr>
          <w:rFonts w:hint="eastAsia" w:ascii="仿宋" w:hAnsi="仿宋" w:cs="仿宋"/>
          <w:szCs w:val="28"/>
        </w:rPr>
        <w:t>（1）筛选功能完善，满足多种场景组合，操作性强，准确性高；</w:t>
      </w:r>
    </w:p>
    <w:p w14:paraId="342B2AFE">
      <w:pPr>
        <w:pStyle w:val="16"/>
        <w:ind w:firstLine="560"/>
        <w:rPr>
          <w:rFonts w:ascii="仿宋" w:hAnsi="仿宋" w:cs="仿宋"/>
          <w:szCs w:val="28"/>
        </w:rPr>
      </w:pPr>
      <w:r>
        <w:rPr>
          <w:rFonts w:hint="eastAsia" w:ascii="仿宋" w:hAnsi="仿宋" w:cs="仿宋"/>
          <w:szCs w:val="28"/>
        </w:rPr>
        <w:t>（2）对筛选出的名单分配操作合适简便；</w:t>
      </w:r>
    </w:p>
    <w:p w14:paraId="31C31271">
      <w:pPr>
        <w:pStyle w:val="16"/>
        <w:ind w:firstLine="560"/>
        <w:rPr>
          <w:rFonts w:ascii="仿宋" w:hAnsi="仿宋" w:cs="仿宋"/>
          <w:szCs w:val="28"/>
        </w:rPr>
      </w:pPr>
      <w:r>
        <w:rPr>
          <w:rFonts w:hint="eastAsia" w:ascii="仿宋" w:hAnsi="仿宋" w:cs="仿宋"/>
          <w:szCs w:val="28"/>
        </w:rPr>
        <w:t>（3）对筛选出的名单跟踪成长情况是否满足业务使用所需。</w:t>
      </w:r>
    </w:p>
    <w:p w14:paraId="304A9B37">
      <w:pPr>
        <w:pStyle w:val="4"/>
      </w:pPr>
      <w:bookmarkStart w:id="55" w:name="_Toc1856"/>
      <w:bookmarkStart w:id="56" w:name="_Toc2265"/>
      <w:bookmarkStart w:id="57" w:name="_Toc20846"/>
      <w:r>
        <w:rPr>
          <w:rFonts w:hint="eastAsia"/>
        </w:rPr>
        <w:t>客户生命周期管理</w:t>
      </w:r>
      <w:bookmarkEnd w:id="55"/>
      <w:bookmarkEnd w:id="56"/>
      <w:bookmarkEnd w:id="57"/>
    </w:p>
    <w:p w14:paraId="4D335EB8">
      <w:pPr>
        <w:pStyle w:val="16"/>
        <w:ind w:firstLine="560"/>
        <w:rPr>
          <w:rFonts w:ascii="仿宋" w:hAnsi="仿宋" w:cs="仿宋"/>
          <w:szCs w:val="28"/>
        </w:rPr>
      </w:pPr>
      <w:r>
        <w:rPr>
          <w:rFonts w:hint="eastAsia" w:ascii="仿宋" w:hAnsi="仿宋" w:cs="仿宋"/>
          <w:szCs w:val="28"/>
        </w:rPr>
        <w:t>假设有这三类客户，新客户（以客户号生成日判断）、活跃客户（近1个月进出流失金额大于10万）、流失客户（上月是基础客户/金卡客户/财私客户，目前不是该层级客户）。</w:t>
      </w:r>
    </w:p>
    <w:p w14:paraId="0FF7B355">
      <w:pPr>
        <w:pStyle w:val="16"/>
        <w:ind w:firstLine="560"/>
        <w:rPr>
          <w:rFonts w:ascii="仿宋" w:hAnsi="仿宋" w:cs="仿宋"/>
          <w:szCs w:val="28"/>
        </w:rPr>
      </w:pPr>
      <w:r>
        <w:rPr>
          <w:rFonts w:hint="eastAsia" w:ascii="仿宋" w:hAnsi="仿宋" w:cs="仿宋"/>
          <w:szCs w:val="28"/>
        </w:rPr>
        <w:t>（1）系统如何对这三类客户进行识别标注（能否自定义配置），并形成对应的商机对管户人进行提醒；</w:t>
      </w:r>
    </w:p>
    <w:p w14:paraId="7362C426">
      <w:pPr>
        <w:pStyle w:val="16"/>
        <w:ind w:firstLine="560"/>
        <w:rPr>
          <w:rFonts w:ascii="仿宋" w:hAnsi="仿宋" w:cs="仿宋"/>
          <w:szCs w:val="28"/>
        </w:rPr>
      </w:pPr>
      <w:r>
        <w:rPr>
          <w:rFonts w:hint="eastAsia" w:ascii="仿宋" w:hAnsi="仿宋" w:cs="仿宋"/>
          <w:szCs w:val="28"/>
        </w:rPr>
        <w:t>（2）管户人如何对目标客户进行商机提醒的触客落实行为，管理者如何查看管户人执行情况；</w:t>
      </w:r>
    </w:p>
    <w:p w14:paraId="687D6848">
      <w:pPr>
        <w:pStyle w:val="16"/>
        <w:ind w:firstLine="560"/>
        <w:rPr>
          <w:rFonts w:ascii="仿宋" w:hAnsi="仿宋" w:cs="仿宋"/>
          <w:szCs w:val="28"/>
        </w:rPr>
      </w:pPr>
      <w:r>
        <w:rPr>
          <w:rFonts w:hint="eastAsia" w:ascii="仿宋" w:hAnsi="仿宋" w:cs="仿宋"/>
          <w:szCs w:val="28"/>
        </w:rPr>
        <w:t>（3）客户资产提升后，如何查看客户层级的跃迁，各层级用户可视数据情况。</w:t>
      </w:r>
    </w:p>
    <w:p w14:paraId="22AE2D19">
      <w:pPr>
        <w:pStyle w:val="16"/>
        <w:ind w:firstLine="560"/>
        <w:rPr>
          <w:rFonts w:ascii="仿宋" w:hAnsi="仿宋" w:cs="仿宋"/>
          <w:szCs w:val="28"/>
        </w:rPr>
      </w:pPr>
      <w:r>
        <w:rPr>
          <w:rFonts w:hint="eastAsia" w:ascii="仿宋" w:hAnsi="仿宋" w:cs="仿宋"/>
          <w:szCs w:val="28"/>
        </w:rPr>
        <w:t>关注要点：</w:t>
      </w:r>
    </w:p>
    <w:p w14:paraId="4101B4C3">
      <w:pPr>
        <w:pStyle w:val="16"/>
        <w:ind w:firstLine="560"/>
        <w:rPr>
          <w:rFonts w:ascii="仿宋" w:hAnsi="仿宋" w:cs="仿宋"/>
          <w:szCs w:val="28"/>
        </w:rPr>
      </w:pPr>
      <w:r>
        <w:rPr>
          <w:rFonts w:hint="eastAsia" w:ascii="仿宋" w:hAnsi="仿宋" w:cs="仿宋"/>
          <w:szCs w:val="28"/>
        </w:rPr>
        <w:t>系统清晰标注识别不同类别客户（支持配置），形成商机提醒，管户人简便执行响应，并形成对应的响应记录进行追踪。</w:t>
      </w:r>
    </w:p>
    <w:p w14:paraId="29D3292E">
      <w:pPr>
        <w:pStyle w:val="4"/>
      </w:pPr>
      <w:bookmarkStart w:id="58" w:name="_Toc11472"/>
      <w:bookmarkStart w:id="59" w:name="_Toc15216"/>
      <w:bookmarkStart w:id="60" w:name="_Toc6530"/>
      <w:r>
        <w:rPr>
          <w:rFonts w:hint="eastAsia"/>
        </w:rPr>
        <w:t>多渠道客户互动</w:t>
      </w:r>
      <w:bookmarkEnd w:id="58"/>
      <w:bookmarkEnd w:id="59"/>
      <w:bookmarkEnd w:id="60"/>
    </w:p>
    <w:p w14:paraId="0F516161">
      <w:pPr>
        <w:pStyle w:val="16"/>
        <w:ind w:firstLine="560"/>
        <w:rPr>
          <w:rFonts w:ascii="仿宋" w:hAnsi="仿宋" w:cs="仿宋"/>
          <w:szCs w:val="28"/>
        </w:rPr>
      </w:pPr>
      <w:r>
        <w:rPr>
          <w:rFonts w:hint="eastAsia" w:ascii="仿宋" w:hAnsi="仿宋" w:cs="仿宋"/>
          <w:szCs w:val="28"/>
        </w:rPr>
        <w:t>多渠道数据交互，获悉客户在各渠道（网银、手机银行、微信小程序、积分等）的互动数据，洞察了解客户的行为。</w:t>
      </w:r>
    </w:p>
    <w:p w14:paraId="560956BF">
      <w:pPr>
        <w:pStyle w:val="16"/>
        <w:ind w:firstLine="560"/>
        <w:rPr>
          <w:rFonts w:ascii="仿宋" w:hAnsi="仿宋" w:cs="仿宋"/>
          <w:szCs w:val="28"/>
        </w:rPr>
      </w:pPr>
      <w:r>
        <w:rPr>
          <w:rFonts w:hint="eastAsia" w:ascii="仿宋" w:hAnsi="仿宋" w:cs="仿宋"/>
          <w:szCs w:val="28"/>
        </w:rPr>
        <w:t>（1）展示多渠道互动功能；</w:t>
      </w:r>
    </w:p>
    <w:p w14:paraId="7E0342BB">
      <w:pPr>
        <w:pStyle w:val="16"/>
        <w:ind w:firstLine="560"/>
        <w:rPr>
          <w:rFonts w:ascii="仿宋" w:hAnsi="仿宋" w:cs="仿宋"/>
          <w:szCs w:val="28"/>
        </w:rPr>
      </w:pPr>
      <w:r>
        <w:rPr>
          <w:rFonts w:hint="eastAsia" w:ascii="仿宋" w:hAnsi="仿宋" w:cs="仿宋"/>
          <w:szCs w:val="28"/>
        </w:rPr>
        <w:t>（2）客户积分使用情况、到期信息如何提醒用户。</w:t>
      </w:r>
    </w:p>
    <w:p w14:paraId="05617A75">
      <w:pPr>
        <w:pStyle w:val="16"/>
        <w:ind w:firstLine="560"/>
        <w:rPr>
          <w:rFonts w:ascii="仿宋" w:hAnsi="仿宋" w:cs="仿宋"/>
          <w:szCs w:val="28"/>
        </w:rPr>
      </w:pPr>
      <w:r>
        <w:rPr>
          <w:rFonts w:hint="eastAsia" w:ascii="仿宋" w:hAnsi="仿宋" w:cs="仿宋"/>
          <w:szCs w:val="28"/>
        </w:rPr>
        <w:t>关注要点：</w:t>
      </w:r>
    </w:p>
    <w:p w14:paraId="691E3E26">
      <w:pPr>
        <w:pStyle w:val="16"/>
        <w:ind w:firstLine="560"/>
        <w:rPr>
          <w:rFonts w:ascii="仿宋" w:hAnsi="仿宋" w:cs="仿宋"/>
          <w:szCs w:val="28"/>
        </w:rPr>
      </w:pPr>
      <w:r>
        <w:rPr>
          <w:rFonts w:hint="eastAsia" w:ascii="仿宋" w:hAnsi="仿宋" w:cs="仿宋"/>
          <w:szCs w:val="28"/>
        </w:rPr>
        <w:t>系统支持多渠道互动，保持一致性，能够辅助提供洞察客户行为。</w:t>
      </w:r>
    </w:p>
    <w:p w14:paraId="680C1C88">
      <w:pPr>
        <w:pStyle w:val="4"/>
      </w:pPr>
      <w:bookmarkStart w:id="61" w:name="_Toc10906"/>
      <w:bookmarkStart w:id="62" w:name="_Toc4975"/>
      <w:bookmarkStart w:id="63" w:name="_Toc16749"/>
      <w:r>
        <w:rPr>
          <w:rFonts w:hint="eastAsia"/>
        </w:rPr>
        <w:t>商机整合与提醒</w:t>
      </w:r>
      <w:bookmarkEnd w:id="61"/>
      <w:bookmarkEnd w:id="62"/>
      <w:bookmarkEnd w:id="63"/>
    </w:p>
    <w:p w14:paraId="550C8F36">
      <w:pPr>
        <w:pStyle w:val="16"/>
        <w:ind w:firstLine="560"/>
        <w:rPr>
          <w:rFonts w:ascii="仿宋" w:hAnsi="仿宋" w:cs="仿宋"/>
          <w:szCs w:val="28"/>
        </w:rPr>
      </w:pPr>
      <w:r>
        <w:rPr>
          <w:rFonts w:hint="eastAsia" w:ascii="仿宋" w:hAnsi="仿宋" w:cs="仿宋"/>
          <w:szCs w:val="28"/>
        </w:rPr>
        <w:t>商机如可按产品商机归类及行为商机归类等，精准灵活配置，实现商机的良好把控，助力客户维护及营销开拓。</w:t>
      </w:r>
    </w:p>
    <w:p w14:paraId="213FCCDC">
      <w:pPr>
        <w:pStyle w:val="16"/>
        <w:ind w:firstLine="560"/>
        <w:rPr>
          <w:rFonts w:ascii="仿宋" w:hAnsi="仿宋" w:cs="仿宋"/>
          <w:szCs w:val="28"/>
        </w:rPr>
      </w:pPr>
      <w:r>
        <w:rPr>
          <w:rFonts w:hint="eastAsia" w:ascii="仿宋" w:hAnsi="仿宋" w:cs="仿宋"/>
          <w:szCs w:val="28"/>
        </w:rPr>
        <w:t>（1）展示商机的归类及分布情况；</w:t>
      </w:r>
    </w:p>
    <w:p w14:paraId="4435B6EA">
      <w:pPr>
        <w:pStyle w:val="16"/>
        <w:ind w:firstLine="560"/>
        <w:rPr>
          <w:rFonts w:ascii="仿宋" w:hAnsi="仿宋" w:cs="仿宋"/>
          <w:szCs w:val="28"/>
        </w:rPr>
      </w:pPr>
      <w:r>
        <w:rPr>
          <w:rFonts w:hint="eastAsia" w:ascii="仿宋" w:hAnsi="仿宋" w:cs="仿宋"/>
          <w:szCs w:val="28"/>
        </w:rPr>
        <w:t>（2）展示商机在系统中如何触发提醒用户（如产品到期，积分到期、客户预流失、客户预提升），用户如何执行，系统如何记录执行情况；</w:t>
      </w:r>
    </w:p>
    <w:p w14:paraId="55431767">
      <w:pPr>
        <w:pStyle w:val="16"/>
        <w:ind w:firstLine="560"/>
        <w:rPr>
          <w:rFonts w:ascii="仿宋" w:hAnsi="仿宋" w:cs="仿宋"/>
          <w:szCs w:val="28"/>
        </w:rPr>
      </w:pPr>
      <w:r>
        <w:rPr>
          <w:rFonts w:hint="eastAsia" w:ascii="仿宋" w:hAnsi="仿宋" w:cs="仿宋"/>
          <w:szCs w:val="28"/>
        </w:rPr>
        <w:t>（3）展示如何对商机的归类进行自定义配置，满足业务管理所需。</w:t>
      </w:r>
    </w:p>
    <w:p w14:paraId="47DED1F4">
      <w:pPr>
        <w:pStyle w:val="16"/>
        <w:ind w:firstLine="560"/>
        <w:rPr>
          <w:rFonts w:ascii="仿宋" w:hAnsi="仿宋" w:cs="仿宋"/>
          <w:szCs w:val="28"/>
        </w:rPr>
      </w:pPr>
      <w:r>
        <w:rPr>
          <w:rFonts w:hint="eastAsia" w:ascii="仿宋" w:hAnsi="仿宋" w:cs="仿宋"/>
          <w:szCs w:val="28"/>
        </w:rPr>
        <w:t>关注要点：</w:t>
      </w:r>
    </w:p>
    <w:p w14:paraId="4748C245">
      <w:pPr>
        <w:pStyle w:val="16"/>
        <w:ind w:firstLine="560"/>
        <w:rPr>
          <w:rFonts w:ascii="仿宋" w:hAnsi="仿宋" w:cs="仿宋"/>
          <w:szCs w:val="28"/>
        </w:rPr>
      </w:pPr>
      <w:r>
        <w:rPr>
          <w:rFonts w:hint="eastAsia" w:ascii="仿宋" w:hAnsi="仿宋" w:cs="仿宋"/>
          <w:szCs w:val="28"/>
        </w:rPr>
        <w:t>（1）归类科学合适，分布合理；</w:t>
      </w:r>
    </w:p>
    <w:p w14:paraId="1E476A8B">
      <w:pPr>
        <w:pStyle w:val="16"/>
        <w:ind w:firstLine="560"/>
        <w:rPr>
          <w:rFonts w:ascii="仿宋" w:hAnsi="仿宋" w:cs="仿宋"/>
          <w:szCs w:val="28"/>
        </w:rPr>
      </w:pPr>
      <w:r>
        <w:rPr>
          <w:rFonts w:hint="eastAsia" w:ascii="仿宋" w:hAnsi="仿宋" w:cs="仿宋"/>
          <w:szCs w:val="28"/>
        </w:rPr>
        <w:t>（2）商机提醒合理，执行便捷，机制配置灵活性强。</w:t>
      </w:r>
    </w:p>
    <w:p w14:paraId="2867AF38">
      <w:pPr>
        <w:pStyle w:val="4"/>
      </w:pPr>
      <w:bookmarkStart w:id="64" w:name="_Toc23571"/>
      <w:bookmarkStart w:id="65" w:name="_Toc14825"/>
      <w:bookmarkStart w:id="66" w:name="_Toc10556"/>
      <w:r>
        <w:rPr>
          <w:rFonts w:hint="eastAsia"/>
        </w:rPr>
        <w:t>客户服务及触客活动量情况</w:t>
      </w:r>
      <w:bookmarkEnd w:id="64"/>
      <w:bookmarkEnd w:id="65"/>
      <w:bookmarkEnd w:id="66"/>
    </w:p>
    <w:p w14:paraId="092DF033">
      <w:pPr>
        <w:pStyle w:val="16"/>
        <w:ind w:firstLine="560"/>
        <w:rPr>
          <w:rFonts w:ascii="仿宋" w:hAnsi="仿宋" w:cs="仿宋"/>
          <w:szCs w:val="28"/>
        </w:rPr>
      </w:pPr>
      <w:r>
        <w:rPr>
          <w:rFonts w:hint="eastAsia" w:ascii="仿宋" w:hAnsi="仿宋" w:cs="仿宋"/>
          <w:szCs w:val="28"/>
        </w:rPr>
        <w:t>银行对于客户的服务及一线用户触客活动量情况跟进较为重要，要及时了解客户的历史服务情况，用户各类活动量产生情况，能直观展示阶段性的用户触客活动量情况。</w:t>
      </w:r>
    </w:p>
    <w:p w14:paraId="72F94B35">
      <w:pPr>
        <w:pStyle w:val="16"/>
        <w:ind w:firstLine="560"/>
        <w:rPr>
          <w:rFonts w:ascii="仿宋" w:hAnsi="仿宋" w:cs="仿宋"/>
          <w:szCs w:val="28"/>
        </w:rPr>
      </w:pPr>
      <w:r>
        <w:rPr>
          <w:rFonts w:ascii="仿宋" w:hAnsi="仿宋" w:cs="仿宋"/>
          <w:szCs w:val="28"/>
        </w:rPr>
        <w:t>（1）</w:t>
      </w:r>
      <w:r>
        <w:rPr>
          <w:rFonts w:hint="eastAsia" w:ascii="仿宋" w:hAnsi="仿宋" w:cs="仿宋"/>
          <w:szCs w:val="28"/>
        </w:rPr>
        <w:t>展示全量及细分的各类客户服务及触客活动记录；</w:t>
      </w:r>
    </w:p>
    <w:p w14:paraId="2EDECD67">
      <w:pPr>
        <w:pStyle w:val="16"/>
        <w:ind w:firstLine="560"/>
        <w:rPr>
          <w:rFonts w:ascii="仿宋" w:hAnsi="仿宋" w:cs="仿宋"/>
          <w:szCs w:val="28"/>
        </w:rPr>
      </w:pPr>
      <w:r>
        <w:rPr>
          <w:rFonts w:ascii="仿宋" w:hAnsi="仿宋" w:cs="仿宋"/>
          <w:szCs w:val="28"/>
        </w:rPr>
        <w:t>（2）</w:t>
      </w:r>
      <w:r>
        <w:rPr>
          <w:rFonts w:hint="eastAsia" w:ascii="仿宋" w:hAnsi="仿宋" w:cs="仿宋"/>
          <w:szCs w:val="28"/>
        </w:rPr>
        <w:t>对活动量情况进行简单的汇总分析展示（解说是否支持自定义配置，或如何实现更灵活的统计分析，与业务增长如何相关等。）</w:t>
      </w:r>
    </w:p>
    <w:p w14:paraId="7AA4988C">
      <w:pPr>
        <w:pStyle w:val="16"/>
        <w:ind w:firstLine="560"/>
        <w:rPr>
          <w:rFonts w:ascii="仿宋" w:hAnsi="仿宋" w:cs="仿宋"/>
          <w:szCs w:val="28"/>
        </w:rPr>
      </w:pPr>
      <w:r>
        <w:rPr>
          <w:rFonts w:ascii="仿宋" w:hAnsi="仿宋" w:cs="仿宋"/>
          <w:szCs w:val="28"/>
        </w:rPr>
        <w:t>（3）</w:t>
      </w:r>
      <w:r>
        <w:rPr>
          <w:rFonts w:hint="eastAsia" w:ascii="仿宋" w:hAnsi="仿宋" w:cs="仿宋"/>
          <w:szCs w:val="28"/>
        </w:rPr>
        <w:t>触客情况及客户规模及产能变化情况</w:t>
      </w:r>
    </w:p>
    <w:p w14:paraId="15762387">
      <w:pPr>
        <w:pStyle w:val="16"/>
        <w:ind w:firstLine="560"/>
        <w:rPr>
          <w:rFonts w:ascii="仿宋" w:hAnsi="仿宋" w:cs="仿宋"/>
          <w:szCs w:val="28"/>
        </w:rPr>
      </w:pPr>
      <w:r>
        <w:rPr>
          <w:rFonts w:hint="eastAsia" w:ascii="仿宋" w:hAnsi="仿宋" w:cs="仿宋"/>
          <w:szCs w:val="28"/>
        </w:rPr>
        <w:t>关注要点：</w:t>
      </w:r>
    </w:p>
    <w:p w14:paraId="5002A08C">
      <w:pPr>
        <w:pStyle w:val="16"/>
        <w:ind w:firstLine="560"/>
        <w:rPr>
          <w:rFonts w:ascii="仿宋" w:hAnsi="仿宋" w:cs="仿宋"/>
          <w:szCs w:val="28"/>
        </w:rPr>
      </w:pPr>
      <w:r>
        <w:rPr>
          <w:rFonts w:hint="eastAsia" w:ascii="仿宋" w:hAnsi="仿宋" w:cs="仿宋"/>
          <w:szCs w:val="28"/>
        </w:rPr>
        <w:t>（1）科学归类客户服务与触客活动量记录。</w:t>
      </w:r>
    </w:p>
    <w:p w14:paraId="52D614F8">
      <w:pPr>
        <w:pStyle w:val="16"/>
        <w:ind w:firstLine="560"/>
        <w:rPr>
          <w:rFonts w:ascii="仿宋" w:hAnsi="仿宋" w:cs="仿宋"/>
          <w:szCs w:val="28"/>
        </w:rPr>
      </w:pPr>
      <w:r>
        <w:rPr>
          <w:rFonts w:hint="eastAsia" w:ascii="仿宋" w:hAnsi="仿宋" w:cs="仿宋"/>
          <w:szCs w:val="28"/>
        </w:rPr>
        <w:t>（2）能够支持对活动量记录的统计分析。</w:t>
      </w:r>
    </w:p>
    <w:p w14:paraId="60079450">
      <w:pPr>
        <w:pStyle w:val="16"/>
        <w:ind w:firstLine="560"/>
        <w:rPr>
          <w:rFonts w:ascii="仿宋" w:hAnsi="仿宋" w:cs="仿宋"/>
          <w:szCs w:val="28"/>
        </w:rPr>
      </w:pPr>
      <w:r>
        <w:rPr>
          <w:rFonts w:hint="eastAsia" w:ascii="仿宋" w:hAnsi="仿宋" w:cs="仿宋"/>
          <w:szCs w:val="28"/>
        </w:rPr>
        <w:t>（3）能与业务增长联合分析活动量的影响情况。</w:t>
      </w:r>
    </w:p>
    <w:p w14:paraId="386C30F5">
      <w:pPr>
        <w:pStyle w:val="4"/>
      </w:pPr>
      <w:bookmarkStart w:id="67" w:name="_Toc6194"/>
      <w:bookmarkStart w:id="68" w:name="_Toc17904"/>
      <w:bookmarkStart w:id="69" w:name="_Toc15107"/>
      <w:r>
        <w:rPr>
          <w:rFonts w:hint="eastAsia"/>
        </w:rPr>
        <w:t>管户分配与交接</w:t>
      </w:r>
      <w:bookmarkEnd w:id="67"/>
      <w:bookmarkEnd w:id="68"/>
      <w:bookmarkEnd w:id="69"/>
    </w:p>
    <w:p w14:paraId="47CDE84D">
      <w:pPr>
        <w:pStyle w:val="16"/>
        <w:ind w:firstLine="560"/>
        <w:rPr>
          <w:rFonts w:ascii="仿宋" w:hAnsi="仿宋" w:cs="仿宋"/>
          <w:szCs w:val="28"/>
        </w:rPr>
      </w:pPr>
      <w:r>
        <w:rPr>
          <w:rFonts w:hint="eastAsia" w:ascii="仿宋" w:hAnsi="仿宋" w:cs="仿宋"/>
          <w:szCs w:val="28"/>
        </w:rPr>
        <w:t>依据业务管理规则，对客户进行管户分配与交接工作，形式包括但不限于单一分配，批量分配，批量交接等。过程可以支持配置，对某些人或者机构限制其分配某类客户关系等操作。</w:t>
      </w:r>
    </w:p>
    <w:p w14:paraId="786A97CC">
      <w:pPr>
        <w:pStyle w:val="16"/>
        <w:ind w:firstLine="560"/>
        <w:rPr>
          <w:rFonts w:ascii="仿宋" w:hAnsi="仿宋" w:cs="仿宋"/>
          <w:szCs w:val="28"/>
        </w:rPr>
      </w:pPr>
      <w:r>
        <w:rPr>
          <w:rFonts w:ascii="仿宋" w:hAnsi="仿宋" w:cs="仿宋"/>
          <w:szCs w:val="28"/>
        </w:rPr>
        <w:t>（1）</w:t>
      </w:r>
      <w:r>
        <w:rPr>
          <w:rFonts w:hint="eastAsia" w:ascii="仿宋" w:hAnsi="仿宋" w:cs="仿宋"/>
          <w:szCs w:val="28"/>
        </w:rPr>
        <w:t>展示系统对客户的分配操作；</w:t>
      </w:r>
    </w:p>
    <w:p w14:paraId="3A38A398">
      <w:pPr>
        <w:pStyle w:val="16"/>
        <w:ind w:firstLine="560"/>
        <w:rPr>
          <w:rFonts w:ascii="仿宋" w:hAnsi="仿宋" w:cs="仿宋"/>
          <w:szCs w:val="28"/>
        </w:rPr>
      </w:pPr>
      <w:r>
        <w:rPr>
          <w:rFonts w:hint="eastAsia" w:ascii="仿宋" w:hAnsi="仿宋" w:cs="仿宋"/>
          <w:szCs w:val="28"/>
        </w:rPr>
        <w:t>（2）展示控制限制无法分配的形式，是否支持参数调整。</w:t>
      </w:r>
    </w:p>
    <w:p w14:paraId="0FC90024">
      <w:pPr>
        <w:pStyle w:val="16"/>
        <w:ind w:firstLine="560"/>
        <w:rPr>
          <w:rFonts w:ascii="仿宋" w:hAnsi="仿宋" w:cs="仿宋"/>
          <w:szCs w:val="28"/>
        </w:rPr>
      </w:pPr>
      <w:r>
        <w:rPr>
          <w:rFonts w:hint="eastAsia" w:ascii="仿宋" w:hAnsi="仿宋" w:cs="仿宋"/>
          <w:szCs w:val="28"/>
        </w:rPr>
        <w:t>关注要点：</w:t>
      </w:r>
    </w:p>
    <w:p w14:paraId="5D2F26A8">
      <w:pPr>
        <w:pStyle w:val="16"/>
        <w:ind w:firstLine="560"/>
        <w:rPr>
          <w:rFonts w:ascii="仿宋" w:hAnsi="仿宋" w:cs="仿宋"/>
          <w:szCs w:val="28"/>
        </w:rPr>
      </w:pPr>
      <w:r>
        <w:rPr>
          <w:rFonts w:hint="eastAsia" w:ascii="仿宋" w:hAnsi="仿宋" w:cs="仿宋"/>
          <w:szCs w:val="28"/>
        </w:rPr>
        <w:t>（1）分配形式多样，能最大限度满足日常的分配使用要求；</w:t>
      </w:r>
    </w:p>
    <w:p w14:paraId="4A98C178">
      <w:pPr>
        <w:pStyle w:val="16"/>
        <w:ind w:firstLine="560"/>
        <w:rPr>
          <w:rFonts w:ascii="仿宋" w:hAnsi="仿宋" w:cs="仿宋"/>
          <w:szCs w:val="28"/>
        </w:rPr>
      </w:pPr>
      <w:r>
        <w:rPr>
          <w:rFonts w:hint="eastAsia" w:ascii="仿宋" w:hAnsi="仿宋" w:cs="仿宋"/>
          <w:szCs w:val="28"/>
        </w:rPr>
        <w:t>（2）操作过程简便实用；</w:t>
      </w:r>
    </w:p>
    <w:p w14:paraId="7BEE3CD6">
      <w:pPr>
        <w:pStyle w:val="16"/>
        <w:ind w:firstLine="560"/>
        <w:rPr>
          <w:rFonts w:ascii="仿宋" w:hAnsi="仿宋" w:cs="仿宋"/>
          <w:szCs w:val="28"/>
        </w:rPr>
      </w:pPr>
      <w:r>
        <w:rPr>
          <w:rFonts w:hint="eastAsia" w:ascii="仿宋" w:hAnsi="仿宋" w:cs="仿宋"/>
          <w:szCs w:val="28"/>
        </w:rPr>
        <w:t>（3）能灵活配置控制某类客户或者某个用户无法执行分配等操作，满足业务管理要求；</w:t>
      </w:r>
    </w:p>
    <w:p w14:paraId="0478EFE1">
      <w:pPr>
        <w:pStyle w:val="16"/>
        <w:ind w:firstLine="560"/>
        <w:rPr>
          <w:rFonts w:ascii="仿宋" w:hAnsi="仿宋" w:cs="仿宋"/>
          <w:szCs w:val="28"/>
        </w:rPr>
      </w:pPr>
      <w:r>
        <w:rPr>
          <w:rFonts w:hint="eastAsia" w:ascii="仿宋" w:hAnsi="仿宋" w:cs="仿宋"/>
          <w:szCs w:val="28"/>
        </w:rPr>
        <w:t>（4）满足要求并有更优的建设方案建议。</w:t>
      </w:r>
    </w:p>
    <w:p w14:paraId="55EF1172">
      <w:pPr>
        <w:pStyle w:val="4"/>
      </w:pPr>
      <w:bookmarkStart w:id="70" w:name="_Toc15259"/>
      <w:bookmarkStart w:id="71" w:name="_Toc18913"/>
      <w:bookmarkStart w:id="72" w:name="_Toc11990"/>
      <w:r>
        <w:rPr>
          <w:rFonts w:hint="eastAsia"/>
        </w:rPr>
        <w:t>8</w:t>
      </w:r>
      <w:r>
        <w:t>.</w:t>
      </w:r>
      <w:r>
        <w:rPr>
          <w:rFonts w:hint="eastAsia"/>
        </w:rPr>
        <w:t>首页展示</w:t>
      </w:r>
      <w:bookmarkEnd w:id="70"/>
      <w:bookmarkEnd w:id="71"/>
      <w:bookmarkEnd w:id="72"/>
    </w:p>
    <w:p w14:paraId="55F8DBAC">
      <w:pPr>
        <w:pStyle w:val="16"/>
        <w:ind w:firstLine="560"/>
        <w:rPr>
          <w:rFonts w:ascii="仿宋" w:hAnsi="仿宋" w:cs="仿宋"/>
          <w:szCs w:val="28"/>
        </w:rPr>
      </w:pPr>
      <w:r>
        <w:rPr>
          <w:rFonts w:hint="eastAsia" w:ascii="仿宋" w:hAnsi="仿宋" w:cs="仿宋"/>
          <w:szCs w:val="28"/>
        </w:rPr>
        <w:t>首页及工作台展示。以不同层级及不同角色用户展示总分支三个层级不同用户角色的界面，展示过程需配以对应角色所关注的重点，贯穿式的介绍各类功能。</w:t>
      </w:r>
    </w:p>
    <w:p w14:paraId="26FB8D57">
      <w:pPr>
        <w:pStyle w:val="16"/>
        <w:ind w:firstLine="560"/>
        <w:rPr>
          <w:rFonts w:ascii="仿宋" w:hAnsi="仿宋" w:cs="仿宋"/>
          <w:szCs w:val="28"/>
        </w:rPr>
      </w:pPr>
      <w:r>
        <w:rPr>
          <w:rFonts w:hint="eastAsia" w:ascii="仿宋" w:hAnsi="仿宋" w:cs="仿宋"/>
          <w:szCs w:val="28"/>
        </w:rPr>
        <w:t>（1）总分支三个层级的首页展示。</w:t>
      </w:r>
    </w:p>
    <w:p w14:paraId="2C2E6C11">
      <w:pPr>
        <w:pStyle w:val="16"/>
        <w:ind w:firstLine="560"/>
        <w:rPr>
          <w:rFonts w:ascii="仿宋" w:hAnsi="仿宋" w:cs="仿宋"/>
          <w:szCs w:val="28"/>
        </w:rPr>
      </w:pPr>
      <w:r>
        <w:rPr>
          <w:rFonts w:hint="eastAsia" w:ascii="仿宋" w:hAnsi="仿宋" w:cs="仿宋"/>
          <w:szCs w:val="28"/>
        </w:rPr>
        <w:t>（2）包括资产分布、资产关键指标排名、客户排名、升降级指标；</w:t>
      </w:r>
    </w:p>
    <w:p w14:paraId="08EF4D5B">
      <w:pPr>
        <w:pStyle w:val="16"/>
        <w:ind w:firstLine="560"/>
        <w:rPr>
          <w:rFonts w:ascii="仿宋" w:hAnsi="仿宋" w:cs="仿宋"/>
          <w:szCs w:val="28"/>
        </w:rPr>
      </w:pPr>
      <w:r>
        <w:rPr>
          <w:rFonts w:hint="eastAsia" w:ascii="仿宋" w:hAnsi="仿宋" w:cs="仿宋"/>
          <w:szCs w:val="28"/>
        </w:rPr>
        <w:t>（3）所辖客户经理排名、资产关键指标趋势、资产关键指标、客户分布；</w:t>
      </w:r>
    </w:p>
    <w:p w14:paraId="3044FC82">
      <w:pPr>
        <w:pStyle w:val="16"/>
        <w:ind w:firstLine="560"/>
        <w:rPr>
          <w:rFonts w:ascii="仿宋" w:hAnsi="仿宋" w:cs="仿宋"/>
          <w:szCs w:val="28"/>
        </w:rPr>
      </w:pPr>
      <w:r>
        <w:rPr>
          <w:rFonts w:hint="eastAsia" w:ascii="仿宋" w:hAnsi="仿宋" w:cs="仿宋"/>
          <w:szCs w:val="28"/>
        </w:rPr>
        <w:t>（4）个人业绩趋势-客户经理级、最近浏览客户记录、关键指标-管理；</w:t>
      </w:r>
    </w:p>
    <w:p w14:paraId="12BDBCDA">
      <w:pPr>
        <w:pStyle w:val="16"/>
        <w:ind w:firstLine="560"/>
        <w:rPr>
          <w:rFonts w:ascii="仿宋" w:hAnsi="仿宋" w:cs="仿宋"/>
          <w:szCs w:val="28"/>
        </w:rPr>
      </w:pPr>
      <w:r>
        <w:rPr>
          <w:rFonts w:hint="eastAsia" w:ascii="仿宋" w:hAnsi="仿宋" w:cs="仿宋"/>
          <w:szCs w:val="28"/>
        </w:rPr>
        <w:t>（5）消息类-客户经理、消息类-管理岗；</w:t>
      </w:r>
    </w:p>
    <w:p w14:paraId="0DE8043E">
      <w:pPr>
        <w:pStyle w:val="16"/>
        <w:ind w:firstLine="560"/>
        <w:rPr>
          <w:rFonts w:ascii="仿宋" w:hAnsi="仿宋" w:cs="仿宋"/>
          <w:szCs w:val="28"/>
        </w:rPr>
      </w:pPr>
      <w:r>
        <w:rPr>
          <w:rFonts w:hint="eastAsia" w:ascii="仿宋" w:hAnsi="仿宋" w:cs="仿宋"/>
          <w:szCs w:val="28"/>
        </w:rPr>
        <w:t>（6）客户关键指标-管理岗、客户关键指标排名、本月归属客户变化明细、客户关键指标趋势；</w:t>
      </w:r>
    </w:p>
    <w:p w14:paraId="3A9CB16B">
      <w:pPr>
        <w:pStyle w:val="16"/>
        <w:ind w:firstLine="560"/>
        <w:rPr>
          <w:rFonts w:ascii="仿宋" w:hAnsi="仿宋" w:cs="仿宋"/>
          <w:szCs w:val="28"/>
        </w:rPr>
      </w:pPr>
      <w:r>
        <w:rPr>
          <w:rFonts w:hint="eastAsia" w:ascii="仿宋" w:hAnsi="仿宋" w:cs="仿宋"/>
          <w:szCs w:val="28"/>
        </w:rPr>
        <w:t>（7）业绩过程管理、营销计价、厅堂营销、客户营销、考核业绩管理</w:t>
      </w:r>
    </w:p>
    <w:p w14:paraId="4A5B13A6">
      <w:pPr>
        <w:pStyle w:val="16"/>
        <w:ind w:firstLine="560"/>
        <w:rPr>
          <w:rFonts w:ascii="仿宋" w:hAnsi="仿宋" w:cs="仿宋"/>
          <w:szCs w:val="28"/>
        </w:rPr>
      </w:pPr>
      <w:r>
        <w:rPr>
          <w:rFonts w:hint="eastAsia" w:ascii="仿宋" w:hAnsi="仿宋" w:cs="仿宋"/>
          <w:szCs w:val="28"/>
        </w:rPr>
        <w:t>关注要点：</w:t>
      </w:r>
    </w:p>
    <w:p w14:paraId="138B6376">
      <w:pPr>
        <w:pStyle w:val="16"/>
        <w:ind w:firstLine="560"/>
        <w:rPr>
          <w:rFonts w:ascii="仿宋" w:hAnsi="仿宋" w:cs="仿宋"/>
          <w:szCs w:val="28"/>
        </w:rPr>
      </w:pPr>
      <w:r>
        <w:rPr>
          <w:rFonts w:hint="eastAsia" w:ascii="仿宋" w:hAnsi="仿宋" w:cs="仿宋"/>
          <w:szCs w:val="28"/>
        </w:rPr>
        <w:t>（1）不同角色所关注重点功能板块齐全。</w:t>
      </w:r>
    </w:p>
    <w:p w14:paraId="3026081B">
      <w:pPr>
        <w:pStyle w:val="16"/>
        <w:ind w:firstLine="560"/>
        <w:rPr>
          <w:rFonts w:ascii="仿宋" w:hAnsi="仿宋" w:cs="仿宋"/>
          <w:szCs w:val="28"/>
        </w:rPr>
      </w:pPr>
      <w:r>
        <w:rPr>
          <w:rFonts w:hint="eastAsia" w:ascii="仿宋" w:hAnsi="仿宋" w:cs="仿宋"/>
          <w:szCs w:val="28"/>
        </w:rPr>
        <w:t>（2）重点功能板块的布局信息清晰实用，查阅操作便捷。</w:t>
      </w:r>
    </w:p>
    <w:p w14:paraId="5D4B2394">
      <w:pPr>
        <w:pStyle w:val="16"/>
        <w:ind w:firstLine="560"/>
        <w:rPr>
          <w:rFonts w:ascii="仿宋" w:hAnsi="仿宋" w:cs="仿宋"/>
          <w:szCs w:val="28"/>
        </w:rPr>
      </w:pPr>
      <w:r>
        <w:rPr>
          <w:rFonts w:ascii="仿宋" w:hAnsi="仿宋" w:cs="仿宋"/>
          <w:szCs w:val="28"/>
        </w:rPr>
        <w:t>（3）</w:t>
      </w:r>
      <w:r>
        <w:rPr>
          <w:rFonts w:hint="eastAsia" w:ascii="仿宋" w:hAnsi="仿宋" w:cs="仿宋"/>
          <w:szCs w:val="28"/>
        </w:rPr>
        <w:t>满足要求并有更优的连贯性及建设方案建议。</w:t>
      </w:r>
    </w:p>
    <w:p w14:paraId="293B9EE0">
      <w:pPr>
        <w:pStyle w:val="3"/>
        <w:rPr>
          <w:rFonts w:ascii="仿宋" w:hAnsi="仿宋" w:eastAsia="仿宋" w:cs="仿宋"/>
        </w:rPr>
      </w:pPr>
      <w:bookmarkStart w:id="73" w:name="_Toc17638"/>
      <w:bookmarkStart w:id="74" w:name="_Toc15158"/>
      <w:bookmarkStart w:id="75" w:name="_Toc18977"/>
      <w:r>
        <w:rPr>
          <w:rFonts w:hint="eastAsia" w:ascii="仿宋" w:hAnsi="仿宋" w:eastAsia="仿宋" w:cs="仿宋"/>
        </w:rPr>
        <w:t>技术方案评测</w:t>
      </w:r>
      <w:bookmarkEnd w:id="73"/>
      <w:bookmarkEnd w:id="74"/>
      <w:bookmarkEnd w:id="75"/>
    </w:p>
    <w:p w14:paraId="0B47E892">
      <w:pPr>
        <w:pStyle w:val="4"/>
      </w:pPr>
      <w:bookmarkStart w:id="76" w:name="_Toc26978"/>
      <w:bookmarkStart w:id="77" w:name="_Toc29479"/>
      <w:bookmarkStart w:id="78" w:name="_Toc3756"/>
      <w:r>
        <w:rPr>
          <w:rFonts w:hint="eastAsia"/>
        </w:rPr>
        <w:t>产品技术能力</w:t>
      </w:r>
      <w:bookmarkEnd w:id="76"/>
      <w:bookmarkEnd w:id="77"/>
      <w:bookmarkEnd w:id="78"/>
    </w:p>
    <w:p w14:paraId="3C1323DC">
      <w:pPr>
        <w:pStyle w:val="16"/>
        <w:ind w:firstLine="560"/>
        <w:rPr>
          <w:b/>
          <w:bCs/>
        </w:rPr>
      </w:pPr>
      <w:r>
        <w:rPr>
          <w:rFonts w:hint="eastAsia" w:ascii="仿宋" w:hAnsi="仿宋" w:cs="仿宋"/>
          <w:szCs w:val="28"/>
        </w:rPr>
        <w:t>对厂商产品的技术能力，包括平台扩展性、可管理可运维等方面进行测评，考察产品非功能需求满足度。</w:t>
      </w:r>
    </w:p>
    <w:p w14:paraId="69C845EE">
      <w:pPr>
        <w:pStyle w:val="16"/>
        <w:ind w:firstLine="560"/>
        <w:rPr>
          <w:rFonts w:ascii="仿宋" w:hAnsi="仿宋" w:cs="仿宋"/>
          <w:szCs w:val="28"/>
        </w:rPr>
      </w:pPr>
      <w:r>
        <w:rPr>
          <w:rFonts w:hint="eastAsia" w:ascii="仿宋" w:hAnsi="仿宋" w:cs="仿宋"/>
          <w:szCs w:val="28"/>
        </w:rPr>
        <w:t>（1）开放性评测：基于主流技术搭建，技术自主可控。</w:t>
      </w:r>
    </w:p>
    <w:p w14:paraId="01B8ADE1">
      <w:pPr>
        <w:pStyle w:val="16"/>
        <w:ind w:firstLine="560"/>
        <w:rPr>
          <w:rFonts w:ascii="仿宋" w:hAnsi="仿宋" w:cs="仿宋"/>
          <w:szCs w:val="28"/>
        </w:rPr>
      </w:pPr>
      <w:r>
        <w:rPr>
          <w:rFonts w:hint="eastAsia" w:ascii="仿宋" w:hAnsi="仿宋" w:cs="仿宋"/>
          <w:szCs w:val="28"/>
        </w:rPr>
        <w:t>（2）信创要求：系统支持信创部署，需支持主流的信创服务器、信创操作系统、信创数据库和信创中间件；</w:t>
      </w:r>
    </w:p>
    <w:p w14:paraId="30C93D43">
      <w:pPr>
        <w:pStyle w:val="16"/>
        <w:ind w:firstLine="560"/>
        <w:rPr>
          <w:rFonts w:ascii="仿宋" w:hAnsi="仿宋" w:cs="仿宋"/>
          <w:szCs w:val="28"/>
        </w:rPr>
      </w:pPr>
      <w:r>
        <w:rPr>
          <w:rFonts w:hint="eastAsia" w:ascii="仿宋" w:hAnsi="仿宋" w:cs="仿宋"/>
          <w:szCs w:val="28"/>
        </w:rPr>
        <w:t>（3）可扩展性：整体技术架构和功能具有持续支撑CRM系统建设能力，如能持续支持扩展建设对公CRM相关功能；系统设计吞吐量满足目前业务实际需要的同时，满足未来业务发展和数据增长需求，支持横向拓展节点。</w:t>
      </w:r>
    </w:p>
    <w:p w14:paraId="0DF39BDB">
      <w:pPr>
        <w:pStyle w:val="16"/>
        <w:ind w:firstLine="560"/>
        <w:rPr>
          <w:rFonts w:ascii="仿宋" w:hAnsi="仿宋" w:cs="仿宋"/>
          <w:szCs w:val="28"/>
        </w:rPr>
      </w:pPr>
      <w:r>
        <w:rPr>
          <w:rFonts w:hint="eastAsia" w:ascii="仿宋" w:hAnsi="仿宋" w:cs="仿宋"/>
          <w:szCs w:val="28"/>
        </w:rPr>
        <w:t>（4）可管理测评：系统支持运行维护监控，包括系统运行情况、用户操作日志、微服务体系内中间件、应用服务器等进行监控；</w:t>
      </w:r>
    </w:p>
    <w:p w14:paraId="4A681A72">
      <w:pPr>
        <w:pStyle w:val="16"/>
        <w:ind w:firstLine="560"/>
        <w:rPr>
          <w:rFonts w:ascii="仿宋" w:hAnsi="仿宋" w:cs="仿宋"/>
          <w:szCs w:val="28"/>
        </w:rPr>
      </w:pPr>
      <w:r>
        <w:rPr>
          <w:rFonts w:hint="eastAsia" w:ascii="仿宋" w:hAnsi="仿宋" w:cs="仿宋"/>
          <w:szCs w:val="28"/>
        </w:rPr>
        <w:t>（5）运维灵活性：系统需支持支持快速接入客户、产品、客户经理等数据，并可通过配置，少量简单代码或零代码实现客户标签、渠道对接的快速迭代开发。</w:t>
      </w:r>
    </w:p>
    <w:p w14:paraId="71807729">
      <w:pPr>
        <w:pStyle w:val="16"/>
        <w:ind w:firstLine="560"/>
        <w:rPr>
          <w:rFonts w:ascii="仿宋" w:hAnsi="仿宋" w:cs="仿宋"/>
          <w:szCs w:val="28"/>
        </w:rPr>
      </w:pPr>
      <w:r>
        <w:rPr>
          <w:rFonts w:hint="eastAsia" w:ascii="仿宋" w:hAnsi="仿宋" w:cs="仿宋"/>
          <w:szCs w:val="28"/>
        </w:rPr>
        <w:t>（6）数据安全：系统支持对敏感信息的加密，支持对客户信息诸如联系方式等敏感信息进行加密存储、脱敏展示。</w:t>
      </w:r>
    </w:p>
    <w:p w14:paraId="4C2909E6">
      <w:pPr>
        <w:pStyle w:val="4"/>
      </w:pPr>
      <w:bookmarkStart w:id="79" w:name="_Toc32184"/>
      <w:bookmarkStart w:id="80" w:name="_Toc32026"/>
      <w:bookmarkStart w:id="81" w:name="_Toc23076"/>
      <w:r>
        <w:rPr>
          <w:rFonts w:hint="eastAsia"/>
        </w:rPr>
        <w:t>客户数据加工能力</w:t>
      </w:r>
      <w:bookmarkEnd w:id="79"/>
      <w:bookmarkEnd w:id="80"/>
      <w:bookmarkEnd w:id="81"/>
    </w:p>
    <w:p w14:paraId="22AC6187">
      <w:pPr>
        <w:pStyle w:val="16"/>
        <w:ind w:firstLine="560"/>
        <w:rPr>
          <w:rFonts w:ascii="仿宋" w:hAnsi="仿宋" w:cs="仿宋"/>
          <w:szCs w:val="28"/>
        </w:rPr>
      </w:pPr>
      <w:r>
        <w:rPr>
          <w:rFonts w:hint="eastAsia" w:ascii="仿宋" w:hAnsi="仿宋" w:cs="仿宋"/>
          <w:szCs w:val="28"/>
        </w:rPr>
        <w:t>对厂商客户数据集市的整体实施方案的成熟性、可落地性进行评测，是否有效覆盖我行需求及支撑未来发展。</w:t>
      </w:r>
    </w:p>
    <w:p w14:paraId="2DB160D2">
      <w:pPr>
        <w:pStyle w:val="16"/>
        <w:ind w:firstLine="560"/>
        <w:rPr>
          <w:rFonts w:ascii="仿宋" w:hAnsi="仿宋" w:cs="仿宋"/>
          <w:szCs w:val="28"/>
        </w:rPr>
      </w:pPr>
      <w:r>
        <w:rPr>
          <w:rFonts w:hint="eastAsia" w:ascii="仿宋" w:hAnsi="仿宋" w:cs="仿宋"/>
          <w:szCs w:val="28"/>
        </w:rPr>
        <w:t>（1）数据集市的数据模型设计应充分考虑客户关系管理的共性，数据模型层级划分及主题划分是否合理、界限清晰；是否具有高可扩展性和易用性，满足后续数据应用和分析的扩展需求。</w:t>
      </w:r>
    </w:p>
    <w:p w14:paraId="0C276E33">
      <w:pPr>
        <w:pStyle w:val="16"/>
        <w:ind w:firstLine="560"/>
        <w:rPr>
          <w:rFonts w:ascii="仿宋" w:hAnsi="仿宋" w:cs="仿宋"/>
          <w:szCs w:val="28"/>
        </w:rPr>
      </w:pPr>
      <w:r>
        <w:rPr>
          <w:rFonts w:hint="eastAsia" w:ascii="仿宋" w:hAnsi="仿宋" w:cs="仿宋"/>
          <w:szCs w:val="28"/>
        </w:rPr>
        <w:t>（2）数据集市模型的设计是否符合大数据分布式架构特征，能否与传统关系型数据库的数据仓库设计方式需要区分，设计原则方面是否能确保性能方面的最优。如与</w:t>
      </w:r>
      <w:r>
        <w:rPr>
          <w:rFonts w:ascii="仿宋" w:hAnsi="仿宋" w:cs="仿宋"/>
          <w:szCs w:val="28"/>
        </w:rPr>
        <w:t>系统知识库应物理分离</w:t>
      </w:r>
      <w:r>
        <w:rPr>
          <w:rFonts w:hint="eastAsia" w:ascii="仿宋" w:hAnsi="仿宋" w:cs="仿宋"/>
          <w:szCs w:val="28"/>
        </w:rPr>
        <w:t>。</w:t>
      </w:r>
    </w:p>
    <w:p w14:paraId="092B2C80">
      <w:pPr>
        <w:pStyle w:val="16"/>
        <w:ind w:firstLine="560"/>
        <w:rPr>
          <w:rFonts w:ascii="仿宋" w:hAnsi="仿宋" w:cs="仿宋"/>
          <w:szCs w:val="28"/>
        </w:rPr>
      </w:pPr>
      <w:r>
        <w:rPr>
          <w:rFonts w:hint="eastAsia" w:ascii="仿宋" w:hAnsi="仿宋" w:cs="仿宋"/>
          <w:szCs w:val="28"/>
        </w:rPr>
        <w:t>（3）厂商是否具有成熟的客户标签体系和标签库，如支持客户基础类、账务类、产品类、客户行为类、客户价值等标签建设；具有灵活、丰富的指标与标签加工配置方式。</w:t>
      </w:r>
    </w:p>
    <w:p w14:paraId="34CC170D">
      <w:pPr>
        <w:pStyle w:val="16"/>
        <w:ind w:firstLine="560"/>
        <w:rPr>
          <w:rFonts w:ascii="仿宋" w:hAnsi="仿宋" w:cs="仿宋"/>
          <w:szCs w:val="28"/>
        </w:rPr>
      </w:pPr>
      <w:r>
        <w:rPr>
          <w:rFonts w:hint="eastAsia" w:ascii="仿宋" w:hAnsi="仿宋" w:cs="仿宋"/>
          <w:szCs w:val="28"/>
        </w:rPr>
        <w:t>（4）厂商的客户数据集市是否具有成熟的数据应用支撑方案，能为客户管理、营销管理、产品管理等CRM应用提供基础数据服务，支持客户视图、客户分层管理、客群分析、产品查询及分析、客户及客户资产分析、客户经理分析等CRM应用。应充分考虑对应用扩展性的支撑，以便能支撑应用的快速变化。</w:t>
      </w:r>
    </w:p>
    <w:p w14:paraId="42D0B7EE">
      <w:pPr>
        <w:pStyle w:val="2"/>
      </w:pPr>
      <w:bookmarkStart w:id="82" w:name="_Toc24281"/>
      <w:bookmarkStart w:id="83" w:name="_Toc12318"/>
      <w:bookmarkStart w:id="84" w:name="_Toc1095"/>
      <w:r>
        <w:rPr>
          <w:rFonts w:hint="eastAsia"/>
        </w:rPr>
        <w:t>评分规则</w:t>
      </w:r>
      <w:bookmarkEnd w:id="82"/>
      <w:bookmarkEnd w:id="83"/>
      <w:bookmarkEnd w:id="84"/>
    </w:p>
    <w:tbl>
      <w:tblPr>
        <w:tblStyle w:val="37"/>
        <w:tblpPr w:leftFromText="180" w:rightFromText="180" w:vertAnchor="text" w:horzAnchor="page" w:tblpX="1528" w:tblpY="319"/>
        <w:tblOverlap w:val="never"/>
        <w:tblW w:w="9089" w:type="dxa"/>
        <w:tblInd w:w="0" w:type="dxa"/>
        <w:tblLayout w:type="fixed"/>
        <w:tblCellMar>
          <w:top w:w="0" w:type="dxa"/>
          <w:left w:w="108" w:type="dxa"/>
          <w:bottom w:w="0" w:type="dxa"/>
          <w:right w:w="108" w:type="dxa"/>
        </w:tblCellMar>
      </w:tblPr>
      <w:tblGrid>
        <w:gridCol w:w="476"/>
        <w:gridCol w:w="1525"/>
        <w:gridCol w:w="7088"/>
      </w:tblGrid>
      <w:tr w14:paraId="6365B06C">
        <w:tblPrEx>
          <w:tblCellMar>
            <w:top w:w="0" w:type="dxa"/>
            <w:left w:w="108" w:type="dxa"/>
            <w:bottom w:w="0" w:type="dxa"/>
            <w:right w:w="108" w:type="dxa"/>
          </w:tblCellMar>
        </w:tblPrEx>
        <w:trPr>
          <w:trHeight w:val="557" w:hRule="atLeast"/>
        </w:trPr>
        <w:tc>
          <w:tcPr>
            <w:tcW w:w="476" w:type="dxa"/>
            <w:tcBorders>
              <w:top w:val="single" w:color="auto" w:sz="4" w:space="0"/>
              <w:left w:val="single" w:color="auto" w:sz="4" w:space="0"/>
              <w:bottom w:val="single" w:color="auto" w:sz="4" w:space="0"/>
              <w:right w:val="single" w:color="auto" w:sz="4" w:space="0"/>
            </w:tcBorders>
            <w:shd w:val="clear" w:color="auto" w:fill="auto"/>
            <w:vAlign w:val="center"/>
          </w:tcPr>
          <w:p w14:paraId="2B9A3D8B">
            <w:pPr>
              <w:jc w:val="center"/>
              <w:rPr>
                <w:rFonts w:ascii="宋体" w:hAnsi="宋体" w:cs="宋体"/>
                <w:b/>
                <w:bCs/>
                <w:color w:val="000000"/>
                <w:kern w:val="0"/>
                <w:szCs w:val="21"/>
              </w:rPr>
            </w:pPr>
            <w:r>
              <w:rPr>
                <w:rFonts w:hint="eastAsia" w:ascii="宋体" w:hAnsi="宋体" w:cs="宋体"/>
                <w:b/>
                <w:bCs/>
                <w:color w:val="000000"/>
                <w:kern w:val="0"/>
                <w:szCs w:val="21"/>
              </w:rPr>
              <w:t>编号</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14:paraId="3D1C055A">
            <w:pPr>
              <w:jc w:val="center"/>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测评项</w:t>
            </w:r>
          </w:p>
        </w:tc>
        <w:tc>
          <w:tcPr>
            <w:tcW w:w="7088" w:type="dxa"/>
            <w:tcBorders>
              <w:top w:val="single" w:color="auto" w:sz="4" w:space="0"/>
              <w:left w:val="single" w:color="auto" w:sz="4" w:space="0"/>
              <w:bottom w:val="single" w:color="auto" w:sz="4" w:space="0"/>
              <w:right w:val="single" w:color="auto" w:sz="4" w:space="0"/>
            </w:tcBorders>
            <w:shd w:val="clear" w:color="auto" w:fill="auto"/>
            <w:vAlign w:val="center"/>
          </w:tcPr>
          <w:p w14:paraId="6A1C799F">
            <w:pPr>
              <w:jc w:val="center"/>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评分规则</w:t>
            </w:r>
          </w:p>
        </w:tc>
      </w:tr>
      <w:tr w14:paraId="0BA8D013">
        <w:tblPrEx>
          <w:tblCellMar>
            <w:top w:w="0" w:type="dxa"/>
            <w:left w:w="108" w:type="dxa"/>
            <w:bottom w:w="0" w:type="dxa"/>
            <w:right w:w="108" w:type="dxa"/>
          </w:tblCellMar>
        </w:tblPrEx>
        <w:trPr>
          <w:trHeight w:val="557" w:hRule="atLeast"/>
        </w:trPr>
        <w:tc>
          <w:tcPr>
            <w:tcW w:w="476" w:type="dxa"/>
            <w:tcBorders>
              <w:top w:val="single" w:color="auto" w:sz="4" w:space="0"/>
              <w:left w:val="single" w:color="auto" w:sz="4" w:space="0"/>
              <w:bottom w:val="single" w:color="auto" w:sz="4" w:space="0"/>
              <w:right w:val="single" w:color="auto" w:sz="4" w:space="0"/>
            </w:tcBorders>
            <w:shd w:val="clear" w:color="auto" w:fill="auto"/>
            <w:vAlign w:val="center"/>
          </w:tcPr>
          <w:p w14:paraId="159373A9">
            <w:pPr>
              <w:jc w:val="center"/>
              <w:rPr>
                <w:rFonts w:ascii="宋体" w:hAnsi="宋体" w:cs="宋体"/>
                <w:b/>
                <w:bCs/>
                <w:color w:val="000000"/>
                <w:kern w:val="0"/>
                <w:szCs w:val="21"/>
              </w:rPr>
            </w:pPr>
            <w:r>
              <w:rPr>
                <w:rFonts w:hint="eastAsia" w:ascii="宋体" w:hAnsi="宋体" w:cs="宋体"/>
                <w:b/>
                <w:bCs/>
                <w:color w:val="000000"/>
                <w:kern w:val="0"/>
                <w:szCs w:val="21"/>
              </w:rPr>
              <w:t>1</w:t>
            </w:r>
          </w:p>
        </w:tc>
        <w:tc>
          <w:tcPr>
            <w:tcW w:w="1525" w:type="dxa"/>
            <w:tcBorders>
              <w:top w:val="single" w:color="auto" w:sz="4" w:space="0"/>
              <w:left w:val="nil"/>
              <w:bottom w:val="single" w:color="auto" w:sz="4" w:space="0"/>
              <w:right w:val="single" w:color="auto" w:sz="4" w:space="0"/>
            </w:tcBorders>
            <w:shd w:val="clear" w:color="auto" w:fill="auto"/>
            <w:vAlign w:val="center"/>
          </w:tcPr>
          <w:p w14:paraId="5458ACCE">
            <w:pPr>
              <w:jc w:val="center"/>
              <w:textAlignment w:val="center"/>
              <w:rPr>
                <w:rFonts w:ascii="宋体" w:hAnsi="宋体" w:cs="宋体"/>
                <w:color w:val="000000"/>
                <w:kern w:val="0"/>
                <w:szCs w:val="21"/>
              </w:rPr>
            </w:pPr>
            <w:r>
              <w:rPr>
                <w:rFonts w:hint="eastAsia" w:ascii="宋体" w:hAnsi="宋体" w:cs="宋体"/>
                <w:color w:val="000000"/>
                <w:kern w:val="0"/>
                <w:szCs w:val="21"/>
                <w:lang w:bidi="ar"/>
              </w:rPr>
              <w:t>客户洞察与客户管理</w:t>
            </w:r>
          </w:p>
        </w:tc>
        <w:tc>
          <w:tcPr>
            <w:tcW w:w="7088" w:type="dxa"/>
            <w:tcBorders>
              <w:top w:val="single" w:color="auto" w:sz="4" w:space="0"/>
              <w:left w:val="nil"/>
              <w:bottom w:val="single" w:color="auto" w:sz="4" w:space="0"/>
              <w:right w:val="single" w:color="auto" w:sz="4" w:space="0"/>
            </w:tcBorders>
            <w:shd w:val="clear" w:color="auto" w:fill="auto"/>
            <w:vAlign w:val="center"/>
          </w:tcPr>
          <w:p w14:paraId="2A62B0A9">
            <w:pPr>
              <w:textAlignment w:val="center"/>
              <w:rPr>
                <w:rFonts w:ascii="宋体" w:hAnsi="宋体" w:cs="宋体"/>
                <w:color w:val="000000"/>
                <w:kern w:val="0"/>
                <w:szCs w:val="21"/>
                <w:lang w:bidi="ar"/>
              </w:rPr>
            </w:pPr>
            <w:r>
              <w:rPr>
                <w:rFonts w:hint="eastAsia" w:ascii="宋体" w:hAnsi="宋体" w:cs="宋体"/>
                <w:color w:val="000000"/>
                <w:kern w:val="0"/>
                <w:szCs w:val="21"/>
                <w:lang w:bidi="ar"/>
              </w:rPr>
              <w:t>针对公司产品及解决方案中的客户数据整合、统一视图（360视图）、管户分配与交接等功能满足度进行评分，关键的功能点如下：</w:t>
            </w:r>
          </w:p>
          <w:p w14:paraId="44F66128">
            <w:pPr>
              <w:textAlignment w:val="center"/>
              <w:rPr>
                <w:rFonts w:ascii="宋体" w:hAnsi="宋体" w:cs="宋体"/>
                <w:color w:val="000000"/>
                <w:kern w:val="0"/>
                <w:szCs w:val="21"/>
                <w:lang w:bidi="ar"/>
              </w:rPr>
            </w:pPr>
            <w:r>
              <w:rPr>
                <w:rFonts w:hint="eastAsia" w:ascii="宋体" w:hAnsi="宋体" w:cs="宋体"/>
                <w:color w:val="000000"/>
                <w:kern w:val="0"/>
                <w:szCs w:val="21"/>
                <w:lang w:bidi="ar"/>
              </w:rPr>
              <w:t>1、支持管户人清晰全方位了解客户的各类信息，以便管户人更好的服务客户及挖掘客户需求，客户信息展示齐全、科学合理。满足得1分，部分满足得0.5分，不满足得0分；</w:t>
            </w:r>
          </w:p>
          <w:p w14:paraId="174F564E">
            <w:pPr>
              <w:textAlignment w:val="center"/>
              <w:rPr>
                <w:rFonts w:ascii="宋体" w:hAnsi="宋体" w:cs="宋体"/>
                <w:color w:val="000000"/>
                <w:kern w:val="0"/>
                <w:szCs w:val="21"/>
                <w:lang w:bidi="ar"/>
              </w:rPr>
            </w:pPr>
            <w:r>
              <w:rPr>
                <w:rFonts w:hint="eastAsia" w:ascii="宋体" w:hAnsi="宋体" w:cs="宋体"/>
                <w:color w:val="000000"/>
                <w:kern w:val="0"/>
                <w:szCs w:val="21"/>
                <w:lang w:bidi="ar"/>
              </w:rPr>
              <w:t>2、数据校验和更新机制成熟可行，能及时、准备地获取变化的数据且展示在各层级用户的界面。支持多渠道数据交互和整合，保证客户在各渠道互动的数据能准确地展现在CRM系统，辅助提供洞察客户行为。满足得1分，部分满足得0.5分，不满足得0分；</w:t>
            </w:r>
          </w:p>
          <w:p w14:paraId="2BAFCAE3">
            <w:pPr>
              <w:textAlignment w:val="center"/>
              <w:rPr>
                <w:rFonts w:ascii="宋体" w:hAnsi="宋体" w:cs="宋体"/>
                <w:color w:val="000000"/>
                <w:kern w:val="0"/>
                <w:szCs w:val="21"/>
                <w:lang w:bidi="ar"/>
              </w:rPr>
            </w:pPr>
            <w:r>
              <w:rPr>
                <w:rFonts w:hint="eastAsia" w:ascii="宋体" w:hAnsi="宋体" w:cs="宋体"/>
                <w:color w:val="000000"/>
                <w:kern w:val="0"/>
                <w:szCs w:val="21"/>
                <w:lang w:bidi="ar"/>
              </w:rPr>
              <w:t>3、支持通过配置标注识别不同类别客户（新客户、活跃客户、流失客户等），形成商机提醒，管户人简便执行响应，并形成对应的响应记录进行追踪。满足得1分，部分满足得0.5分，不满足得0分；</w:t>
            </w:r>
          </w:p>
          <w:p w14:paraId="65625222">
            <w:pPr>
              <w:textAlignment w:val="center"/>
              <w:rPr>
                <w:rFonts w:ascii="宋体" w:hAnsi="宋体" w:cs="宋体"/>
                <w:color w:val="000000"/>
                <w:kern w:val="0"/>
                <w:szCs w:val="21"/>
                <w:lang w:bidi="ar"/>
              </w:rPr>
            </w:pPr>
            <w:r>
              <w:rPr>
                <w:rFonts w:hint="eastAsia" w:ascii="宋体" w:hAnsi="宋体" w:cs="宋体"/>
                <w:color w:val="000000"/>
                <w:kern w:val="0"/>
                <w:szCs w:val="21"/>
                <w:lang w:bidi="ar"/>
              </w:rPr>
              <w:t>4、支持根据业务管理规则对进行管户分配与交接工作的配置，形式包括但不限于单一分配，批量分配，批量交接等。满足得1分，部分满足得0.5分，不满足得0分；</w:t>
            </w:r>
          </w:p>
          <w:p w14:paraId="208C8FCE">
            <w:pPr>
              <w:textAlignment w:val="center"/>
              <w:rPr>
                <w:rFonts w:ascii="宋体" w:hAnsi="宋体" w:cs="宋体"/>
                <w:color w:val="000000"/>
                <w:kern w:val="0"/>
                <w:szCs w:val="21"/>
              </w:rPr>
            </w:pPr>
            <w:r>
              <w:rPr>
                <w:rFonts w:hint="eastAsia" w:ascii="宋体" w:hAnsi="宋体" w:cs="宋体"/>
                <w:color w:val="000000"/>
                <w:kern w:val="0"/>
                <w:szCs w:val="21"/>
                <w:lang w:bidi="ar"/>
              </w:rPr>
              <w:t>5、能灵活配置控制某类客户或者某个用户无法执行分配等操作，支持参数调整。满足得1分，部分满足得0.5分，不满足得0分；</w:t>
            </w:r>
          </w:p>
        </w:tc>
      </w:tr>
      <w:tr w14:paraId="327034DE">
        <w:tblPrEx>
          <w:tblCellMar>
            <w:top w:w="0" w:type="dxa"/>
            <w:left w:w="108" w:type="dxa"/>
            <w:bottom w:w="0" w:type="dxa"/>
            <w:right w:w="108" w:type="dxa"/>
          </w:tblCellMar>
        </w:tblPrEx>
        <w:trPr>
          <w:trHeight w:val="557" w:hRule="atLeast"/>
        </w:trPr>
        <w:tc>
          <w:tcPr>
            <w:tcW w:w="476" w:type="dxa"/>
            <w:tcBorders>
              <w:top w:val="nil"/>
              <w:left w:val="single" w:color="auto" w:sz="4" w:space="0"/>
              <w:bottom w:val="single" w:color="auto" w:sz="4" w:space="0"/>
              <w:right w:val="single" w:color="auto" w:sz="4" w:space="0"/>
            </w:tcBorders>
            <w:shd w:val="clear" w:color="auto" w:fill="auto"/>
            <w:vAlign w:val="center"/>
          </w:tcPr>
          <w:p w14:paraId="7A573146">
            <w:pPr>
              <w:jc w:val="center"/>
              <w:rPr>
                <w:rFonts w:ascii="宋体" w:hAnsi="宋体" w:cs="宋体"/>
                <w:b/>
                <w:bCs/>
                <w:color w:val="000000"/>
                <w:kern w:val="0"/>
                <w:szCs w:val="21"/>
              </w:rPr>
            </w:pPr>
            <w:r>
              <w:rPr>
                <w:rFonts w:hint="eastAsia" w:ascii="宋体" w:hAnsi="宋体" w:cs="宋体"/>
                <w:b/>
                <w:bCs/>
                <w:color w:val="000000"/>
                <w:kern w:val="0"/>
                <w:szCs w:val="21"/>
              </w:rPr>
              <w:t>2</w:t>
            </w:r>
          </w:p>
        </w:tc>
        <w:tc>
          <w:tcPr>
            <w:tcW w:w="1525" w:type="dxa"/>
            <w:tcBorders>
              <w:top w:val="nil"/>
              <w:left w:val="nil"/>
              <w:bottom w:val="single" w:color="auto" w:sz="4" w:space="0"/>
              <w:right w:val="single" w:color="auto" w:sz="4" w:space="0"/>
            </w:tcBorders>
            <w:shd w:val="clear" w:color="auto" w:fill="auto"/>
            <w:vAlign w:val="center"/>
          </w:tcPr>
          <w:p w14:paraId="189F83A2">
            <w:pPr>
              <w:jc w:val="center"/>
              <w:textAlignment w:val="center"/>
              <w:rPr>
                <w:rFonts w:ascii="宋体" w:hAnsi="宋体" w:cs="宋体"/>
                <w:color w:val="000000"/>
                <w:kern w:val="0"/>
                <w:szCs w:val="21"/>
              </w:rPr>
            </w:pPr>
            <w:r>
              <w:rPr>
                <w:rFonts w:hint="eastAsia" w:ascii="宋体" w:hAnsi="宋体" w:cs="宋体"/>
                <w:color w:val="000000"/>
                <w:kern w:val="0"/>
                <w:szCs w:val="21"/>
                <w:lang w:bidi="ar"/>
              </w:rPr>
              <w:t>营销服务与精准营销</w:t>
            </w:r>
          </w:p>
        </w:tc>
        <w:tc>
          <w:tcPr>
            <w:tcW w:w="7088" w:type="dxa"/>
            <w:tcBorders>
              <w:top w:val="nil"/>
              <w:left w:val="nil"/>
              <w:bottom w:val="single" w:color="auto" w:sz="4" w:space="0"/>
              <w:right w:val="single" w:color="auto" w:sz="4" w:space="0"/>
            </w:tcBorders>
            <w:shd w:val="clear" w:color="auto" w:fill="auto"/>
            <w:vAlign w:val="center"/>
          </w:tcPr>
          <w:p w14:paraId="70FCB4A3">
            <w:pPr>
              <w:textAlignment w:val="center"/>
              <w:rPr>
                <w:rFonts w:ascii="宋体" w:hAnsi="宋体" w:cs="宋体"/>
                <w:color w:val="000000"/>
                <w:kern w:val="0"/>
                <w:szCs w:val="21"/>
                <w:lang w:bidi="ar"/>
              </w:rPr>
            </w:pPr>
            <w:r>
              <w:rPr>
                <w:rFonts w:hint="eastAsia" w:ascii="宋体" w:hAnsi="宋体" w:cs="宋体"/>
                <w:color w:val="000000"/>
                <w:kern w:val="0"/>
                <w:szCs w:val="21"/>
                <w:lang w:bidi="ar"/>
              </w:rPr>
              <w:t>针对公司产品及解决方案中的客户细分与精准营销功能满足度进行评分，关键的功能点如下：</w:t>
            </w:r>
          </w:p>
          <w:p w14:paraId="213B6D3E">
            <w:pPr>
              <w:textAlignment w:val="center"/>
              <w:rPr>
                <w:rFonts w:ascii="宋体" w:hAnsi="宋体" w:cs="宋体"/>
                <w:color w:val="000000"/>
                <w:kern w:val="0"/>
                <w:szCs w:val="21"/>
                <w:lang w:bidi="ar"/>
              </w:rPr>
            </w:pPr>
            <w:r>
              <w:rPr>
                <w:rFonts w:hint="eastAsia" w:ascii="宋体" w:hAnsi="宋体" w:cs="宋体"/>
                <w:color w:val="000000"/>
                <w:kern w:val="0"/>
                <w:szCs w:val="21"/>
                <w:lang w:bidi="ar"/>
              </w:rPr>
              <w:t>1、客群及营销名单筛选功能完善，满足多种场景组合，操作性强，准确性高，能精准地选择目标客户。满足得1分，部分满足得0.5分，不满足得0分；</w:t>
            </w:r>
          </w:p>
          <w:p w14:paraId="4BD63E74">
            <w:pPr>
              <w:textAlignment w:val="center"/>
              <w:rPr>
                <w:rFonts w:ascii="宋体" w:hAnsi="宋体" w:cs="宋体"/>
                <w:color w:val="000000"/>
                <w:kern w:val="0"/>
                <w:szCs w:val="21"/>
                <w:lang w:bidi="ar"/>
              </w:rPr>
            </w:pPr>
            <w:r>
              <w:rPr>
                <w:rFonts w:hint="eastAsia" w:ascii="宋体" w:hAnsi="宋体" w:cs="宋体"/>
                <w:color w:val="000000"/>
                <w:kern w:val="0"/>
                <w:szCs w:val="21"/>
                <w:lang w:bidi="ar"/>
              </w:rPr>
              <w:t>2、对营销名单的任务分配操作合适、简便。支持多样化、多组合的活动渠道，支持营销指标设定、营销任务分配及服务信息录入，且具有提醒和查询功能，方便管护人查看和执行营销动作。满足得1分，部分满足得0.5分，不满足得0分；</w:t>
            </w:r>
          </w:p>
          <w:p w14:paraId="365FD0FE">
            <w:pPr>
              <w:textAlignment w:val="center"/>
              <w:rPr>
                <w:rFonts w:ascii="宋体" w:hAnsi="宋体" w:cs="宋体"/>
                <w:color w:val="000000"/>
                <w:kern w:val="0"/>
                <w:szCs w:val="21"/>
                <w:lang w:bidi="ar"/>
              </w:rPr>
            </w:pPr>
            <w:r>
              <w:rPr>
                <w:rFonts w:hint="eastAsia" w:ascii="宋体" w:hAnsi="宋体" w:cs="宋体"/>
                <w:color w:val="000000"/>
                <w:kern w:val="0"/>
                <w:szCs w:val="21"/>
                <w:lang w:bidi="ar"/>
              </w:rPr>
              <w:t>3、支持对营销名单的成长情况进行跟踪，具有完善的活动量记录管理功能，具有营销统计和监控功能，支持通过图表和报表透视营销内容，检验营销成效等。满足得1分，部分满足得0.5分，不满足得0分；</w:t>
            </w:r>
          </w:p>
          <w:p w14:paraId="6BFFFC72">
            <w:pPr>
              <w:textAlignment w:val="center"/>
              <w:rPr>
                <w:rFonts w:ascii="宋体" w:hAnsi="宋体" w:cs="宋体"/>
                <w:color w:val="000000"/>
                <w:kern w:val="0"/>
                <w:szCs w:val="21"/>
                <w:lang w:bidi="ar"/>
              </w:rPr>
            </w:pPr>
            <w:r>
              <w:rPr>
                <w:rFonts w:hint="eastAsia" w:ascii="宋体" w:hAnsi="宋体" w:cs="宋体"/>
                <w:color w:val="000000"/>
                <w:kern w:val="0"/>
                <w:szCs w:val="21"/>
                <w:lang w:bidi="ar"/>
              </w:rPr>
              <w:t>4、支持商机归类管理和配置，如按产品商机归类及行为商机归类；具有触发商机提醒配置功能;支持商机处理与成效分析。满足得1分，部分满足得0.5分，不满足得0分；</w:t>
            </w:r>
          </w:p>
          <w:p w14:paraId="2B1C2174">
            <w:pPr>
              <w:textAlignment w:val="center"/>
              <w:rPr>
                <w:rFonts w:ascii="宋体" w:hAnsi="宋体" w:cs="宋体"/>
                <w:color w:val="000000"/>
                <w:kern w:val="0"/>
                <w:szCs w:val="21"/>
              </w:rPr>
            </w:pPr>
            <w:r>
              <w:rPr>
                <w:rFonts w:hint="eastAsia" w:ascii="宋体" w:hAnsi="宋体" w:cs="宋体"/>
                <w:color w:val="000000"/>
                <w:kern w:val="0"/>
                <w:szCs w:val="21"/>
                <w:lang w:bidi="ar"/>
              </w:rPr>
              <w:t>5、具有活动量记录管理功能，支持全量及细分的各类客户服务及触客活动记录展示；支持对活动量记录的统计分析，如触客情况与业务增长的关联性分析等。满足得1分，部分满足得0.5分，不满足得0分；</w:t>
            </w:r>
          </w:p>
        </w:tc>
      </w:tr>
      <w:tr w14:paraId="435B8166">
        <w:tblPrEx>
          <w:tblCellMar>
            <w:top w:w="0" w:type="dxa"/>
            <w:left w:w="108" w:type="dxa"/>
            <w:bottom w:w="0" w:type="dxa"/>
            <w:right w:w="108" w:type="dxa"/>
          </w:tblCellMar>
        </w:tblPrEx>
        <w:trPr>
          <w:trHeight w:val="433" w:hRule="atLeast"/>
        </w:trPr>
        <w:tc>
          <w:tcPr>
            <w:tcW w:w="476" w:type="dxa"/>
            <w:tcBorders>
              <w:top w:val="nil"/>
              <w:left w:val="single" w:color="auto" w:sz="4" w:space="0"/>
              <w:bottom w:val="single" w:color="auto" w:sz="4" w:space="0"/>
              <w:right w:val="single" w:color="auto" w:sz="4" w:space="0"/>
            </w:tcBorders>
            <w:shd w:val="clear" w:color="auto" w:fill="auto"/>
            <w:vAlign w:val="center"/>
          </w:tcPr>
          <w:p w14:paraId="4E9827F9">
            <w:pPr>
              <w:jc w:val="center"/>
              <w:rPr>
                <w:rFonts w:ascii="宋体" w:hAnsi="宋体" w:cs="宋体"/>
                <w:b/>
                <w:bCs/>
                <w:color w:val="000000"/>
                <w:kern w:val="0"/>
                <w:szCs w:val="21"/>
              </w:rPr>
            </w:pPr>
            <w:r>
              <w:rPr>
                <w:rFonts w:hint="eastAsia" w:ascii="宋体" w:hAnsi="宋体" w:cs="宋体"/>
                <w:b/>
                <w:bCs/>
                <w:color w:val="000000"/>
                <w:kern w:val="0"/>
                <w:szCs w:val="21"/>
              </w:rPr>
              <w:t>3</w:t>
            </w:r>
          </w:p>
        </w:tc>
        <w:tc>
          <w:tcPr>
            <w:tcW w:w="1525" w:type="dxa"/>
            <w:tcBorders>
              <w:top w:val="nil"/>
              <w:left w:val="nil"/>
              <w:bottom w:val="single" w:color="auto" w:sz="4" w:space="0"/>
              <w:right w:val="single" w:color="auto" w:sz="4" w:space="0"/>
            </w:tcBorders>
            <w:shd w:val="clear" w:color="auto" w:fill="auto"/>
            <w:vAlign w:val="center"/>
          </w:tcPr>
          <w:p w14:paraId="7362DD2B">
            <w:pPr>
              <w:jc w:val="center"/>
              <w:textAlignment w:val="center"/>
              <w:rPr>
                <w:rFonts w:ascii="宋体" w:hAnsi="宋体" w:cs="宋体"/>
                <w:color w:val="000000"/>
                <w:kern w:val="0"/>
                <w:szCs w:val="21"/>
              </w:rPr>
            </w:pPr>
            <w:r>
              <w:rPr>
                <w:rFonts w:hint="eastAsia" w:ascii="宋体" w:hAnsi="宋体" w:cs="宋体"/>
                <w:color w:val="000000"/>
                <w:kern w:val="0"/>
                <w:szCs w:val="21"/>
                <w:lang w:bidi="ar"/>
              </w:rPr>
              <w:t>客户数据加工能力</w:t>
            </w:r>
          </w:p>
        </w:tc>
        <w:tc>
          <w:tcPr>
            <w:tcW w:w="7088" w:type="dxa"/>
            <w:tcBorders>
              <w:top w:val="nil"/>
              <w:left w:val="nil"/>
              <w:bottom w:val="single" w:color="auto" w:sz="4" w:space="0"/>
              <w:right w:val="single" w:color="auto" w:sz="4" w:space="0"/>
            </w:tcBorders>
            <w:shd w:val="clear" w:color="auto" w:fill="auto"/>
            <w:vAlign w:val="center"/>
          </w:tcPr>
          <w:p w14:paraId="6F0D5472">
            <w:pPr>
              <w:textAlignment w:val="center"/>
              <w:rPr>
                <w:rFonts w:ascii="宋体" w:hAnsi="宋体" w:cs="宋体"/>
                <w:color w:val="000000"/>
                <w:kern w:val="0"/>
                <w:szCs w:val="21"/>
                <w:lang w:bidi="ar"/>
              </w:rPr>
            </w:pPr>
            <w:r>
              <w:rPr>
                <w:rFonts w:hint="eastAsia" w:ascii="宋体" w:hAnsi="宋体" w:cs="宋体"/>
                <w:color w:val="000000"/>
                <w:kern w:val="0"/>
                <w:szCs w:val="21"/>
                <w:lang w:bidi="ar"/>
              </w:rPr>
              <w:t>系统应支持信创全栈部署，且投标人应承诺按招标方要求的信创环境进行开发、测试及生产部署等工作。不满足整项不得分，满足按如下评分项评分：</w:t>
            </w:r>
          </w:p>
          <w:p w14:paraId="2D6E0E29">
            <w:pPr>
              <w:textAlignment w:val="center"/>
              <w:rPr>
                <w:rFonts w:ascii="宋体" w:hAnsi="宋体" w:cs="宋体"/>
                <w:color w:val="000000"/>
                <w:kern w:val="0"/>
                <w:szCs w:val="21"/>
                <w:lang w:bidi="ar"/>
              </w:rPr>
            </w:pPr>
            <w:r>
              <w:rPr>
                <w:rFonts w:hint="eastAsia" w:ascii="宋体" w:hAnsi="宋体" w:cs="宋体"/>
                <w:color w:val="000000"/>
                <w:kern w:val="0"/>
                <w:szCs w:val="21"/>
                <w:lang w:bidi="ar"/>
              </w:rPr>
              <w:t>1、具有成熟、可落地的客户数据集市整体实施方案，数据集市的数据模型设计充分考虑客户关系管理的共性，数据模型层级划分及主题划分合理、界限清晰，且充分考虑未来数据应用接口的变更,支撑普贷客户数据、对公客户数据扩展建设。优秀得2分，一般得1分，较差得0分。（2分）</w:t>
            </w:r>
          </w:p>
          <w:p w14:paraId="1E45B6A8">
            <w:pPr>
              <w:textAlignment w:val="center"/>
              <w:rPr>
                <w:rFonts w:ascii="宋体" w:hAnsi="宋体" w:cs="宋体"/>
                <w:color w:val="000000"/>
                <w:kern w:val="0"/>
                <w:szCs w:val="21"/>
                <w:lang w:bidi="ar"/>
              </w:rPr>
            </w:pPr>
            <w:r>
              <w:rPr>
                <w:rFonts w:hint="eastAsia" w:ascii="宋体" w:hAnsi="宋体" w:cs="宋体"/>
                <w:color w:val="000000"/>
                <w:kern w:val="0"/>
                <w:szCs w:val="21"/>
                <w:lang w:bidi="ar"/>
              </w:rPr>
              <w:t>2、数据集市模型的设计符合大数据分布式架构特征，能与传统关系型数据库的数据仓库设计方式区分，设计原则方面能确保性能方面的最优。满足得1分，不满足得0分。（1分）</w:t>
            </w:r>
          </w:p>
          <w:p w14:paraId="2092AB90">
            <w:pPr>
              <w:textAlignment w:val="center"/>
              <w:rPr>
                <w:rFonts w:ascii="宋体" w:hAnsi="宋体" w:cs="宋体"/>
                <w:color w:val="000000"/>
                <w:kern w:val="0"/>
                <w:szCs w:val="21"/>
              </w:rPr>
            </w:pPr>
            <w:r>
              <w:rPr>
                <w:rFonts w:hint="eastAsia" w:ascii="宋体" w:hAnsi="宋体" w:cs="宋体"/>
                <w:color w:val="000000"/>
                <w:kern w:val="0"/>
                <w:szCs w:val="21"/>
                <w:lang w:bidi="ar"/>
              </w:rPr>
              <w:t>3、具有成熟、可落地的客户标签建设方案，能为客户视图、客户分层管理、客群分析等CRM应用提供基础数据服务。优秀得2分，一般得1分，较差得0分。（2分）</w:t>
            </w:r>
          </w:p>
        </w:tc>
      </w:tr>
      <w:tr w14:paraId="4B6332CF">
        <w:tblPrEx>
          <w:tblCellMar>
            <w:top w:w="0" w:type="dxa"/>
            <w:left w:w="108" w:type="dxa"/>
            <w:bottom w:w="0" w:type="dxa"/>
            <w:right w:w="108" w:type="dxa"/>
          </w:tblCellMar>
        </w:tblPrEx>
        <w:trPr>
          <w:trHeight w:val="554" w:hRule="atLeast"/>
        </w:trPr>
        <w:tc>
          <w:tcPr>
            <w:tcW w:w="476" w:type="dxa"/>
            <w:tcBorders>
              <w:top w:val="nil"/>
              <w:left w:val="single" w:color="auto" w:sz="4" w:space="0"/>
              <w:bottom w:val="single" w:color="auto" w:sz="4" w:space="0"/>
              <w:right w:val="single" w:color="auto" w:sz="4" w:space="0"/>
            </w:tcBorders>
            <w:shd w:val="clear" w:color="auto" w:fill="auto"/>
            <w:vAlign w:val="center"/>
          </w:tcPr>
          <w:p w14:paraId="2AB66393">
            <w:pPr>
              <w:jc w:val="center"/>
              <w:rPr>
                <w:rFonts w:ascii="宋体" w:hAnsi="宋体" w:cs="宋体"/>
                <w:b/>
                <w:bCs/>
                <w:color w:val="000000"/>
                <w:kern w:val="0"/>
                <w:szCs w:val="21"/>
              </w:rPr>
            </w:pPr>
            <w:r>
              <w:rPr>
                <w:rFonts w:hint="eastAsia" w:ascii="宋体" w:hAnsi="宋体" w:cs="宋体"/>
                <w:b/>
                <w:bCs/>
                <w:color w:val="000000"/>
                <w:kern w:val="0"/>
                <w:szCs w:val="21"/>
              </w:rPr>
              <w:t>4</w:t>
            </w:r>
          </w:p>
        </w:tc>
        <w:tc>
          <w:tcPr>
            <w:tcW w:w="1525" w:type="dxa"/>
            <w:tcBorders>
              <w:top w:val="nil"/>
              <w:left w:val="nil"/>
              <w:bottom w:val="single" w:color="auto" w:sz="4" w:space="0"/>
              <w:right w:val="single" w:color="auto" w:sz="4" w:space="0"/>
            </w:tcBorders>
            <w:shd w:val="clear" w:color="auto" w:fill="auto"/>
            <w:vAlign w:val="center"/>
          </w:tcPr>
          <w:p w14:paraId="26449254">
            <w:pPr>
              <w:jc w:val="center"/>
              <w:textAlignment w:val="center"/>
              <w:rPr>
                <w:rFonts w:ascii="宋体" w:hAnsi="宋体" w:cs="宋体"/>
                <w:color w:val="000000"/>
                <w:kern w:val="0"/>
                <w:szCs w:val="21"/>
              </w:rPr>
            </w:pPr>
            <w:r>
              <w:rPr>
                <w:rFonts w:hint="eastAsia" w:ascii="宋体" w:hAnsi="宋体" w:cs="宋体"/>
                <w:color w:val="000000"/>
                <w:kern w:val="0"/>
                <w:szCs w:val="21"/>
                <w:lang w:bidi="ar"/>
              </w:rPr>
              <w:t>可扩展性</w:t>
            </w:r>
          </w:p>
        </w:tc>
        <w:tc>
          <w:tcPr>
            <w:tcW w:w="7088" w:type="dxa"/>
            <w:tcBorders>
              <w:top w:val="nil"/>
              <w:left w:val="nil"/>
              <w:bottom w:val="single" w:color="auto" w:sz="4" w:space="0"/>
              <w:right w:val="single" w:color="auto" w:sz="4" w:space="0"/>
            </w:tcBorders>
            <w:shd w:val="clear" w:color="auto" w:fill="auto"/>
            <w:vAlign w:val="center"/>
          </w:tcPr>
          <w:p w14:paraId="7666C2D9">
            <w:pPr>
              <w:textAlignment w:val="center"/>
              <w:rPr>
                <w:rFonts w:ascii="宋体" w:hAnsi="宋体" w:cs="宋体"/>
                <w:color w:val="000000"/>
                <w:kern w:val="0"/>
                <w:szCs w:val="21"/>
              </w:rPr>
            </w:pPr>
            <w:r>
              <w:rPr>
                <w:rFonts w:hint="eastAsia" w:ascii="宋体" w:hAnsi="宋体" w:cs="宋体"/>
                <w:color w:val="000000"/>
                <w:kern w:val="0"/>
                <w:szCs w:val="21"/>
              </w:rPr>
              <w:t>系统应支持信创全栈部署，且投标人应承诺按招标方要求的信创环境进行开发、测试及生产部署等工作。不满足整项不得分，满足按如下评分项评分：</w:t>
            </w:r>
          </w:p>
          <w:p w14:paraId="5462D18D">
            <w:pPr>
              <w:textAlignment w:val="center"/>
              <w:rPr>
                <w:rFonts w:ascii="宋体" w:hAnsi="宋体" w:cs="宋体"/>
                <w:color w:val="000000"/>
                <w:kern w:val="0"/>
                <w:szCs w:val="21"/>
              </w:rPr>
            </w:pPr>
            <w:r>
              <w:rPr>
                <w:rFonts w:hint="eastAsia" w:ascii="宋体" w:hAnsi="宋体" w:cs="宋体"/>
                <w:color w:val="000000"/>
                <w:kern w:val="0"/>
                <w:szCs w:val="21"/>
              </w:rPr>
              <w:t>1、整体技术架构和功能具有持续支撑我行CRM系统建设能力，如能持续支撑招标人在本系统上建设对公CRM相关功能。扩展性优秀得2分，一般得1分，较差得0分。（2分）</w:t>
            </w:r>
          </w:p>
          <w:p w14:paraId="61E6505B">
            <w:pPr>
              <w:textAlignment w:val="center"/>
              <w:rPr>
                <w:rFonts w:ascii="宋体" w:hAnsi="宋体" w:cs="宋体"/>
                <w:color w:val="000000"/>
                <w:kern w:val="0"/>
                <w:szCs w:val="21"/>
              </w:rPr>
            </w:pPr>
            <w:r>
              <w:rPr>
                <w:rFonts w:hint="eastAsia" w:ascii="宋体" w:hAnsi="宋体" w:cs="宋体"/>
                <w:color w:val="000000"/>
                <w:kern w:val="0"/>
                <w:szCs w:val="21"/>
              </w:rPr>
              <w:t>2、支持快速接入客户、产品、客户经理等数据，并可通过配置，少量简单代码或零代码实现客户标签、渠道对接的快速迭代开发。扩展性优秀得2分，一般得1分，较差得0分。（2分）</w:t>
            </w:r>
          </w:p>
          <w:p w14:paraId="6A5B64AB">
            <w:pPr>
              <w:textAlignment w:val="center"/>
              <w:rPr>
                <w:rFonts w:ascii="宋体" w:hAnsi="宋体" w:cs="宋体"/>
                <w:color w:val="000000"/>
                <w:kern w:val="0"/>
                <w:szCs w:val="21"/>
              </w:rPr>
            </w:pPr>
            <w:r>
              <w:rPr>
                <w:rFonts w:hint="eastAsia" w:ascii="宋体" w:hAnsi="宋体" w:cs="宋体"/>
                <w:color w:val="000000"/>
                <w:kern w:val="0"/>
                <w:szCs w:val="21"/>
              </w:rPr>
              <w:t>3、系统设计吞吐量满足招标人目前业务实际需要的同时，满足招标人未来业务发展和数据增长需求，支持横向拓展节点。满足得1分；不满足得0分。（1分）</w:t>
            </w:r>
          </w:p>
        </w:tc>
      </w:tr>
      <w:bookmarkEnd w:id="45"/>
    </w:tbl>
    <w:p w14:paraId="448A8760">
      <w:pPr>
        <w:pStyle w:val="2"/>
      </w:pPr>
      <w:bookmarkStart w:id="85" w:name="_Toc6207"/>
      <w:bookmarkStart w:id="86" w:name="_Toc10040"/>
      <w:bookmarkStart w:id="87" w:name="_Toc16789"/>
      <w:bookmarkStart w:id="88" w:name="_Toc16672689"/>
      <w:bookmarkStart w:id="89" w:name="_Toc489365176"/>
      <w:r>
        <w:rPr>
          <w:rFonts w:hint="eastAsia"/>
        </w:rPr>
        <w:t>测评方式</w:t>
      </w:r>
      <w:bookmarkEnd w:id="85"/>
      <w:bookmarkEnd w:id="86"/>
      <w:bookmarkEnd w:id="87"/>
    </w:p>
    <w:p w14:paraId="1B7C6733">
      <w:pPr>
        <w:pStyle w:val="16"/>
        <w:ind w:firstLine="560"/>
        <w:rPr>
          <w:rFonts w:ascii="仿宋" w:hAnsi="仿宋" w:cs="仿宋"/>
          <w:szCs w:val="28"/>
        </w:rPr>
      </w:pPr>
      <w:r>
        <w:rPr>
          <w:rFonts w:hint="eastAsia" w:ascii="仿宋" w:hAnsi="仿宋" w:cs="仿宋"/>
          <w:szCs w:val="28"/>
        </w:rPr>
        <w:t>本次</w:t>
      </w:r>
      <w:r>
        <w:rPr>
          <w:rFonts w:hint="eastAsia" w:ascii="仿宋" w:hAnsi="仿宋" w:cs="仿宋"/>
          <w:szCs w:val="28"/>
          <w:lang w:eastAsia="zh-CN"/>
        </w:rPr>
        <w:t>零售CRM系统建设项目（第二次）</w:t>
      </w:r>
      <w:r>
        <w:rPr>
          <w:rFonts w:hint="eastAsia" w:ascii="仿宋" w:hAnsi="仿宋" w:cs="仿宋"/>
          <w:szCs w:val="28"/>
        </w:rPr>
        <w:t>POC测评采用现场（演示）方式进行。参测厂商就整体方案、产品功能、业务案例执行结果情况等方面向招标人演示系统功能，招标人抽查、评估产品功能的全面性、易用性、扩展性和特色性等。</w:t>
      </w:r>
    </w:p>
    <w:p w14:paraId="7294BDC6">
      <w:pPr>
        <w:pStyle w:val="16"/>
        <w:ind w:firstLine="560"/>
        <w:rPr>
          <w:rFonts w:hint="eastAsia" w:ascii="仿宋" w:hAnsi="仿宋" w:cs="仿宋"/>
          <w:szCs w:val="28"/>
        </w:rPr>
      </w:pPr>
      <w:r>
        <w:rPr>
          <w:rFonts w:hint="eastAsia" w:ascii="仿宋" w:hAnsi="仿宋" w:cs="仿宋"/>
          <w:szCs w:val="28"/>
        </w:rPr>
        <w:t>本次测评由招标人根据POC评测项进行打分，</w:t>
      </w:r>
      <w:bookmarkEnd w:id="88"/>
      <w:bookmarkEnd w:id="89"/>
      <w:r>
        <w:rPr>
          <w:rFonts w:hint="eastAsia" w:ascii="仿宋" w:hAnsi="仿宋" w:cs="仿宋"/>
          <w:szCs w:val="28"/>
        </w:rPr>
        <w:t>厂商提交的POC测评报告除对招标人要求的测评案例进行逐点应答及佐证外，还需介绍参与POC工作的团队情况，说明POC使用的数据、硬件环境、软件环境等。由</w:t>
      </w:r>
      <w:r>
        <w:rPr>
          <w:rFonts w:hint="eastAsia" w:ascii="仿宋" w:hAnsi="仿宋" w:cs="仿宋"/>
          <w:szCs w:val="28"/>
          <w:lang w:val="en-US" w:eastAsia="zh-CN"/>
        </w:rPr>
        <w:t>招标人根据POC评测评分</w:t>
      </w:r>
      <w:r>
        <w:rPr>
          <w:rFonts w:hint="eastAsia" w:ascii="仿宋" w:hAnsi="仿宋" w:cs="仿宋"/>
          <w:szCs w:val="28"/>
        </w:rPr>
        <w:t>项</w:t>
      </w:r>
      <w:r>
        <w:rPr>
          <w:rFonts w:hint="eastAsia" w:ascii="仿宋" w:hAnsi="仿宋" w:cs="仿宋"/>
          <w:szCs w:val="28"/>
          <w:lang w:val="en-US" w:eastAsia="zh-CN"/>
        </w:rPr>
        <w:t>进行</w:t>
      </w:r>
      <w:r>
        <w:rPr>
          <w:rFonts w:hint="eastAsia" w:ascii="仿宋" w:hAnsi="仿宋" w:cs="仿宋"/>
          <w:szCs w:val="28"/>
        </w:rPr>
        <w:t>打分，</w:t>
      </w:r>
      <w:r>
        <w:rPr>
          <w:rFonts w:hint="eastAsia" w:ascii="仿宋" w:hAnsi="仿宋" w:cs="仿宋"/>
          <w:szCs w:val="28"/>
          <w:lang w:val="en-US" w:eastAsia="zh-CN"/>
        </w:rPr>
        <w:t>POC</w:t>
      </w:r>
      <w:r>
        <w:rPr>
          <w:rFonts w:hint="eastAsia" w:ascii="仿宋" w:hAnsi="仿宋" w:cs="仿宋"/>
          <w:szCs w:val="28"/>
        </w:rPr>
        <w:t>得分结果</w:t>
      </w:r>
      <w:r>
        <w:rPr>
          <w:rFonts w:hint="eastAsia" w:ascii="仿宋" w:hAnsi="仿宋" w:cs="仿宋"/>
          <w:szCs w:val="28"/>
          <w:lang w:val="en-US" w:eastAsia="zh-CN"/>
        </w:rPr>
        <w:t>将作为技术商务评审对应项的参考依据之一</w:t>
      </w:r>
      <w:r>
        <w:rPr>
          <w:rFonts w:hint="eastAsia" w:ascii="仿宋" w:hAnsi="仿宋" w:cs="仿宋"/>
          <w:szCs w:val="28"/>
        </w:rPr>
        <w:t>。</w:t>
      </w:r>
    </w:p>
    <w:p w14:paraId="7C355EA5">
      <w:pPr>
        <w:pStyle w:val="16"/>
        <w:ind w:firstLine="560"/>
        <w:rPr>
          <w:rFonts w:hint="eastAsia" w:ascii="仿宋" w:hAnsi="仿宋" w:eastAsia="仿宋" w:cs="仿宋"/>
          <w:szCs w:val="28"/>
          <w:lang w:eastAsia="zh-CN"/>
        </w:rPr>
      </w:pPr>
      <w:r>
        <w:rPr>
          <w:rFonts w:hint="eastAsia" w:ascii="仿宋" w:hAnsi="仿宋" w:cs="仿宋"/>
          <w:szCs w:val="28"/>
          <w:lang w:val="en-US" w:eastAsia="zh-CN"/>
        </w:rPr>
        <w:t>投标人</w:t>
      </w:r>
      <w:r>
        <w:rPr>
          <w:rFonts w:hint="eastAsia" w:ascii="仿宋" w:hAnsi="仿宋" w:cs="仿宋"/>
          <w:szCs w:val="28"/>
        </w:rPr>
        <w:t>应在招标人指定时间内按要求完成测试内容，</w:t>
      </w:r>
      <w:r>
        <w:rPr>
          <w:rFonts w:hint="eastAsia" w:ascii="仿宋" w:hAnsi="仿宋" w:cs="仿宋"/>
          <w:szCs w:val="28"/>
          <w:lang w:val="en-US" w:eastAsia="zh-CN"/>
        </w:rPr>
        <w:t>自行负责</w:t>
      </w:r>
      <w:r>
        <w:rPr>
          <w:rFonts w:hint="eastAsia" w:ascii="仿宋" w:hAnsi="仿宋" w:cs="仿宋"/>
          <w:szCs w:val="28"/>
        </w:rPr>
        <w:t>对信息安全、测试费用</w:t>
      </w:r>
      <w:r>
        <w:rPr>
          <w:rFonts w:hint="eastAsia" w:ascii="仿宋" w:hAnsi="仿宋" w:cs="仿宋"/>
          <w:szCs w:val="28"/>
          <w:lang w:val="en-US" w:eastAsia="zh-CN"/>
        </w:rPr>
        <w:t>等情况</w:t>
      </w:r>
      <w:r>
        <w:rPr>
          <w:rFonts w:hint="eastAsia" w:ascii="仿宋" w:hAnsi="仿宋" w:cs="仿宋"/>
          <w:szCs w:val="28"/>
          <w:lang w:eastAsia="zh-CN"/>
        </w:rPr>
        <w:t>。投标人</w:t>
      </w:r>
      <w:r>
        <w:rPr>
          <w:rFonts w:hint="eastAsia" w:ascii="仿宋" w:hAnsi="仿宋" w:cs="仿宋"/>
          <w:szCs w:val="28"/>
          <w:lang w:val="en-US" w:eastAsia="zh-CN"/>
        </w:rPr>
        <w:t>应</w:t>
      </w:r>
      <w:r>
        <w:rPr>
          <w:rFonts w:hint="eastAsia" w:ascii="仿宋" w:hAnsi="仿宋" w:cs="仿宋"/>
          <w:szCs w:val="28"/>
          <w:lang w:eastAsia="zh-CN"/>
        </w:rPr>
        <w:t>现场对测试结果进行确认，如有对未通过测试项有疑问，需在现场及时提出。如未对未通过测试项提供可信的解释，以招标人测试结论为准。测试结束后不接受再次测试。</w:t>
      </w:r>
    </w:p>
    <w:p w14:paraId="0535CD2D">
      <w:pPr>
        <w:pStyle w:val="16"/>
        <w:ind w:firstLine="560"/>
        <w:rPr>
          <w:rFonts w:ascii="仿宋" w:hAnsi="仿宋" w:cs="仿宋"/>
          <w:szCs w:val="28"/>
        </w:rPr>
      </w:pPr>
    </w:p>
    <w:p w14:paraId="1378BB6D">
      <w:pPr>
        <w:pStyle w:val="16"/>
        <w:ind w:firstLine="560"/>
        <w:rPr>
          <w:rFonts w:ascii="仿宋" w:hAnsi="仿宋" w:cs="仿宋"/>
          <w:szCs w:val="28"/>
        </w:rPr>
      </w:pPr>
    </w:p>
    <w:p w14:paraId="0B71BB89">
      <w:pPr>
        <w:pStyle w:val="16"/>
        <w:ind w:firstLine="560"/>
        <w:rPr>
          <w:rFonts w:ascii="仿宋" w:hAnsi="仿宋" w:cs="仿宋"/>
          <w:szCs w:val="28"/>
        </w:rPr>
        <w:sectPr>
          <w:headerReference r:id="rId4" w:type="default"/>
          <w:footerReference r:id="rId5" w:type="default"/>
          <w:pgSz w:w="11906" w:h="16838"/>
          <w:pgMar w:top="1418" w:right="1418" w:bottom="1418" w:left="1418" w:header="851" w:footer="819" w:gutter="0"/>
          <w:pgNumType w:start="1"/>
          <w:cols w:space="425" w:num="1"/>
          <w:docGrid w:type="lines" w:linePitch="312" w:charSpace="0"/>
        </w:sectPr>
      </w:pPr>
    </w:p>
    <w:p w14:paraId="177924F8">
      <w:r>
        <w:rPr>
          <w:rFonts w:hint="eastAsia" w:eastAsia="仿宋"/>
          <w:sz w:val="28"/>
          <w:szCs w:val="36"/>
        </w:rPr>
        <w:t>附录：</w:t>
      </w:r>
    </w:p>
    <w:p w14:paraId="0FAAE574">
      <w:pPr>
        <w:widowControl w:val="0"/>
        <w:spacing w:after="240" w:line="480" w:lineRule="auto"/>
        <w:jc w:val="center"/>
        <w:outlineLvl w:val="0"/>
        <w:rPr>
          <w:rFonts w:ascii="仿宋" w:hAnsi="仿宋" w:eastAsia="仿宋" w:cs="仿宋"/>
          <w:b/>
          <w:bCs/>
          <w:sz w:val="28"/>
          <w:szCs w:val="28"/>
        </w:rPr>
      </w:pPr>
      <w:r>
        <w:rPr>
          <w:rFonts w:hint="eastAsia" w:ascii="仿宋" w:hAnsi="仿宋" w:eastAsia="仿宋" w:cs="仿宋"/>
          <w:b/>
          <w:bCs/>
          <w:sz w:val="36"/>
          <w:szCs w:val="36"/>
        </w:rPr>
        <w:t>法定代表人授权委托书</w:t>
      </w:r>
    </w:p>
    <w:p w14:paraId="417EA651">
      <w:pPr>
        <w:widowControl w:val="0"/>
        <w:spacing w:line="360" w:lineRule="auto"/>
        <w:rPr>
          <w:rFonts w:ascii="仿宋" w:hAnsi="仿宋" w:eastAsia="仿宋" w:cs="仿宋"/>
          <w:sz w:val="28"/>
          <w:szCs w:val="28"/>
        </w:rPr>
      </w:pPr>
      <w:r>
        <w:rPr>
          <w:rFonts w:hint="eastAsia" w:ascii="仿宋" w:hAnsi="仿宋" w:eastAsia="仿宋" w:cs="仿宋"/>
          <w:sz w:val="28"/>
          <w:szCs w:val="28"/>
        </w:rPr>
        <w:t>致广东南粤银行股份有限公司：</w:t>
      </w:r>
    </w:p>
    <w:p w14:paraId="25CD0E65">
      <w:pPr>
        <w:widowControl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本授权委托书声明：</w:t>
      </w:r>
      <w:r>
        <w:rPr>
          <w:rFonts w:hint="eastAsia" w:ascii="仿宋" w:hAnsi="仿宋" w:eastAsia="仿宋" w:cs="仿宋"/>
          <w:sz w:val="28"/>
          <w:szCs w:val="28"/>
          <w:u w:val="single"/>
        </w:rPr>
        <w:t xml:space="preserve">                           </w:t>
      </w:r>
      <w:r>
        <w:rPr>
          <w:rFonts w:hint="eastAsia" w:ascii="仿宋" w:hAnsi="仿宋" w:eastAsia="仿宋" w:cs="仿宋"/>
          <w:sz w:val="28"/>
          <w:szCs w:val="28"/>
        </w:rPr>
        <w:t>公司是中华人民共和国合法企业，</w:t>
      </w:r>
      <w:r>
        <w:rPr>
          <w:rFonts w:hint="eastAsia" w:ascii="仿宋" w:hAnsi="仿宋" w:eastAsia="仿宋" w:cs="仿宋"/>
          <w:sz w:val="28"/>
          <w:szCs w:val="28"/>
          <w:u w:val="single"/>
        </w:rPr>
        <w:t xml:space="preserve">          </w:t>
      </w:r>
      <w:r>
        <w:rPr>
          <w:rFonts w:hint="eastAsia" w:ascii="仿宋" w:hAnsi="仿宋" w:eastAsia="仿宋" w:cs="仿宋"/>
          <w:sz w:val="28"/>
          <w:szCs w:val="28"/>
        </w:rPr>
        <w:t>（法定代表人姓名）代表本公司授权委托</w:t>
      </w:r>
      <w:r>
        <w:rPr>
          <w:rFonts w:hint="eastAsia" w:ascii="仿宋" w:hAnsi="仿宋" w:eastAsia="仿宋" w:cs="仿宋"/>
          <w:sz w:val="28"/>
          <w:szCs w:val="28"/>
          <w:u w:val="single"/>
        </w:rPr>
        <w:t xml:space="preserve">                        </w:t>
      </w:r>
      <w:r>
        <w:rPr>
          <w:rFonts w:hint="eastAsia" w:ascii="仿宋" w:hAnsi="仿宋" w:eastAsia="仿宋" w:cs="仿宋"/>
          <w:sz w:val="28"/>
          <w:szCs w:val="28"/>
        </w:rPr>
        <w:t>（被授权人姓名及身份证件号）代表我公司参加贵司的“</w:t>
      </w:r>
      <w:r>
        <w:rPr>
          <w:rFonts w:hint="eastAsia" w:ascii="仿宋" w:hAnsi="仿宋" w:eastAsia="仿宋" w:cs="仿宋"/>
          <w:sz w:val="28"/>
          <w:szCs w:val="28"/>
          <w:lang w:eastAsia="zh-CN"/>
        </w:rPr>
        <w:t>零售CRM系统建设项目（第二次）</w:t>
      </w:r>
      <w:r>
        <w:rPr>
          <w:rFonts w:hint="eastAsia" w:ascii="仿宋" w:hAnsi="仿宋" w:eastAsia="仿宋" w:cs="仿宋"/>
          <w:sz w:val="28"/>
          <w:szCs w:val="28"/>
        </w:rPr>
        <w:t>”的POC测试，并签署相关文件。我公司对被授权人在POC测试中所签署的一切文件及处理与之有关的一切事务均以承认并承担由此产生的全部后果。</w:t>
      </w:r>
    </w:p>
    <w:p w14:paraId="5135A8D7">
      <w:pPr>
        <w:widowControl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本授权书于签字盖章后生效，被授权人无权转授权，特此声明。</w:t>
      </w:r>
    </w:p>
    <w:p w14:paraId="748F055A">
      <w:pPr>
        <w:widowControl w:val="0"/>
        <w:spacing w:line="360" w:lineRule="auto"/>
        <w:rPr>
          <w:rFonts w:ascii="仿宋" w:hAnsi="仿宋" w:eastAsia="仿宋" w:cs="仿宋"/>
          <w:sz w:val="28"/>
          <w:szCs w:val="28"/>
        </w:rPr>
      </w:pPr>
    </w:p>
    <w:p w14:paraId="0E5AAB49">
      <w:pPr>
        <w:widowControl w:val="0"/>
        <w:spacing w:line="360" w:lineRule="auto"/>
        <w:rPr>
          <w:rFonts w:ascii="仿宋" w:hAnsi="仿宋" w:eastAsia="仿宋" w:cs="仿宋"/>
          <w:sz w:val="28"/>
          <w:szCs w:val="28"/>
        </w:rPr>
      </w:pPr>
      <w:r>
        <w:rPr>
          <w:rFonts w:hint="eastAsia" w:ascii="仿宋" w:hAnsi="仿宋" w:eastAsia="仿宋" w:cs="仿宋"/>
          <w:sz w:val="28"/>
          <w:szCs w:val="28"/>
        </w:rPr>
        <w:t>附：被授权人有效身份证正反面复印件</w:t>
      </w:r>
    </w:p>
    <w:p w14:paraId="6A641C01">
      <w:pPr>
        <w:widowControl w:val="0"/>
        <w:spacing w:line="360" w:lineRule="auto"/>
        <w:rPr>
          <w:rFonts w:ascii="仿宋" w:hAnsi="仿宋" w:eastAsia="仿宋" w:cs="仿宋"/>
          <w:sz w:val="28"/>
          <w:szCs w:val="28"/>
        </w:rPr>
      </w:pPr>
    </w:p>
    <w:p w14:paraId="458988F4">
      <w:pPr>
        <w:widowControl w:val="0"/>
        <w:spacing w:line="360" w:lineRule="auto"/>
        <w:rPr>
          <w:rFonts w:ascii="仿宋" w:hAnsi="仿宋" w:eastAsia="仿宋" w:cs="仿宋"/>
          <w:sz w:val="28"/>
          <w:szCs w:val="28"/>
        </w:rPr>
      </w:pPr>
    </w:p>
    <w:p w14:paraId="76C66A22">
      <w:pPr>
        <w:widowControl w:val="0"/>
        <w:spacing w:line="360" w:lineRule="auto"/>
        <w:rPr>
          <w:rFonts w:ascii="仿宋" w:hAnsi="仿宋" w:eastAsia="仿宋" w:cs="仿宋"/>
          <w:sz w:val="28"/>
          <w:szCs w:val="28"/>
        </w:rPr>
      </w:pPr>
    </w:p>
    <w:p w14:paraId="7249CFB6">
      <w:pPr>
        <w:widowControl w:val="0"/>
        <w:spacing w:line="360" w:lineRule="auto"/>
        <w:rPr>
          <w:rFonts w:ascii="仿宋" w:hAnsi="仿宋" w:eastAsia="仿宋" w:cs="仿宋"/>
          <w:sz w:val="28"/>
          <w:szCs w:val="28"/>
        </w:rPr>
      </w:pPr>
      <w:r>
        <w:rPr>
          <w:rFonts w:hint="eastAsia" w:ascii="仿宋" w:hAnsi="仿宋" w:eastAsia="仿宋" w:cs="仿宋"/>
          <w:sz w:val="28"/>
          <w:szCs w:val="28"/>
        </w:rPr>
        <w:t>公司名称（盖章）：</w:t>
      </w:r>
    </w:p>
    <w:p w14:paraId="25CBC877">
      <w:pPr>
        <w:widowControl w:val="0"/>
        <w:spacing w:line="360" w:lineRule="auto"/>
        <w:rPr>
          <w:rFonts w:ascii="仿宋" w:hAnsi="仿宋" w:eastAsia="仿宋" w:cs="仿宋"/>
          <w:sz w:val="28"/>
          <w:szCs w:val="28"/>
        </w:rPr>
      </w:pPr>
      <w:r>
        <w:rPr>
          <w:rFonts w:hint="eastAsia" w:ascii="仿宋" w:hAnsi="仿宋" w:eastAsia="仿宋" w:cs="仿宋"/>
          <w:sz w:val="28"/>
          <w:szCs w:val="28"/>
        </w:rPr>
        <w:t>地         址：</w:t>
      </w:r>
    </w:p>
    <w:p w14:paraId="272DC1CE">
      <w:pPr>
        <w:widowControl w:val="0"/>
        <w:spacing w:line="360" w:lineRule="auto"/>
        <w:rPr>
          <w:rFonts w:ascii="仿宋" w:hAnsi="仿宋" w:eastAsia="仿宋" w:cs="仿宋"/>
          <w:sz w:val="28"/>
          <w:szCs w:val="28"/>
        </w:rPr>
      </w:pPr>
      <w:r>
        <w:rPr>
          <w:rFonts w:hint="eastAsia" w:ascii="仿宋" w:hAnsi="仿宋" w:eastAsia="仿宋" w:cs="仿宋"/>
          <w:sz w:val="28"/>
          <w:szCs w:val="28"/>
        </w:rPr>
        <w:t xml:space="preserve">法定代表人（签字或盖章）：                  </w:t>
      </w:r>
    </w:p>
    <w:p w14:paraId="2CC31346">
      <w:pPr>
        <w:widowControl w:val="0"/>
        <w:spacing w:line="360" w:lineRule="auto"/>
        <w:rPr>
          <w:rFonts w:ascii="仿宋" w:hAnsi="仿宋" w:eastAsia="仿宋" w:cs="仿宋"/>
          <w:sz w:val="28"/>
          <w:szCs w:val="28"/>
        </w:rPr>
      </w:pPr>
      <w:r>
        <w:rPr>
          <w:rFonts w:hint="eastAsia" w:ascii="仿宋" w:hAnsi="仿宋" w:eastAsia="仿宋" w:cs="仿宋"/>
          <w:sz w:val="28"/>
          <w:szCs w:val="28"/>
        </w:rPr>
        <w:t xml:space="preserve">被授权人（签字或盖章）：                职务：          </w:t>
      </w:r>
    </w:p>
    <w:p w14:paraId="73BDD309">
      <w:pPr>
        <w:widowControl w:val="0"/>
        <w:spacing w:line="360" w:lineRule="auto"/>
        <w:rPr>
          <w:rFonts w:ascii="仿宋" w:hAnsi="仿宋" w:eastAsia="仿宋" w:cs="仿宋"/>
          <w:sz w:val="28"/>
          <w:szCs w:val="28"/>
        </w:rPr>
      </w:pPr>
      <w:r>
        <w:rPr>
          <w:rFonts w:hint="eastAsia" w:ascii="仿宋" w:hAnsi="仿宋" w:eastAsia="仿宋" w:cs="仿宋"/>
          <w:sz w:val="28"/>
          <w:szCs w:val="28"/>
        </w:rPr>
        <w:t xml:space="preserve">被授权人联系电话：                      邮箱：                 </w:t>
      </w:r>
    </w:p>
    <w:p w14:paraId="7488DAE9">
      <w:pPr>
        <w:widowControl w:val="0"/>
        <w:spacing w:line="360" w:lineRule="auto"/>
        <w:rPr>
          <w:rFonts w:ascii="仿宋" w:hAnsi="仿宋" w:eastAsia="仿宋" w:cs="仿宋"/>
          <w:sz w:val="28"/>
          <w:szCs w:val="28"/>
        </w:rPr>
      </w:pPr>
      <w:r>
        <w:rPr>
          <w:rFonts w:hint="eastAsia" w:ascii="仿宋" w:hAnsi="仿宋" w:eastAsia="仿宋" w:cs="仿宋"/>
          <w:sz w:val="28"/>
          <w:szCs w:val="28"/>
        </w:rPr>
        <w:t>日期：</w:t>
      </w:r>
    </w:p>
    <w:sectPr>
      <w:head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Black">
    <w:panose1 w:val="020B0A04020102020204"/>
    <w:charset w:val="00"/>
    <w:family w:val="swiss"/>
    <w:pitch w:val="default"/>
    <w:sig w:usb0="A00002AF" w:usb1="400078FB" w:usb2="00000000" w:usb3="00000000" w:csb0="6000009F" w:csb1="DFD7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汉仪仿宋KW">
    <w:altName w:val="仿宋"/>
    <w:panose1 w:val="00020600040101010101"/>
    <w:charset w:val="86"/>
    <w:family w:val="auto"/>
    <w:pitch w:val="default"/>
    <w:sig w:usb0="00000000" w:usb1="00000000" w:usb2="00000016" w:usb3="00000000" w:csb0="00040000" w:csb1="00000000"/>
  </w:font>
  <w:font w:name="Times">
    <w:altName w:val="Times New Roman"/>
    <w:panose1 w:val="02020603050405020304"/>
    <w:charset w:val="00"/>
    <w:family w:val="auto"/>
    <w:pitch w:val="default"/>
    <w:sig w:usb0="00000000" w:usb1="00000000" w:usb2="00000009" w:usb3="00000000" w:csb0="000001FF" w:csb1="00000000"/>
  </w:font>
  <w:font w:name="Futura Bk">
    <w:altName w:val="Segoe Print"/>
    <w:panose1 w:val="00000000000000000000"/>
    <w:charset w:val="00"/>
    <w:family w:val="auto"/>
    <w:pitch w:val="default"/>
    <w:sig w:usb0="00000000" w:usb1="00000000" w:usb2="00000000" w:usb3="00000000" w:csb0="0000009F" w:csb1="00000000"/>
  </w:font>
  <w:font w:name="C059">
    <w:altName w:val="Segoe Print"/>
    <w:panose1 w:val="00000500000000000000"/>
    <w:charset w:val="00"/>
    <w:family w:val="auto"/>
    <w:pitch w:val="default"/>
    <w:sig w:usb0="00000000" w:usb1="00000000" w:usb2="00000000" w:usb3="00000000" w:csb0="6000009F" w:csb1="00000000"/>
  </w:font>
  <w:font w:name="楷体_GB2312">
    <w:altName w:val="楷体"/>
    <w:panose1 w:val="00000000000000000000"/>
    <w:charset w:val="86"/>
    <w:family w:val="modern"/>
    <w:pitch w:val="default"/>
    <w:sig w:usb0="00000000" w:usb1="00000000" w:usb2="00000010" w:usb3="00000000" w:csb0="00040000" w:csb1="00000000"/>
  </w:font>
  <w:font w:name="汉仪楷体KW">
    <w:altName w:val="宋体"/>
    <w:panose1 w:val="00020600040101010101"/>
    <w:charset w:val="86"/>
    <w:family w:val="auto"/>
    <w:pitch w:val="default"/>
    <w:sig w:usb0="00000000" w:usb1="00000000" w:usb2="00000016" w:usb3="00000000" w:csb0="00040000" w:csb1="00000000"/>
  </w:font>
  <w:font w:name="Wingdings 3">
    <w:panose1 w:val="050401020108070707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 w:name="Songti SC">
    <w:altName w:val="宋体"/>
    <w:panose1 w:val="00000000000000000000"/>
    <w:charset w:val="86"/>
    <w:family w:val="auto"/>
    <w:pitch w:val="default"/>
    <w:sig w:usb0="00000000" w:usb1="00000000" w:usb2="00000000" w:usb3="00000000" w:csb0="00040000" w:csb1="00000000"/>
  </w:font>
  <w:font w:name="汉仪中黑KW">
    <w:altName w:val="黑体"/>
    <w:panose1 w:val="00020600040101010101"/>
    <w:charset w:val="86"/>
    <w:family w:val="auto"/>
    <w:pitch w:val="default"/>
    <w:sig w:usb0="00000000" w:usb1="00000000" w:usb2="00000016"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B3DF4">
    <w:pPr>
      <w:pStyle w:val="24"/>
      <w:jc w:val="center"/>
    </w:pPr>
    <w:r>
      <w:fldChar w:fldCharType="begin"/>
    </w:r>
    <w:r>
      <w:instrText xml:space="preserve"> PAGE   \* MERGEFORMAT </w:instrText>
    </w:r>
    <w:r>
      <w:fldChar w:fldCharType="separate"/>
    </w:r>
    <w:r>
      <w:rPr>
        <w:lang w:val="zh-CN"/>
      </w:rPr>
      <w:t>8</w:t>
    </w:r>
    <w:r>
      <w:rPr>
        <w:lang w:val="zh-CN"/>
      </w:rPr>
      <w:fldChar w:fldCharType="end"/>
    </w:r>
  </w:p>
  <w:p w14:paraId="29FF6537">
    <w:pPr>
      <w:pStyle w:val="24"/>
      <w:pBdr>
        <w:top w:val="single" w:color="D9D9D9" w:sz="4" w:space="0"/>
      </w:pBdr>
      <w:tabs>
        <w:tab w:val="left" w:pos="4200"/>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88DD6">
    <w:pPr>
      <w:pBdr>
        <w:bottom w:val="single" w:color="auto" w:sz="4" w:space="1"/>
      </w:pBdr>
      <w:jc w:val="both"/>
    </w:pPr>
    <w:r>
      <w:drawing>
        <wp:inline distT="0" distB="0" distL="0" distR="0">
          <wp:extent cx="1333500" cy="29527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srcRect/>
                  <a:stretch>
                    <a:fillRect/>
                  </a:stretch>
                </pic:blipFill>
                <pic:spPr>
                  <a:xfrm>
                    <a:off x="0" y="0"/>
                    <a:ext cx="1333500" cy="295275"/>
                  </a:xfrm>
                  <a:prstGeom prst="rect">
                    <a:avLst/>
                  </a:prstGeom>
                  <a:noFill/>
                  <a:ln w="9525">
                    <a:noFill/>
                    <a:miter lim="800000"/>
                    <a:headEnd/>
                    <a:tailEnd/>
                  </a:ln>
                </pic:spPr>
              </pic:pic>
            </a:graphicData>
          </a:graphic>
        </wp:inline>
      </w:drawing>
    </w:r>
    <w:r>
      <w:rPr>
        <w:rFonts w:hint="eastAsia"/>
      </w:rPr>
      <w:t xml:space="preserve">                   </w:t>
    </w:r>
    <w:r>
      <w:t xml:space="preserve"> </w:t>
    </w:r>
    <w:r>
      <w:rPr>
        <w:rFonts w:hint="eastAsia"/>
      </w:rPr>
      <w:t xml:space="preserve">           </w:t>
    </w:r>
    <w:r>
      <w:rPr>
        <w:rFonts w:hint="eastAsia" w:asciiTheme="minorEastAsia" w:hAnsiTheme="minorEastAsia" w:eastAsiaTheme="minorEastAsia"/>
        <w:sz w:val="18"/>
        <w:szCs w:val="18"/>
        <w:lang w:eastAsia="zh-CN"/>
      </w:rPr>
      <w:t>零售CRM系统建设项目（第二次）</w:t>
    </w:r>
    <w:r>
      <w:rPr>
        <w:rFonts w:hint="eastAsia" w:asciiTheme="minorEastAsia" w:hAnsiTheme="minorEastAsia" w:eastAsiaTheme="minorEastAsia"/>
        <w:sz w:val="18"/>
        <w:szCs w:val="18"/>
      </w:rPr>
      <w:t>P</w:t>
    </w:r>
    <w:r>
      <w:rPr>
        <w:rFonts w:asciiTheme="minorEastAsia" w:hAnsiTheme="minorEastAsia" w:eastAsiaTheme="minorEastAsia"/>
        <w:sz w:val="18"/>
        <w:szCs w:val="18"/>
      </w:rPr>
      <w:t>OC</w:t>
    </w:r>
    <w:r>
      <w:rPr>
        <w:rFonts w:hint="eastAsia" w:asciiTheme="minorEastAsia" w:hAnsiTheme="minorEastAsia" w:eastAsiaTheme="minorEastAsia"/>
        <w:sz w:val="18"/>
        <w:szCs w:val="18"/>
      </w:rPr>
      <w:t>评测方案</w:t>
    </w:r>
  </w:p>
  <w:p w14:paraId="49718C10">
    <w:pPr>
      <w:pStyle w:val="25"/>
      <w:pBdr>
        <w:bottom w:val="none" w:color="auto" w:sz="0" w:space="0"/>
      </w:pBdr>
      <w:jc w:val="both"/>
    </w:pPr>
    <w:r>
      <w:t xml:space="preserve">    </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72792">
    <w:pPr>
      <w:pBdr>
        <w:bottom w:val="single" w:color="auto" w:sz="4" w:space="1"/>
      </w:pBdr>
    </w:pPr>
    <w:r>
      <w:drawing>
        <wp:inline distT="0" distB="0" distL="0" distR="0">
          <wp:extent cx="1333500" cy="295275"/>
          <wp:effectExtent l="1905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noChangeArrowheads="1"/>
                  </pic:cNvPicPr>
                </pic:nvPicPr>
                <pic:blipFill>
                  <a:blip r:embed="rId1"/>
                  <a:srcRect/>
                  <a:stretch>
                    <a:fillRect/>
                  </a:stretch>
                </pic:blipFill>
                <pic:spPr>
                  <a:xfrm>
                    <a:off x="0" y="0"/>
                    <a:ext cx="1333500" cy="295275"/>
                  </a:xfrm>
                  <a:prstGeom prst="rect">
                    <a:avLst/>
                  </a:prstGeom>
                  <a:noFill/>
                  <a:ln w="9525">
                    <a:noFill/>
                    <a:miter lim="800000"/>
                    <a:headEnd/>
                    <a:tailEnd/>
                  </a:ln>
                </pic:spPr>
              </pic:pic>
            </a:graphicData>
          </a:graphic>
        </wp:inline>
      </w:drawing>
    </w:r>
    <w:r>
      <w:rPr>
        <w:rFonts w:hint="eastAsia"/>
      </w:rPr>
      <w:t xml:space="preserve">                </w:t>
    </w:r>
    <w:r>
      <w:t xml:space="preserve">   </w:t>
    </w:r>
    <w:r>
      <w:rPr>
        <w:rFonts w:hint="eastAsia"/>
      </w:rPr>
      <w:t xml:space="preserve">                  </w:t>
    </w:r>
    <w:r>
      <w:t xml:space="preserve"> </w:t>
    </w:r>
    <w:r>
      <w:rPr>
        <w:rFonts w:hint="eastAsia" w:asciiTheme="minorEastAsia" w:hAnsiTheme="minorEastAsia" w:eastAsiaTheme="minorEastAsia"/>
        <w:sz w:val="18"/>
        <w:szCs w:val="18"/>
        <w:lang w:eastAsia="zh-CN"/>
      </w:rPr>
      <w:t>零售CRM系统建设项目（第二次）</w:t>
    </w:r>
    <w:r>
      <w:rPr>
        <w:rFonts w:hint="eastAsia" w:asciiTheme="minorEastAsia" w:hAnsiTheme="minorEastAsia" w:eastAsiaTheme="minorEastAsia"/>
        <w:sz w:val="18"/>
        <w:szCs w:val="18"/>
      </w:rPr>
      <w:t>P</w:t>
    </w:r>
    <w:r>
      <w:rPr>
        <w:rFonts w:asciiTheme="minorEastAsia" w:hAnsiTheme="minorEastAsia" w:eastAsiaTheme="minorEastAsia"/>
        <w:sz w:val="18"/>
        <w:szCs w:val="18"/>
      </w:rPr>
      <w:t>OC</w:t>
    </w:r>
    <w:r>
      <w:rPr>
        <w:rFonts w:hint="eastAsia" w:asciiTheme="minorEastAsia" w:hAnsiTheme="minorEastAsia" w:eastAsiaTheme="minorEastAsia"/>
        <w:sz w:val="18"/>
        <w:szCs w:val="18"/>
      </w:rPr>
      <w:t>评测方案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7B0EF">
    <w:pPr>
      <w:pStyle w:val="2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157FFA"/>
    <w:multiLevelType w:val="singleLevel"/>
    <w:tmpl w:val="BA157FFA"/>
    <w:lvl w:ilvl="0" w:tentative="0">
      <w:start w:val="1"/>
      <w:numFmt w:val="decimal"/>
      <w:suff w:val="nothing"/>
      <w:lvlText w:val="%1、"/>
      <w:lvlJc w:val="left"/>
    </w:lvl>
  </w:abstractNum>
  <w:abstractNum w:abstractNumId="1">
    <w:nsid w:val="035E5B1C"/>
    <w:multiLevelType w:val="multilevel"/>
    <w:tmpl w:val="035E5B1C"/>
    <w:lvl w:ilvl="0" w:tentative="0">
      <w:start w:val="1"/>
      <w:numFmt w:val="bullet"/>
      <w:pStyle w:val="84"/>
      <w:lvlText w:val=""/>
      <w:lvlJc w:val="left"/>
      <w:pPr>
        <w:ind w:left="900" w:hanging="420"/>
      </w:pPr>
      <w:rPr>
        <w:rFonts w:hint="default" w:ascii="Wingdings" w:hAnsi="Wingdings"/>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155219F1"/>
    <w:multiLevelType w:val="multilevel"/>
    <w:tmpl w:val="155219F1"/>
    <w:lvl w:ilvl="0" w:tentative="0">
      <w:start w:val="1"/>
      <w:numFmt w:val="decimal"/>
      <w:pStyle w:val="70"/>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139179A"/>
    <w:multiLevelType w:val="singleLevel"/>
    <w:tmpl w:val="2139179A"/>
    <w:lvl w:ilvl="0" w:tentative="0">
      <w:start w:val="1"/>
      <w:numFmt w:val="decimal"/>
      <w:suff w:val="nothing"/>
      <w:lvlText w:val="（%1）"/>
      <w:lvlJc w:val="left"/>
    </w:lvl>
  </w:abstractNum>
  <w:abstractNum w:abstractNumId="4">
    <w:nsid w:val="253807C3"/>
    <w:multiLevelType w:val="multilevel"/>
    <w:tmpl w:val="253807C3"/>
    <w:lvl w:ilvl="0" w:tentative="0">
      <w:start w:val="1"/>
      <w:numFmt w:val="chineseCountingThousand"/>
      <w:pStyle w:val="68"/>
      <w:lvlText w:val="第%1条"/>
      <w:lvlJc w:val="left"/>
      <w:pPr>
        <w:ind w:left="420" w:hanging="420"/>
      </w:pPr>
      <w:rPr>
        <w:rFonts w:hint="eastAsia" w:ascii="仿宋_GB2312" w:eastAsia="仿宋_GB2312"/>
        <w:b/>
      </w:rPr>
    </w:lvl>
    <w:lvl w:ilvl="1" w:tentative="0">
      <w:start w:val="1"/>
      <w:numFmt w:val="japaneseCounting"/>
      <w:lvlText w:val="（%2）"/>
      <w:lvlJc w:val="left"/>
      <w:pPr>
        <w:ind w:left="1500" w:hanging="108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ACD3A05"/>
    <w:multiLevelType w:val="multilevel"/>
    <w:tmpl w:val="2ACD3A05"/>
    <w:lvl w:ilvl="0" w:tentative="0">
      <w:start w:val="1"/>
      <w:numFmt w:val="bullet"/>
      <w:pStyle w:val="79"/>
      <w:lvlText w:val=""/>
      <w:lvlJc w:val="left"/>
      <w:pPr>
        <w:tabs>
          <w:tab w:val="left" w:pos="480"/>
        </w:tabs>
        <w:ind w:left="480" w:hanging="480"/>
      </w:pPr>
      <w:rPr>
        <w:rFonts w:hint="default" w:ascii="Wingdings 3" w:hAnsi="Wingdings 3"/>
        <w:sz w:val="22"/>
        <w:szCs w:val="22"/>
      </w:rPr>
    </w:lvl>
    <w:lvl w:ilvl="1" w:tentative="0">
      <w:start w:val="1"/>
      <w:numFmt w:val="bullet"/>
      <w:lvlText w:val=""/>
      <w:lvlJc w:val="left"/>
      <w:pPr>
        <w:tabs>
          <w:tab w:val="left" w:pos="960"/>
        </w:tabs>
        <w:ind w:left="960" w:hanging="480"/>
      </w:pPr>
      <w:rPr>
        <w:rFonts w:hint="default" w:ascii="Wingdings" w:hAnsi="Wingdings"/>
      </w:rPr>
    </w:lvl>
    <w:lvl w:ilvl="2" w:tentative="0">
      <w:start w:val="1"/>
      <w:numFmt w:val="bullet"/>
      <w:lvlText w:val=""/>
      <w:lvlJc w:val="left"/>
      <w:pPr>
        <w:tabs>
          <w:tab w:val="left" w:pos="1440"/>
        </w:tabs>
        <w:ind w:left="1440" w:hanging="480"/>
      </w:pPr>
      <w:rPr>
        <w:rFonts w:hint="default" w:ascii="Wingdings" w:hAnsi="Wingdings"/>
      </w:rPr>
    </w:lvl>
    <w:lvl w:ilvl="3" w:tentative="0">
      <w:start w:val="1"/>
      <w:numFmt w:val="bullet"/>
      <w:lvlText w:val=""/>
      <w:lvlJc w:val="left"/>
      <w:pPr>
        <w:tabs>
          <w:tab w:val="left" w:pos="1920"/>
        </w:tabs>
        <w:ind w:left="1920" w:hanging="480"/>
      </w:pPr>
      <w:rPr>
        <w:rFonts w:hint="default" w:ascii="Wingdings" w:hAnsi="Wingdings"/>
      </w:rPr>
    </w:lvl>
    <w:lvl w:ilvl="4" w:tentative="0">
      <w:start w:val="1"/>
      <w:numFmt w:val="bullet"/>
      <w:lvlText w:val=""/>
      <w:lvlJc w:val="left"/>
      <w:pPr>
        <w:tabs>
          <w:tab w:val="left" w:pos="2400"/>
        </w:tabs>
        <w:ind w:left="2400" w:hanging="480"/>
      </w:pPr>
      <w:rPr>
        <w:rFonts w:hint="default" w:ascii="Wingdings" w:hAnsi="Wingdings"/>
      </w:rPr>
    </w:lvl>
    <w:lvl w:ilvl="5" w:tentative="0">
      <w:start w:val="1"/>
      <w:numFmt w:val="bullet"/>
      <w:lvlText w:val=""/>
      <w:lvlJc w:val="left"/>
      <w:pPr>
        <w:tabs>
          <w:tab w:val="left" w:pos="2880"/>
        </w:tabs>
        <w:ind w:left="2880" w:hanging="480"/>
      </w:pPr>
      <w:rPr>
        <w:rFonts w:hint="default" w:ascii="Wingdings" w:hAnsi="Wingdings"/>
      </w:rPr>
    </w:lvl>
    <w:lvl w:ilvl="6" w:tentative="0">
      <w:start w:val="1"/>
      <w:numFmt w:val="bullet"/>
      <w:lvlText w:val=""/>
      <w:lvlJc w:val="left"/>
      <w:pPr>
        <w:tabs>
          <w:tab w:val="left" w:pos="3360"/>
        </w:tabs>
        <w:ind w:left="3360" w:hanging="480"/>
      </w:pPr>
      <w:rPr>
        <w:rFonts w:hint="default" w:ascii="Wingdings" w:hAnsi="Wingdings"/>
      </w:rPr>
    </w:lvl>
    <w:lvl w:ilvl="7" w:tentative="0">
      <w:start w:val="1"/>
      <w:numFmt w:val="bullet"/>
      <w:lvlText w:val=""/>
      <w:lvlJc w:val="left"/>
      <w:pPr>
        <w:tabs>
          <w:tab w:val="left" w:pos="3840"/>
        </w:tabs>
        <w:ind w:left="3840" w:hanging="480"/>
      </w:pPr>
      <w:rPr>
        <w:rFonts w:hint="default" w:ascii="Wingdings" w:hAnsi="Wingdings"/>
      </w:rPr>
    </w:lvl>
    <w:lvl w:ilvl="8" w:tentative="0">
      <w:start w:val="1"/>
      <w:numFmt w:val="bullet"/>
      <w:lvlText w:val=""/>
      <w:lvlJc w:val="left"/>
      <w:pPr>
        <w:tabs>
          <w:tab w:val="left" w:pos="4320"/>
        </w:tabs>
        <w:ind w:left="4320" w:hanging="480"/>
      </w:pPr>
      <w:rPr>
        <w:rFonts w:hint="default" w:ascii="Wingdings" w:hAnsi="Wingdings"/>
      </w:rPr>
    </w:lvl>
  </w:abstractNum>
  <w:abstractNum w:abstractNumId="6">
    <w:nsid w:val="49CD0738"/>
    <w:multiLevelType w:val="multilevel"/>
    <w:tmpl w:val="49CD0738"/>
    <w:lvl w:ilvl="0" w:tentative="0">
      <w:start w:val="1"/>
      <w:numFmt w:val="decimal"/>
      <w:lvlText w:val="%1"/>
      <w:lvlJc w:val="left"/>
      <w:pPr>
        <w:ind w:left="432" w:hanging="432"/>
      </w:pPr>
      <w:rPr>
        <w:rFonts w:hint="default" w:ascii="Arial Black" w:hAnsi="Arial Black"/>
      </w:rPr>
    </w:lvl>
    <w:lvl w:ilvl="1" w:tentative="0">
      <w:start w:val="1"/>
      <w:numFmt w:val="decimal"/>
      <w:lvlText w:val="%1.%2"/>
      <w:lvlJc w:val="left"/>
      <w:pPr>
        <w:ind w:left="576" w:hanging="576"/>
      </w:pPr>
      <w:rPr>
        <w:rFonts w:hint="default" w:ascii="Arial Black" w:hAnsi="Arial Black" w:eastAsia="仿宋"/>
      </w:rPr>
    </w:lvl>
    <w:lvl w:ilvl="2" w:tentative="0">
      <w:start w:val="1"/>
      <w:numFmt w:val="decimal"/>
      <w:lvlText w:val="3.3.%3"/>
      <w:lvlJc w:val="left"/>
      <w:pPr>
        <w:ind w:left="567" w:hanging="567"/>
      </w:pPr>
      <w:rPr>
        <w:rFonts w:hint="default" w:ascii="宋体" w:hAnsi="宋体" w:eastAsia="宋体"/>
        <w:b/>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2" w:hanging="1152"/>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4" w:hanging="1584"/>
      </w:pPr>
      <w:rPr>
        <w:rFonts w:hint="default"/>
      </w:rPr>
    </w:lvl>
  </w:abstractNum>
  <w:abstractNum w:abstractNumId="7">
    <w:nsid w:val="57CE66AF"/>
    <w:multiLevelType w:val="multilevel"/>
    <w:tmpl w:val="57CE66AF"/>
    <w:lvl w:ilvl="0" w:tentative="0">
      <w:start w:val="1"/>
      <w:numFmt w:val="chineseCounting"/>
      <w:pStyle w:val="92"/>
      <w:suff w:val="space"/>
      <w:lvlText w:val="%1. "/>
      <w:lvlJc w:val="left"/>
      <w:pPr>
        <w:tabs>
          <w:tab w:val="left" w:pos="0"/>
        </w:tabs>
        <w:ind w:left="0" w:firstLine="0"/>
      </w:pPr>
      <w:rPr>
        <w:rFonts w:hint="eastAsia" w:ascii="宋体" w:hAnsi="宋体" w:eastAsia="宋体" w:cs="宋体"/>
        <w:b/>
        <w:sz w:val="44"/>
      </w:rPr>
    </w:lvl>
    <w:lvl w:ilvl="1" w:tentative="0">
      <w:start w:val="1"/>
      <w:numFmt w:val="decimal"/>
      <w:isLgl/>
      <w:suff w:val="space"/>
      <w:lvlText w:val="%1.%2 "/>
      <w:lvlJc w:val="left"/>
      <w:pPr>
        <w:ind w:left="0" w:firstLine="0"/>
      </w:pPr>
      <w:rPr>
        <w:rFonts w:hint="eastAsia" w:ascii="宋体" w:hAnsi="宋体" w:eastAsia="宋体" w:cs="宋体"/>
        <w:b/>
        <w:sz w:val="32"/>
      </w:rPr>
    </w:lvl>
    <w:lvl w:ilvl="2" w:tentative="0">
      <w:start w:val="1"/>
      <w:numFmt w:val="decimal"/>
      <w:pStyle w:val="91"/>
      <w:isLgl/>
      <w:suff w:val="space"/>
      <w:lvlText w:val="%1.%2.%3 "/>
      <w:lvlJc w:val="left"/>
      <w:pPr>
        <w:tabs>
          <w:tab w:val="left" w:pos="0"/>
        </w:tabs>
        <w:ind w:left="0" w:firstLine="0"/>
      </w:pPr>
      <w:rPr>
        <w:rFonts w:hint="eastAsia" w:ascii="宋体" w:hAnsi="宋体" w:eastAsia="宋体" w:cs="宋体"/>
        <w:b/>
        <w:sz w:val="30"/>
      </w:rPr>
    </w:lvl>
    <w:lvl w:ilvl="3" w:tentative="0">
      <w:start w:val="1"/>
      <w:numFmt w:val="decimal"/>
      <w:isLgl/>
      <w:suff w:val="space"/>
      <w:lvlText w:val="%1.%2.%3.%4 "/>
      <w:lvlJc w:val="left"/>
      <w:pPr>
        <w:tabs>
          <w:tab w:val="left" w:pos="0"/>
        </w:tabs>
        <w:ind w:left="0" w:firstLine="0"/>
      </w:pPr>
      <w:rPr>
        <w:rFonts w:hint="eastAsia" w:ascii="宋体" w:hAnsi="宋体" w:eastAsia="宋体" w:cs="宋体"/>
        <w:b/>
        <w:sz w:val="28"/>
      </w:rPr>
    </w:lvl>
    <w:lvl w:ilvl="4" w:tentative="0">
      <w:start w:val="1"/>
      <w:numFmt w:val="decimal"/>
      <w:isLgl/>
      <w:suff w:val="space"/>
      <w:lvlText w:val="%1.%2.%3.%4.%5 "/>
      <w:lvlJc w:val="left"/>
      <w:pPr>
        <w:ind w:left="1134" w:hanging="1134"/>
      </w:pPr>
      <w:rPr>
        <w:rFonts w:hint="eastAsia"/>
      </w:rPr>
    </w:lvl>
    <w:lvl w:ilvl="5" w:tentative="0">
      <w:start w:val="1"/>
      <w:numFmt w:val="decimal"/>
      <w:isLgl/>
      <w:suff w:val="space"/>
      <w:lvlText w:val="%1.%2.%3.%4.%5.%6 "/>
      <w:lvlJc w:val="left"/>
      <w:pPr>
        <w:ind w:left="1247" w:hanging="1247"/>
      </w:pPr>
      <w:rPr>
        <w:rFonts w:hint="eastAsia"/>
      </w:rPr>
    </w:lvl>
    <w:lvl w:ilvl="6" w:tentative="0">
      <w:start w:val="1"/>
      <w:numFmt w:val="decimal"/>
      <w:lvlRestart w:val="1"/>
      <w:isLgl/>
      <w:suff w:val="space"/>
      <w:lvlText w:val="图 %1.%7 "/>
      <w:lvlJc w:val="left"/>
      <w:pPr>
        <w:ind w:left="0" w:firstLine="0"/>
      </w:pPr>
      <w:rPr>
        <w:rFonts w:hint="eastAsia"/>
      </w:rPr>
    </w:lvl>
    <w:lvl w:ilvl="7" w:tentative="0">
      <w:start w:val="1"/>
      <w:numFmt w:val="decimal"/>
      <w:lvlRestart w:val="1"/>
      <w:isLgl/>
      <w:suff w:val="space"/>
      <w:lvlText w:val="表 %1.%8 "/>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8">
    <w:nsid w:val="5A69C248"/>
    <w:multiLevelType w:val="multilevel"/>
    <w:tmpl w:val="5A69C248"/>
    <w:lvl w:ilvl="0" w:tentative="0">
      <w:start w:val="1"/>
      <w:numFmt w:val="decimal"/>
      <w:pStyle w:val="2"/>
      <w:lvlText w:val="%1."/>
      <w:lvlJc w:val="left"/>
      <w:pPr>
        <w:tabs>
          <w:tab w:val="left" w:pos="425"/>
        </w:tabs>
        <w:ind w:left="425" w:hanging="425"/>
      </w:pPr>
      <w:rPr>
        <w:rFonts w:hint="default"/>
      </w:rPr>
    </w:lvl>
    <w:lvl w:ilvl="1" w:tentative="0">
      <w:start w:val="1"/>
      <w:numFmt w:val="decimal"/>
      <w:pStyle w:val="3"/>
      <w:lvlText w:val="%1.%2."/>
      <w:lvlJc w:val="left"/>
      <w:pPr>
        <w:tabs>
          <w:tab w:val="left" w:pos="567"/>
        </w:tabs>
        <w:ind w:left="567" w:hanging="567"/>
      </w:pPr>
      <w:rPr>
        <w:rFonts w:hint="default"/>
      </w:rPr>
    </w:lvl>
    <w:lvl w:ilvl="2" w:tentative="0">
      <w:start w:val="1"/>
      <w:numFmt w:val="decimal"/>
      <w:pStyle w:val="4"/>
      <w:lvlText w:val="%1.%2.%3."/>
      <w:lvlJc w:val="left"/>
      <w:pPr>
        <w:tabs>
          <w:tab w:val="left" w:pos="709"/>
        </w:tabs>
        <w:ind w:left="567" w:hanging="567"/>
      </w:pPr>
      <w:rPr>
        <w:rFonts w:hint="default"/>
      </w:rPr>
    </w:lvl>
    <w:lvl w:ilvl="3" w:tentative="0">
      <w:start w:val="1"/>
      <w:numFmt w:val="decimal"/>
      <w:lvlText w:val="%1.%2.%3.%4."/>
      <w:lvlJc w:val="left"/>
      <w:pPr>
        <w:tabs>
          <w:tab w:val="left" w:pos="850"/>
        </w:tabs>
        <w:ind w:left="850" w:hanging="850"/>
      </w:pPr>
      <w:rPr>
        <w:rFonts w:hint="default"/>
      </w:rPr>
    </w:lvl>
    <w:lvl w:ilvl="4" w:tentative="0">
      <w:start w:val="1"/>
      <w:numFmt w:val="decimal"/>
      <w:lvlText w:val="%1.%2.%3.%4.%5."/>
      <w:lvlJc w:val="left"/>
      <w:pPr>
        <w:tabs>
          <w:tab w:val="left" w:pos="991"/>
        </w:tabs>
        <w:ind w:left="991" w:hanging="991"/>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5"/>
        </w:tabs>
        <w:ind w:left="1275" w:hanging="1275"/>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8"/>
        </w:tabs>
        <w:ind w:left="1558" w:hanging="1558"/>
      </w:pPr>
      <w:rPr>
        <w:rFonts w:hint="default"/>
      </w:rPr>
    </w:lvl>
  </w:abstractNum>
  <w:num w:numId="1">
    <w:abstractNumId w:val="8"/>
  </w:num>
  <w:num w:numId="2">
    <w:abstractNumId w:val="6"/>
  </w:num>
  <w:num w:numId="3">
    <w:abstractNumId w:val="4"/>
  </w:num>
  <w:num w:numId="4">
    <w:abstractNumId w:val="2"/>
  </w:num>
  <w:num w:numId="5">
    <w:abstractNumId w:val="5"/>
  </w:num>
  <w:num w:numId="6">
    <w:abstractNumId w:val="1"/>
  </w:num>
  <w:num w:numId="7">
    <w:abstractNumId w:val="7"/>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A4C"/>
    <w:rsid w:val="00000065"/>
    <w:rsid w:val="0000173B"/>
    <w:rsid w:val="00001DC0"/>
    <w:rsid w:val="000022D0"/>
    <w:rsid w:val="00002E48"/>
    <w:rsid w:val="00004198"/>
    <w:rsid w:val="00011E9E"/>
    <w:rsid w:val="000128A8"/>
    <w:rsid w:val="00013D41"/>
    <w:rsid w:val="00013DFA"/>
    <w:rsid w:val="00015213"/>
    <w:rsid w:val="0001754E"/>
    <w:rsid w:val="0002164A"/>
    <w:rsid w:val="000223E8"/>
    <w:rsid w:val="000224F2"/>
    <w:rsid w:val="000235DA"/>
    <w:rsid w:val="0002415B"/>
    <w:rsid w:val="000262AF"/>
    <w:rsid w:val="00026A7E"/>
    <w:rsid w:val="0003006B"/>
    <w:rsid w:val="000304A1"/>
    <w:rsid w:val="0003125F"/>
    <w:rsid w:val="0003216B"/>
    <w:rsid w:val="00033B17"/>
    <w:rsid w:val="0003418E"/>
    <w:rsid w:val="00034E70"/>
    <w:rsid w:val="00035381"/>
    <w:rsid w:val="000353B6"/>
    <w:rsid w:val="000371B8"/>
    <w:rsid w:val="000412C6"/>
    <w:rsid w:val="00041CA5"/>
    <w:rsid w:val="000428F6"/>
    <w:rsid w:val="000433A8"/>
    <w:rsid w:val="000469B4"/>
    <w:rsid w:val="000477EC"/>
    <w:rsid w:val="0005116D"/>
    <w:rsid w:val="00053548"/>
    <w:rsid w:val="00053DB5"/>
    <w:rsid w:val="0005464C"/>
    <w:rsid w:val="00054714"/>
    <w:rsid w:val="00054BA9"/>
    <w:rsid w:val="0005525B"/>
    <w:rsid w:val="0005547D"/>
    <w:rsid w:val="00056984"/>
    <w:rsid w:val="000606C7"/>
    <w:rsid w:val="000609B4"/>
    <w:rsid w:val="00062F8E"/>
    <w:rsid w:val="00063A5A"/>
    <w:rsid w:val="00066305"/>
    <w:rsid w:val="00067546"/>
    <w:rsid w:val="00067B3E"/>
    <w:rsid w:val="00067EFF"/>
    <w:rsid w:val="00067F9B"/>
    <w:rsid w:val="0007021F"/>
    <w:rsid w:val="00071314"/>
    <w:rsid w:val="00072022"/>
    <w:rsid w:val="00073229"/>
    <w:rsid w:val="00073891"/>
    <w:rsid w:val="000739DA"/>
    <w:rsid w:val="00073E43"/>
    <w:rsid w:val="00074C3C"/>
    <w:rsid w:val="00075399"/>
    <w:rsid w:val="00082034"/>
    <w:rsid w:val="000823F9"/>
    <w:rsid w:val="000831A7"/>
    <w:rsid w:val="00083BC5"/>
    <w:rsid w:val="00087488"/>
    <w:rsid w:val="00087E1C"/>
    <w:rsid w:val="00090A35"/>
    <w:rsid w:val="00090B0C"/>
    <w:rsid w:val="00091BE2"/>
    <w:rsid w:val="00092784"/>
    <w:rsid w:val="0009473E"/>
    <w:rsid w:val="00094CED"/>
    <w:rsid w:val="00094D41"/>
    <w:rsid w:val="00094F73"/>
    <w:rsid w:val="000954B0"/>
    <w:rsid w:val="00095D8B"/>
    <w:rsid w:val="00096DDB"/>
    <w:rsid w:val="000972CD"/>
    <w:rsid w:val="00097EB1"/>
    <w:rsid w:val="000A1F5C"/>
    <w:rsid w:val="000B0A43"/>
    <w:rsid w:val="000B1B00"/>
    <w:rsid w:val="000B1D54"/>
    <w:rsid w:val="000B1F9B"/>
    <w:rsid w:val="000B2235"/>
    <w:rsid w:val="000B26FE"/>
    <w:rsid w:val="000B2B1E"/>
    <w:rsid w:val="000B3069"/>
    <w:rsid w:val="000B379F"/>
    <w:rsid w:val="000B4995"/>
    <w:rsid w:val="000B4F30"/>
    <w:rsid w:val="000B5A82"/>
    <w:rsid w:val="000B6798"/>
    <w:rsid w:val="000B6ADA"/>
    <w:rsid w:val="000B7E7F"/>
    <w:rsid w:val="000C08CB"/>
    <w:rsid w:val="000C14A5"/>
    <w:rsid w:val="000C230B"/>
    <w:rsid w:val="000C349F"/>
    <w:rsid w:val="000C39FB"/>
    <w:rsid w:val="000C5958"/>
    <w:rsid w:val="000C63A7"/>
    <w:rsid w:val="000C7239"/>
    <w:rsid w:val="000D0031"/>
    <w:rsid w:val="000D2376"/>
    <w:rsid w:val="000D4105"/>
    <w:rsid w:val="000D47FA"/>
    <w:rsid w:val="000D4B29"/>
    <w:rsid w:val="000D62C1"/>
    <w:rsid w:val="000E0101"/>
    <w:rsid w:val="000E12F1"/>
    <w:rsid w:val="000E139E"/>
    <w:rsid w:val="000E341F"/>
    <w:rsid w:val="000E3ED8"/>
    <w:rsid w:val="000E62BA"/>
    <w:rsid w:val="000E7DA7"/>
    <w:rsid w:val="000E7FAE"/>
    <w:rsid w:val="000F153E"/>
    <w:rsid w:val="000F3C8C"/>
    <w:rsid w:val="000F4111"/>
    <w:rsid w:val="000F436E"/>
    <w:rsid w:val="000F4937"/>
    <w:rsid w:val="000F59A7"/>
    <w:rsid w:val="00100EBF"/>
    <w:rsid w:val="00102C48"/>
    <w:rsid w:val="00103A72"/>
    <w:rsid w:val="00103BAD"/>
    <w:rsid w:val="00106B7D"/>
    <w:rsid w:val="0011056B"/>
    <w:rsid w:val="00113F2E"/>
    <w:rsid w:val="001145ED"/>
    <w:rsid w:val="0011532C"/>
    <w:rsid w:val="00120228"/>
    <w:rsid w:val="00122DAB"/>
    <w:rsid w:val="00123D90"/>
    <w:rsid w:val="00123E5A"/>
    <w:rsid w:val="0012495E"/>
    <w:rsid w:val="001268E3"/>
    <w:rsid w:val="001306D3"/>
    <w:rsid w:val="0013070C"/>
    <w:rsid w:val="00130CCC"/>
    <w:rsid w:val="001325C0"/>
    <w:rsid w:val="0013481A"/>
    <w:rsid w:val="00134A4C"/>
    <w:rsid w:val="00137B0C"/>
    <w:rsid w:val="00141E52"/>
    <w:rsid w:val="00143B31"/>
    <w:rsid w:val="00144260"/>
    <w:rsid w:val="00144F99"/>
    <w:rsid w:val="0015076F"/>
    <w:rsid w:val="0015092B"/>
    <w:rsid w:val="00150CCF"/>
    <w:rsid w:val="00151F59"/>
    <w:rsid w:val="00152D63"/>
    <w:rsid w:val="00155089"/>
    <w:rsid w:val="00156184"/>
    <w:rsid w:val="00156719"/>
    <w:rsid w:val="001604D3"/>
    <w:rsid w:val="00160712"/>
    <w:rsid w:val="0016078C"/>
    <w:rsid w:val="00160BE4"/>
    <w:rsid w:val="00160F25"/>
    <w:rsid w:val="00161301"/>
    <w:rsid w:val="001621BA"/>
    <w:rsid w:val="00164415"/>
    <w:rsid w:val="00165944"/>
    <w:rsid w:val="00171E6F"/>
    <w:rsid w:val="00172DFB"/>
    <w:rsid w:val="00175402"/>
    <w:rsid w:val="00180C29"/>
    <w:rsid w:val="00181AE4"/>
    <w:rsid w:val="00181B94"/>
    <w:rsid w:val="0018204D"/>
    <w:rsid w:val="00182F4D"/>
    <w:rsid w:val="00183186"/>
    <w:rsid w:val="001831B8"/>
    <w:rsid w:val="00183A2B"/>
    <w:rsid w:val="00184004"/>
    <w:rsid w:val="001843F9"/>
    <w:rsid w:val="0018453E"/>
    <w:rsid w:val="001862F2"/>
    <w:rsid w:val="00186407"/>
    <w:rsid w:val="0018710E"/>
    <w:rsid w:val="001877B0"/>
    <w:rsid w:val="001902C3"/>
    <w:rsid w:val="00190B78"/>
    <w:rsid w:val="001911AD"/>
    <w:rsid w:val="00192740"/>
    <w:rsid w:val="00193F97"/>
    <w:rsid w:val="00194197"/>
    <w:rsid w:val="00194985"/>
    <w:rsid w:val="00194A8E"/>
    <w:rsid w:val="00195E91"/>
    <w:rsid w:val="001966F0"/>
    <w:rsid w:val="00196A62"/>
    <w:rsid w:val="001A0487"/>
    <w:rsid w:val="001A10E3"/>
    <w:rsid w:val="001A1222"/>
    <w:rsid w:val="001A17EE"/>
    <w:rsid w:val="001A2CF1"/>
    <w:rsid w:val="001A4B3D"/>
    <w:rsid w:val="001A5358"/>
    <w:rsid w:val="001A6C62"/>
    <w:rsid w:val="001A7FDC"/>
    <w:rsid w:val="001B0EEE"/>
    <w:rsid w:val="001B1325"/>
    <w:rsid w:val="001B14C6"/>
    <w:rsid w:val="001B2061"/>
    <w:rsid w:val="001B4337"/>
    <w:rsid w:val="001B58E7"/>
    <w:rsid w:val="001B72F0"/>
    <w:rsid w:val="001B77BB"/>
    <w:rsid w:val="001C0A24"/>
    <w:rsid w:val="001C2E25"/>
    <w:rsid w:val="001C4A59"/>
    <w:rsid w:val="001C4BAA"/>
    <w:rsid w:val="001C5FDF"/>
    <w:rsid w:val="001C712C"/>
    <w:rsid w:val="001D2769"/>
    <w:rsid w:val="001D2DB6"/>
    <w:rsid w:val="001D3281"/>
    <w:rsid w:val="001D3324"/>
    <w:rsid w:val="001D54E0"/>
    <w:rsid w:val="001D5605"/>
    <w:rsid w:val="001D7A7E"/>
    <w:rsid w:val="001E07D3"/>
    <w:rsid w:val="001E0ECB"/>
    <w:rsid w:val="001E1DA7"/>
    <w:rsid w:val="001E21F0"/>
    <w:rsid w:val="001E548C"/>
    <w:rsid w:val="001F109D"/>
    <w:rsid w:val="001F1758"/>
    <w:rsid w:val="001F4241"/>
    <w:rsid w:val="001F4555"/>
    <w:rsid w:val="001F4F0A"/>
    <w:rsid w:val="001F5319"/>
    <w:rsid w:val="00201F18"/>
    <w:rsid w:val="002024EE"/>
    <w:rsid w:val="002026F8"/>
    <w:rsid w:val="00202B44"/>
    <w:rsid w:val="00202DAF"/>
    <w:rsid w:val="0020376E"/>
    <w:rsid w:val="0020394F"/>
    <w:rsid w:val="002055E4"/>
    <w:rsid w:val="00205E58"/>
    <w:rsid w:val="00205E80"/>
    <w:rsid w:val="00206688"/>
    <w:rsid w:val="002105FA"/>
    <w:rsid w:val="002109E6"/>
    <w:rsid w:val="0021132D"/>
    <w:rsid w:val="00213023"/>
    <w:rsid w:val="0021380D"/>
    <w:rsid w:val="00215AB4"/>
    <w:rsid w:val="0021690D"/>
    <w:rsid w:val="00216952"/>
    <w:rsid w:val="002179FA"/>
    <w:rsid w:val="0022054F"/>
    <w:rsid w:val="00220C0D"/>
    <w:rsid w:val="00221028"/>
    <w:rsid w:val="00222B37"/>
    <w:rsid w:val="00224210"/>
    <w:rsid w:val="00227E37"/>
    <w:rsid w:val="00230715"/>
    <w:rsid w:val="0023157E"/>
    <w:rsid w:val="00232B7B"/>
    <w:rsid w:val="00236325"/>
    <w:rsid w:val="00241D34"/>
    <w:rsid w:val="00242515"/>
    <w:rsid w:val="002426C7"/>
    <w:rsid w:val="00243B3A"/>
    <w:rsid w:val="002445C3"/>
    <w:rsid w:val="002446C7"/>
    <w:rsid w:val="0024470F"/>
    <w:rsid w:val="00244D89"/>
    <w:rsid w:val="0024665D"/>
    <w:rsid w:val="002467BC"/>
    <w:rsid w:val="00246ABD"/>
    <w:rsid w:val="00247F91"/>
    <w:rsid w:val="002509F1"/>
    <w:rsid w:val="00251375"/>
    <w:rsid w:val="00254C1F"/>
    <w:rsid w:val="00254FF0"/>
    <w:rsid w:val="00255E48"/>
    <w:rsid w:val="00257538"/>
    <w:rsid w:val="00257FAD"/>
    <w:rsid w:val="002606E5"/>
    <w:rsid w:val="00261CCB"/>
    <w:rsid w:val="002649D2"/>
    <w:rsid w:val="00265B2E"/>
    <w:rsid w:val="00274A65"/>
    <w:rsid w:val="00275283"/>
    <w:rsid w:val="00275AFF"/>
    <w:rsid w:val="00275F9D"/>
    <w:rsid w:val="00276565"/>
    <w:rsid w:val="00281762"/>
    <w:rsid w:val="00281C60"/>
    <w:rsid w:val="002829BC"/>
    <w:rsid w:val="002832FB"/>
    <w:rsid w:val="00283666"/>
    <w:rsid w:val="00285426"/>
    <w:rsid w:val="002869E5"/>
    <w:rsid w:val="0029094C"/>
    <w:rsid w:val="00293DC1"/>
    <w:rsid w:val="002A0984"/>
    <w:rsid w:val="002A0C4A"/>
    <w:rsid w:val="002A2EBF"/>
    <w:rsid w:val="002A3F3B"/>
    <w:rsid w:val="002A5D92"/>
    <w:rsid w:val="002A69F5"/>
    <w:rsid w:val="002A6E00"/>
    <w:rsid w:val="002A701A"/>
    <w:rsid w:val="002A70E2"/>
    <w:rsid w:val="002B0315"/>
    <w:rsid w:val="002B0408"/>
    <w:rsid w:val="002B0C17"/>
    <w:rsid w:val="002B2BE8"/>
    <w:rsid w:val="002B4CF3"/>
    <w:rsid w:val="002B6C76"/>
    <w:rsid w:val="002B7D97"/>
    <w:rsid w:val="002C0334"/>
    <w:rsid w:val="002C0873"/>
    <w:rsid w:val="002C0B2A"/>
    <w:rsid w:val="002C1686"/>
    <w:rsid w:val="002C3971"/>
    <w:rsid w:val="002C4BBB"/>
    <w:rsid w:val="002C6550"/>
    <w:rsid w:val="002D017F"/>
    <w:rsid w:val="002D0B90"/>
    <w:rsid w:val="002E008A"/>
    <w:rsid w:val="002E04A0"/>
    <w:rsid w:val="002E0CC9"/>
    <w:rsid w:val="002E147D"/>
    <w:rsid w:val="002E1F6F"/>
    <w:rsid w:val="002E4686"/>
    <w:rsid w:val="002E5B3A"/>
    <w:rsid w:val="002E78BB"/>
    <w:rsid w:val="002F04B6"/>
    <w:rsid w:val="002F11AD"/>
    <w:rsid w:val="002F1291"/>
    <w:rsid w:val="002F1834"/>
    <w:rsid w:val="002F3490"/>
    <w:rsid w:val="002F56B1"/>
    <w:rsid w:val="00300C38"/>
    <w:rsid w:val="00300C9C"/>
    <w:rsid w:val="00300E33"/>
    <w:rsid w:val="00302200"/>
    <w:rsid w:val="00302CBA"/>
    <w:rsid w:val="00305EDE"/>
    <w:rsid w:val="0030722F"/>
    <w:rsid w:val="003073E5"/>
    <w:rsid w:val="0031155A"/>
    <w:rsid w:val="003121B3"/>
    <w:rsid w:val="0031224E"/>
    <w:rsid w:val="00313782"/>
    <w:rsid w:val="003140AC"/>
    <w:rsid w:val="003152C5"/>
    <w:rsid w:val="0031546F"/>
    <w:rsid w:val="003167FA"/>
    <w:rsid w:val="0032079E"/>
    <w:rsid w:val="0032081D"/>
    <w:rsid w:val="00321165"/>
    <w:rsid w:val="00321445"/>
    <w:rsid w:val="003218FA"/>
    <w:rsid w:val="0032274A"/>
    <w:rsid w:val="0032400F"/>
    <w:rsid w:val="00324863"/>
    <w:rsid w:val="003252FC"/>
    <w:rsid w:val="003300E1"/>
    <w:rsid w:val="00331981"/>
    <w:rsid w:val="00332703"/>
    <w:rsid w:val="00332C53"/>
    <w:rsid w:val="00336070"/>
    <w:rsid w:val="00336679"/>
    <w:rsid w:val="00337BCC"/>
    <w:rsid w:val="00341C64"/>
    <w:rsid w:val="00341E37"/>
    <w:rsid w:val="0034213B"/>
    <w:rsid w:val="00342909"/>
    <w:rsid w:val="003445D2"/>
    <w:rsid w:val="003452EF"/>
    <w:rsid w:val="003453E6"/>
    <w:rsid w:val="00347626"/>
    <w:rsid w:val="00347B89"/>
    <w:rsid w:val="00353D73"/>
    <w:rsid w:val="00354B7B"/>
    <w:rsid w:val="00356427"/>
    <w:rsid w:val="00356A7C"/>
    <w:rsid w:val="00356CC9"/>
    <w:rsid w:val="003576E0"/>
    <w:rsid w:val="003578A0"/>
    <w:rsid w:val="00357F04"/>
    <w:rsid w:val="00360146"/>
    <w:rsid w:val="00360E77"/>
    <w:rsid w:val="00362058"/>
    <w:rsid w:val="003624F3"/>
    <w:rsid w:val="003658A4"/>
    <w:rsid w:val="00365B97"/>
    <w:rsid w:val="00366D7E"/>
    <w:rsid w:val="00370165"/>
    <w:rsid w:val="0037070F"/>
    <w:rsid w:val="0037115B"/>
    <w:rsid w:val="0037337B"/>
    <w:rsid w:val="00374A25"/>
    <w:rsid w:val="00376A01"/>
    <w:rsid w:val="00377C03"/>
    <w:rsid w:val="003814EC"/>
    <w:rsid w:val="00381FA4"/>
    <w:rsid w:val="00384DB7"/>
    <w:rsid w:val="003852F8"/>
    <w:rsid w:val="00386B14"/>
    <w:rsid w:val="00393F45"/>
    <w:rsid w:val="0039650C"/>
    <w:rsid w:val="00397097"/>
    <w:rsid w:val="003A17CB"/>
    <w:rsid w:val="003A1AD6"/>
    <w:rsid w:val="003A34A6"/>
    <w:rsid w:val="003A3AAE"/>
    <w:rsid w:val="003A464E"/>
    <w:rsid w:val="003A7863"/>
    <w:rsid w:val="003B04A4"/>
    <w:rsid w:val="003B0C03"/>
    <w:rsid w:val="003B23C0"/>
    <w:rsid w:val="003B4CCA"/>
    <w:rsid w:val="003B5C7A"/>
    <w:rsid w:val="003B6053"/>
    <w:rsid w:val="003B608C"/>
    <w:rsid w:val="003B6B88"/>
    <w:rsid w:val="003B7307"/>
    <w:rsid w:val="003B74F2"/>
    <w:rsid w:val="003C2AFF"/>
    <w:rsid w:val="003C31E0"/>
    <w:rsid w:val="003C36E3"/>
    <w:rsid w:val="003C3900"/>
    <w:rsid w:val="003C3D5F"/>
    <w:rsid w:val="003C4CC3"/>
    <w:rsid w:val="003C527F"/>
    <w:rsid w:val="003C74B9"/>
    <w:rsid w:val="003C7D04"/>
    <w:rsid w:val="003D0513"/>
    <w:rsid w:val="003D212E"/>
    <w:rsid w:val="003D2D5B"/>
    <w:rsid w:val="003D37FE"/>
    <w:rsid w:val="003D3D16"/>
    <w:rsid w:val="003D4796"/>
    <w:rsid w:val="003D4DB0"/>
    <w:rsid w:val="003D72CE"/>
    <w:rsid w:val="003D79DE"/>
    <w:rsid w:val="003D7A70"/>
    <w:rsid w:val="003E0968"/>
    <w:rsid w:val="003E1037"/>
    <w:rsid w:val="003E1082"/>
    <w:rsid w:val="003E24E2"/>
    <w:rsid w:val="003E371A"/>
    <w:rsid w:val="003E37EA"/>
    <w:rsid w:val="003E4240"/>
    <w:rsid w:val="003E4422"/>
    <w:rsid w:val="003E59F7"/>
    <w:rsid w:val="003F0F24"/>
    <w:rsid w:val="003F3083"/>
    <w:rsid w:val="003F7AB2"/>
    <w:rsid w:val="00402596"/>
    <w:rsid w:val="004027F9"/>
    <w:rsid w:val="0040498D"/>
    <w:rsid w:val="00405A9D"/>
    <w:rsid w:val="0040758D"/>
    <w:rsid w:val="004106F1"/>
    <w:rsid w:val="00411428"/>
    <w:rsid w:val="00414524"/>
    <w:rsid w:val="0042002B"/>
    <w:rsid w:val="00420F47"/>
    <w:rsid w:val="00423860"/>
    <w:rsid w:val="00423A3E"/>
    <w:rsid w:val="004276A5"/>
    <w:rsid w:val="004303A9"/>
    <w:rsid w:val="00430524"/>
    <w:rsid w:val="00432732"/>
    <w:rsid w:val="00433137"/>
    <w:rsid w:val="004347AF"/>
    <w:rsid w:val="00434EEF"/>
    <w:rsid w:val="00435070"/>
    <w:rsid w:val="00435871"/>
    <w:rsid w:val="00437593"/>
    <w:rsid w:val="00437F24"/>
    <w:rsid w:val="00441725"/>
    <w:rsid w:val="0044370B"/>
    <w:rsid w:val="004462B2"/>
    <w:rsid w:val="0044642B"/>
    <w:rsid w:val="0044775B"/>
    <w:rsid w:val="00450870"/>
    <w:rsid w:val="00452787"/>
    <w:rsid w:val="0045363A"/>
    <w:rsid w:val="004545D0"/>
    <w:rsid w:val="00454B96"/>
    <w:rsid w:val="0045646A"/>
    <w:rsid w:val="004601F6"/>
    <w:rsid w:val="00460CD1"/>
    <w:rsid w:val="004614E3"/>
    <w:rsid w:val="00461AEA"/>
    <w:rsid w:val="0046298C"/>
    <w:rsid w:val="00465DDE"/>
    <w:rsid w:val="00466673"/>
    <w:rsid w:val="00466F81"/>
    <w:rsid w:val="004674BA"/>
    <w:rsid w:val="0047007B"/>
    <w:rsid w:val="00470354"/>
    <w:rsid w:val="00470C6C"/>
    <w:rsid w:val="00471058"/>
    <w:rsid w:val="004719AD"/>
    <w:rsid w:val="00471BCB"/>
    <w:rsid w:val="00472196"/>
    <w:rsid w:val="00474198"/>
    <w:rsid w:val="0047618A"/>
    <w:rsid w:val="00477998"/>
    <w:rsid w:val="00477B80"/>
    <w:rsid w:val="004800A2"/>
    <w:rsid w:val="0048029C"/>
    <w:rsid w:val="004810CB"/>
    <w:rsid w:val="004828EA"/>
    <w:rsid w:val="00482E73"/>
    <w:rsid w:val="00483A3E"/>
    <w:rsid w:val="0048458D"/>
    <w:rsid w:val="004849F2"/>
    <w:rsid w:val="00484B15"/>
    <w:rsid w:val="004853FC"/>
    <w:rsid w:val="00486546"/>
    <w:rsid w:val="004869BD"/>
    <w:rsid w:val="00487F23"/>
    <w:rsid w:val="004906C9"/>
    <w:rsid w:val="00490ABE"/>
    <w:rsid w:val="00490DED"/>
    <w:rsid w:val="00493B61"/>
    <w:rsid w:val="00494296"/>
    <w:rsid w:val="004948A0"/>
    <w:rsid w:val="0049534A"/>
    <w:rsid w:val="00495408"/>
    <w:rsid w:val="004956CD"/>
    <w:rsid w:val="00495F87"/>
    <w:rsid w:val="0049613D"/>
    <w:rsid w:val="004A0F81"/>
    <w:rsid w:val="004A281D"/>
    <w:rsid w:val="004A315C"/>
    <w:rsid w:val="004A3F4B"/>
    <w:rsid w:val="004A55E8"/>
    <w:rsid w:val="004A5610"/>
    <w:rsid w:val="004A5976"/>
    <w:rsid w:val="004A71A0"/>
    <w:rsid w:val="004B0E15"/>
    <w:rsid w:val="004B0F41"/>
    <w:rsid w:val="004B3CA8"/>
    <w:rsid w:val="004B5DF7"/>
    <w:rsid w:val="004C022E"/>
    <w:rsid w:val="004C3D34"/>
    <w:rsid w:val="004C53D1"/>
    <w:rsid w:val="004C7135"/>
    <w:rsid w:val="004D03ED"/>
    <w:rsid w:val="004D0E47"/>
    <w:rsid w:val="004D178F"/>
    <w:rsid w:val="004D425E"/>
    <w:rsid w:val="004D4F32"/>
    <w:rsid w:val="004D79BF"/>
    <w:rsid w:val="004D7C97"/>
    <w:rsid w:val="004D7F7E"/>
    <w:rsid w:val="004E0BC8"/>
    <w:rsid w:val="004E155C"/>
    <w:rsid w:val="004E32F5"/>
    <w:rsid w:val="004E3566"/>
    <w:rsid w:val="004E4099"/>
    <w:rsid w:val="004E4BA4"/>
    <w:rsid w:val="004E5A49"/>
    <w:rsid w:val="004F1071"/>
    <w:rsid w:val="004F1810"/>
    <w:rsid w:val="004F19AE"/>
    <w:rsid w:val="004F3B86"/>
    <w:rsid w:val="004F648D"/>
    <w:rsid w:val="004F6909"/>
    <w:rsid w:val="004F7CB4"/>
    <w:rsid w:val="0050128D"/>
    <w:rsid w:val="0050190F"/>
    <w:rsid w:val="005049C0"/>
    <w:rsid w:val="00507894"/>
    <w:rsid w:val="005125FF"/>
    <w:rsid w:val="005130ED"/>
    <w:rsid w:val="00513399"/>
    <w:rsid w:val="00514E27"/>
    <w:rsid w:val="00515433"/>
    <w:rsid w:val="0052034A"/>
    <w:rsid w:val="00520CC9"/>
    <w:rsid w:val="00521098"/>
    <w:rsid w:val="00522821"/>
    <w:rsid w:val="00522A3E"/>
    <w:rsid w:val="0052335E"/>
    <w:rsid w:val="00524C04"/>
    <w:rsid w:val="005266EC"/>
    <w:rsid w:val="00532F95"/>
    <w:rsid w:val="005332EB"/>
    <w:rsid w:val="005363E4"/>
    <w:rsid w:val="005375F4"/>
    <w:rsid w:val="005403BA"/>
    <w:rsid w:val="00545429"/>
    <w:rsid w:val="005465AB"/>
    <w:rsid w:val="00547276"/>
    <w:rsid w:val="0054762A"/>
    <w:rsid w:val="0054788B"/>
    <w:rsid w:val="0055138D"/>
    <w:rsid w:val="0055360C"/>
    <w:rsid w:val="00556930"/>
    <w:rsid w:val="0056055A"/>
    <w:rsid w:val="00562BEF"/>
    <w:rsid w:val="0056375D"/>
    <w:rsid w:val="00564976"/>
    <w:rsid w:val="00564B9F"/>
    <w:rsid w:val="00565CC7"/>
    <w:rsid w:val="00570545"/>
    <w:rsid w:val="005756A6"/>
    <w:rsid w:val="005759AA"/>
    <w:rsid w:val="00577354"/>
    <w:rsid w:val="00577E7F"/>
    <w:rsid w:val="005806AE"/>
    <w:rsid w:val="00580BAF"/>
    <w:rsid w:val="00582032"/>
    <w:rsid w:val="005839D2"/>
    <w:rsid w:val="00584319"/>
    <w:rsid w:val="00584B9C"/>
    <w:rsid w:val="0058570E"/>
    <w:rsid w:val="005861AC"/>
    <w:rsid w:val="00591F54"/>
    <w:rsid w:val="0059202F"/>
    <w:rsid w:val="00592284"/>
    <w:rsid w:val="00592753"/>
    <w:rsid w:val="00593E13"/>
    <w:rsid w:val="0059693D"/>
    <w:rsid w:val="005973AF"/>
    <w:rsid w:val="00597A68"/>
    <w:rsid w:val="005A04C3"/>
    <w:rsid w:val="005A3360"/>
    <w:rsid w:val="005A4C3B"/>
    <w:rsid w:val="005A50C9"/>
    <w:rsid w:val="005A5160"/>
    <w:rsid w:val="005A5312"/>
    <w:rsid w:val="005B0495"/>
    <w:rsid w:val="005B1F23"/>
    <w:rsid w:val="005B2BB0"/>
    <w:rsid w:val="005B517B"/>
    <w:rsid w:val="005B5C69"/>
    <w:rsid w:val="005B6113"/>
    <w:rsid w:val="005B660E"/>
    <w:rsid w:val="005C5A48"/>
    <w:rsid w:val="005D00CD"/>
    <w:rsid w:val="005D0639"/>
    <w:rsid w:val="005D1433"/>
    <w:rsid w:val="005D245F"/>
    <w:rsid w:val="005D252B"/>
    <w:rsid w:val="005D2CE5"/>
    <w:rsid w:val="005D66DA"/>
    <w:rsid w:val="005E07DF"/>
    <w:rsid w:val="005E2240"/>
    <w:rsid w:val="005E3604"/>
    <w:rsid w:val="005E4239"/>
    <w:rsid w:val="005E4C61"/>
    <w:rsid w:val="005E5B1B"/>
    <w:rsid w:val="005E5C9F"/>
    <w:rsid w:val="005F366E"/>
    <w:rsid w:val="005F3B8C"/>
    <w:rsid w:val="005F3D21"/>
    <w:rsid w:val="005F4801"/>
    <w:rsid w:val="005F4A19"/>
    <w:rsid w:val="005F63A0"/>
    <w:rsid w:val="005F66A9"/>
    <w:rsid w:val="005F757B"/>
    <w:rsid w:val="0060019E"/>
    <w:rsid w:val="00601425"/>
    <w:rsid w:val="00602989"/>
    <w:rsid w:val="00603DDA"/>
    <w:rsid w:val="006044F3"/>
    <w:rsid w:val="00604F17"/>
    <w:rsid w:val="00605C7D"/>
    <w:rsid w:val="006069AE"/>
    <w:rsid w:val="00606A76"/>
    <w:rsid w:val="006071F0"/>
    <w:rsid w:val="0061198F"/>
    <w:rsid w:val="00612945"/>
    <w:rsid w:val="0061350B"/>
    <w:rsid w:val="00615184"/>
    <w:rsid w:val="006152CA"/>
    <w:rsid w:val="0061568C"/>
    <w:rsid w:val="00624906"/>
    <w:rsid w:val="00630063"/>
    <w:rsid w:val="00630BEC"/>
    <w:rsid w:val="00632B76"/>
    <w:rsid w:val="00633D64"/>
    <w:rsid w:val="00635597"/>
    <w:rsid w:val="00640086"/>
    <w:rsid w:val="006413AD"/>
    <w:rsid w:val="00641E15"/>
    <w:rsid w:val="006423E5"/>
    <w:rsid w:val="00643C52"/>
    <w:rsid w:val="006444CF"/>
    <w:rsid w:val="006457ED"/>
    <w:rsid w:val="00647494"/>
    <w:rsid w:val="006500D6"/>
    <w:rsid w:val="006505AE"/>
    <w:rsid w:val="00650D42"/>
    <w:rsid w:val="00650F25"/>
    <w:rsid w:val="0065182A"/>
    <w:rsid w:val="00652CFB"/>
    <w:rsid w:val="006535F0"/>
    <w:rsid w:val="0065527D"/>
    <w:rsid w:val="006553EB"/>
    <w:rsid w:val="006557D5"/>
    <w:rsid w:val="0065769B"/>
    <w:rsid w:val="00657934"/>
    <w:rsid w:val="00657D07"/>
    <w:rsid w:val="00662592"/>
    <w:rsid w:val="006667D6"/>
    <w:rsid w:val="00666CB9"/>
    <w:rsid w:val="00666E3A"/>
    <w:rsid w:val="006676C4"/>
    <w:rsid w:val="0067061E"/>
    <w:rsid w:val="00670BA4"/>
    <w:rsid w:val="00670ED9"/>
    <w:rsid w:val="0067285C"/>
    <w:rsid w:val="00672D14"/>
    <w:rsid w:val="00672D4F"/>
    <w:rsid w:val="0067314A"/>
    <w:rsid w:val="0067484D"/>
    <w:rsid w:val="00674D08"/>
    <w:rsid w:val="00675885"/>
    <w:rsid w:val="00680281"/>
    <w:rsid w:val="00681072"/>
    <w:rsid w:val="0068189D"/>
    <w:rsid w:val="00681DB4"/>
    <w:rsid w:val="00684B8F"/>
    <w:rsid w:val="006866C0"/>
    <w:rsid w:val="00687C04"/>
    <w:rsid w:val="006914E8"/>
    <w:rsid w:val="0069655E"/>
    <w:rsid w:val="00697FC9"/>
    <w:rsid w:val="006A046B"/>
    <w:rsid w:val="006A2DDB"/>
    <w:rsid w:val="006A376A"/>
    <w:rsid w:val="006A40C6"/>
    <w:rsid w:val="006A42AD"/>
    <w:rsid w:val="006A4E33"/>
    <w:rsid w:val="006A59F0"/>
    <w:rsid w:val="006A6909"/>
    <w:rsid w:val="006A6A47"/>
    <w:rsid w:val="006A6CBD"/>
    <w:rsid w:val="006B0911"/>
    <w:rsid w:val="006B1680"/>
    <w:rsid w:val="006B1879"/>
    <w:rsid w:val="006B23BE"/>
    <w:rsid w:val="006B309A"/>
    <w:rsid w:val="006B3BC6"/>
    <w:rsid w:val="006B7EF7"/>
    <w:rsid w:val="006C0675"/>
    <w:rsid w:val="006C0685"/>
    <w:rsid w:val="006C1ED5"/>
    <w:rsid w:val="006C31F3"/>
    <w:rsid w:val="006C43E3"/>
    <w:rsid w:val="006C441A"/>
    <w:rsid w:val="006C52CA"/>
    <w:rsid w:val="006C5AE4"/>
    <w:rsid w:val="006C6CED"/>
    <w:rsid w:val="006D0891"/>
    <w:rsid w:val="006D0EED"/>
    <w:rsid w:val="006D2BDA"/>
    <w:rsid w:val="006D3137"/>
    <w:rsid w:val="006D4D40"/>
    <w:rsid w:val="006D5334"/>
    <w:rsid w:val="006D61A3"/>
    <w:rsid w:val="006D7731"/>
    <w:rsid w:val="006D773C"/>
    <w:rsid w:val="006E054A"/>
    <w:rsid w:val="006E13FE"/>
    <w:rsid w:val="006E205D"/>
    <w:rsid w:val="006E2B3E"/>
    <w:rsid w:val="006E2EE4"/>
    <w:rsid w:val="006E3138"/>
    <w:rsid w:val="006E3EA9"/>
    <w:rsid w:val="006E46F7"/>
    <w:rsid w:val="006E4B9E"/>
    <w:rsid w:val="006E5C50"/>
    <w:rsid w:val="006F003D"/>
    <w:rsid w:val="006F080A"/>
    <w:rsid w:val="006F0B1E"/>
    <w:rsid w:val="006F1A97"/>
    <w:rsid w:val="006F1D8A"/>
    <w:rsid w:val="006F1EC4"/>
    <w:rsid w:val="006F2C36"/>
    <w:rsid w:val="006F428D"/>
    <w:rsid w:val="006F472C"/>
    <w:rsid w:val="006F5097"/>
    <w:rsid w:val="006F5A36"/>
    <w:rsid w:val="006F60BC"/>
    <w:rsid w:val="006F688A"/>
    <w:rsid w:val="007011BD"/>
    <w:rsid w:val="00701F08"/>
    <w:rsid w:val="007022AF"/>
    <w:rsid w:val="00703770"/>
    <w:rsid w:val="00704E69"/>
    <w:rsid w:val="0070607F"/>
    <w:rsid w:val="00711DFC"/>
    <w:rsid w:val="00711EAB"/>
    <w:rsid w:val="00714BC6"/>
    <w:rsid w:val="007164A9"/>
    <w:rsid w:val="00722A1F"/>
    <w:rsid w:val="00722BC1"/>
    <w:rsid w:val="00724755"/>
    <w:rsid w:val="00726D62"/>
    <w:rsid w:val="0072736C"/>
    <w:rsid w:val="007303B9"/>
    <w:rsid w:val="00730FE8"/>
    <w:rsid w:val="00732953"/>
    <w:rsid w:val="00734034"/>
    <w:rsid w:val="00734D56"/>
    <w:rsid w:val="00735DF5"/>
    <w:rsid w:val="007368A9"/>
    <w:rsid w:val="00736A24"/>
    <w:rsid w:val="00737E44"/>
    <w:rsid w:val="007410CA"/>
    <w:rsid w:val="0074486B"/>
    <w:rsid w:val="00744ED0"/>
    <w:rsid w:val="00745559"/>
    <w:rsid w:val="00746219"/>
    <w:rsid w:val="00747D55"/>
    <w:rsid w:val="00747EF2"/>
    <w:rsid w:val="0075116C"/>
    <w:rsid w:val="0075267D"/>
    <w:rsid w:val="0075319C"/>
    <w:rsid w:val="0075528B"/>
    <w:rsid w:val="0075677F"/>
    <w:rsid w:val="00756D72"/>
    <w:rsid w:val="00760421"/>
    <w:rsid w:val="007606F3"/>
    <w:rsid w:val="00762982"/>
    <w:rsid w:val="00762B69"/>
    <w:rsid w:val="00763338"/>
    <w:rsid w:val="0076458C"/>
    <w:rsid w:val="00764854"/>
    <w:rsid w:val="00766D7C"/>
    <w:rsid w:val="0076780E"/>
    <w:rsid w:val="007679B9"/>
    <w:rsid w:val="00767E51"/>
    <w:rsid w:val="007703E6"/>
    <w:rsid w:val="00770930"/>
    <w:rsid w:val="00771750"/>
    <w:rsid w:val="00772649"/>
    <w:rsid w:val="00773687"/>
    <w:rsid w:val="00774056"/>
    <w:rsid w:val="00776CE8"/>
    <w:rsid w:val="00777455"/>
    <w:rsid w:val="007779D5"/>
    <w:rsid w:val="007810B2"/>
    <w:rsid w:val="0078259F"/>
    <w:rsid w:val="007828E4"/>
    <w:rsid w:val="00783294"/>
    <w:rsid w:val="007846A8"/>
    <w:rsid w:val="007862BD"/>
    <w:rsid w:val="00786B2D"/>
    <w:rsid w:val="00790264"/>
    <w:rsid w:val="0079124C"/>
    <w:rsid w:val="00791506"/>
    <w:rsid w:val="00792520"/>
    <w:rsid w:val="0079271E"/>
    <w:rsid w:val="0079310B"/>
    <w:rsid w:val="0079434E"/>
    <w:rsid w:val="00796D00"/>
    <w:rsid w:val="007977CF"/>
    <w:rsid w:val="007A6E77"/>
    <w:rsid w:val="007A7437"/>
    <w:rsid w:val="007A7A98"/>
    <w:rsid w:val="007B25A6"/>
    <w:rsid w:val="007B4A48"/>
    <w:rsid w:val="007B5C10"/>
    <w:rsid w:val="007B6EAF"/>
    <w:rsid w:val="007B71FD"/>
    <w:rsid w:val="007C0083"/>
    <w:rsid w:val="007C0F2A"/>
    <w:rsid w:val="007C1898"/>
    <w:rsid w:val="007C286E"/>
    <w:rsid w:val="007C2D5F"/>
    <w:rsid w:val="007C3061"/>
    <w:rsid w:val="007C3136"/>
    <w:rsid w:val="007C38DE"/>
    <w:rsid w:val="007C3D05"/>
    <w:rsid w:val="007C3D69"/>
    <w:rsid w:val="007C471D"/>
    <w:rsid w:val="007C5A74"/>
    <w:rsid w:val="007C6A77"/>
    <w:rsid w:val="007C7CBA"/>
    <w:rsid w:val="007D128F"/>
    <w:rsid w:val="007D1320"/>
    <w:rsid w:val="007D23A1"/>
    <w:rsid w:val="007D4509"/>
    <w:rsid w:val="007D4EF8"/>
    <w:rsid w:val="007D6B1B"/>
    <w:rsid w:val="007D7403"/>
    <w:rsid w:val="007E05D7"/>
    <w:rsid w:val="007E0B77"/>
    <w:rsid w:val="007E2876"/>
    <w:rsid w:val="007E28D1"/>
    <w:rsid w:val="007E7688"/>
    <w:rsid w:val="007F1A0F"/>
    <w:rsid w:val="007F28A7"/>
    <w:rsid w:val="007F63E6"/>
    <w:rsid w:val="007F75E6"/>
    <w:rsid w:val="00800B31"/>
    <w:rsid w:val="00801F47"/>
    <w:rsid w:val="008021D1"/>
    <w:rsid w:val="00806348"/>
    <w:rsid w:val="00807444"/>
    <w:rsid w:val="0080754B"/>
    <w:rsid w:val="00812FA6"/>
    <w:rsid w:val="008138CD"/>
    <w:rsid w:val="008150C8"/>
    <w:rsid w:val="00816937"/>
    <w:rsid w:val="00816F9A"/>
    <w:rsid w:val="0081774F"/>
    <w:rsid w:val="00817C85"/>
    <w:rsid w:val="0082049E"/>
    <w:rsid w:val="0082093F"/>
    <w:rsid w:val="00820EC1"/>
    <w:rsid w:val="008214FA"/>
    <w:rsid w:val="00823051"/>
    <w:rsid w:val="0082371A"/>
    <w:rsid w:val="008267B8"/>
    <w:rsid w:val="00830504"/>
    <w:rsid w:val="008312C3"/>
    <w:rsid w:val="0083152E"/>
    <w:rsid w:val="008332A7"/>
    <w:rsid w:val="00834025"/>
    <w:rsid w:val="0083537E"/>
    <w:rsid w:val="00835454"/>
    <w:rsid w:val="00835A29"/>
    <w:rsid w:val="00836E2E"/>
    <w:rsid w:val="008376A6"/>
    <w:rsid w:val="00837E2C"/>
    <w:rsid w:val="008418A7"/>
    <w:rsid w:val="0084426E"/>
    <w:rsid w:val="0084470E"/>
    <w:rsid w:val="00845265"/>
    <w:rsid w:val="00845C1F"/>
    <w:rsid w:val="008472E4"/>
    <w:rsid w:val="00847C12"/>
    <w:rsid w:val="00850E20"/>
    <w:rsid w:val="0085162F"/>
    <w:rsid w:val="00851860"/>
    <w:rsid w:val="00851E02"/>
    <w:rsid w:val="00853E92"/>
    <w:rsid w:val="0085608F"/>
    <w:rsid w:val="008566AC"/>
    <w:rsid w:val="0085781D"/>
    <w:rsid w:val="00863190"/>
    <w:rsid w:val="00863496"/>
    <w:rsid w:val="0086542B"/>
    <w:rsid w:val="00865CA5"/>
    <w:rsid w:val="0086622F"/>
    <w:rsid w:val="00866958"/>
    <w:rsid w:val="00866D96"/>
    <w:rsid w:val="00867243"/>
    <w:rsid w:val="00867312"/>
    <w:rsid w:val="0086747A"/>
    <w:rsid w:val="0087024C"/>
    <w:rsid w:val="00870B41"/>
    <w:rsid w:val="008719FA"/>
    <w:rsid w:val="00871B16"/>
    <w:rsid w:val="008749F8"/>
    <w:rsid w:val="008814A9"/>
    <w:rsid w:val="008838B0"/>
    <w:rsid w:val="00883D99"/>
    <w:rsid w:val="008845C4"/>
    <w:rsid w:val="00884CBA"/>
    <w:rsid w:val="008850F0"/>
    <w:rsid w:val="0088592B"/>
    <w:rsid w:val="00886221"/>
    <w:rsid w:val="0088628B"/>
    <w:rsid w:val="0088685F"/>
    <w:rsid w:val="00886FCE"/>
    <w:rsid w:val="00887E24"/>
    <w:rsid w:val="00892ADF"/>
    <w:rsid w:val="00893623"/>
    <w:rsid w:val="008939C9"/>
    <w:rsid w:val="00894648"/>
    <w:rsid w:val="008953F5"/>
    <w:rsid w:val="00895503"/>
    <w:rsid w:val="00895769"/>
    <w:rsid w:val="00895DF8"/>
    <w:rsid w:val="00897BDD"/>
    <w:rsid w:val="008A1733"/>
    <w:rsid w:val="008A1BC7"/>
    <w:rsid w:val="008A1F9B"/>
    <w:rsid w:val="008A4998"/>
    <w:rsid w:val="008A620A"/>
    <w:rsid w:val="008A7094"/>
    <w:rsid w:val="008B1964"/>
    <w:rsid w:val="008B1A90"/>
    <w:rsid w:val="008B238D"/>
    <w:rsid w:val="008B3899"/>
    <w:rsid w:val="008B51C5"/>
    <w:rsid w:val="008B7418"/>
    <w:rsid w:val="008B795A"/>
    <w:rsid w:val="008C0D3F"/>
    <w:rsid w:val="008C1B24"/>
    <w:rsid w:val="008C27D7"/>
    <w:rsid w:val="008C4F14"/>
    <w:rsid w:val="008C4F74"/>
    <w:rsid w:val="008C7CCE"/>
    <w:rsid w:val="008D0087"/>
    <w:rsid w:val="008D5B1D"/>
    <w:rsid w:val="008D71BA"/>
    <w:rsid w:val="008D7A37"/>
    <w:rsid w:val="008E27E5"/>
    <w:rsid w:val="008E2B1A"/>
    <w:rsid w:val="008E5B97"/>
    <w:rsid w:val="008E6693"/>
    <w:rsid w:val="008E6BDB"/>
    <w:rsid w:val="008E7C8B"/>
    <w:rsid w:val="008F1083"/>
    <w:rsid w:val="008F2570"/>
    <w:rsid w:val="008F398B"/>
    <w:rsid w:val="008F51E4"/>
    <w:rsid w:val="008F7900"/>
    <w:rsid w:val="008F7E1C"/>
    <w:rsid w:val="0090220A"/>
    <w:rsid w:val="00904558"/>
    <w:rsid w:val="0090468D"/>
    <w:rsid w:val="00906A98"/>
    <w:rsid w:val="00906DE2"/>
    <w:rsid w:val="009077A1"/>
    <w:rsid w:val="00907FA9"/>
    <w:rsid w:val="009117F4"/>
    <w:rsid w:val="00911EFC"/>
    <w:rsid w:val="00912775"/>
    <w:rsid w:val="009132D8"/>
    <w:rsid w:val="00913F7D"/>
    <w:rsid w:val="00914C27"/>
    <w:rsid w:val="00915BBC"/>
    <w:rsid w:val="00917126"/>
    <w:rsid w:val="00920309"/>
    <w:rsid w:val="00920393"/>
    <w:rsid w:val="00920459"/>
    <w:rsid w:val="00921263"/>
    <w:rsid w:val="009217DB"/>
    <w:rsid w:val="00921B78"/>
    <w:rsid w:val="00922DDC"/>
    <w:rsid w:val="00923DC6"/>
    <w:rsid w:val="0092495E"/>
    <w:rsid w:val="009260C3"/>
    <w:rsid w:val="009264F0"/>
    <w:rsid w:val="009304AB"/>
    <w:rsid w:val="00930CB9"/>
    <w:rsid w:val="009316B4"/>
    <w:rsid w:val="009319D6"/>
    <w:rsid w:val="00932269"/>
    <w:rsid w:val="0093254A"/>
    <w:rsid w:val="00932F14"/>
    <w:rsid w:val="00934B82"/>
    <w:rsid w:val="009358B1"/>
    <w:rsid w:val="00935938"/>
    <w:rsid w:val="00936F2D"/>
    <w:rsid w:val="00937104"/>
    <w:rsid w:val="0093715C"/>
    <w:rsid w:val="0094039E"/>
    <w:rsid w:val="009408E6"/>
    <w:rsid w:val="00941627"/>
    <w:rsid w:val="00941AE4"/>
    <w:rsid w:val="00941D64"/>
    <w:rsid w:val="009440DB"/>
    <w:rsid w:val="0094410F"/>
    <w:rsid w:val="009444B5"/>
    <w:rsid w:val="00945C45"/>
    <w:rsid w:val="00950405"/>
    <w:rsid w:val="00952783"/>
    <w:rsid w:val="00956A8F"/>
    <w:rsid w:val="00956B16"/>
    <w:rsid w:val="0095785E"/>
    <w:rsid w:val="009611A6"/>
    <w:rsid w:val="0096324C"/>
    <w:rsid w:val="00965ADE"/>
    <w:rsid w:val="00965F03"/>
    <w:rsid w:val="00967A38"/>
    <w:rsid w:val="009706AA"/>
    <w:rsid w:val="009722B3"/>
    <w:rsid w:val="00972A60"/>
    <w:rsid w:val="00973571"/>
    <w:rsid w:val="00974AB6"/>
    <w:rsid w:val="0097659D"/>
    <w:rsid w:val="00976FAC"/>
    <w:rsid w:val="009778D4"/>
    <w:rsid w:val="00980E6F"/>
    <w:rsid w:val="00983032"/>
    <w:rsid w:val="009842EF"/>
    <w:rsid w:val="0098644E"/>
    <w:rsid w:val="00987655"/>
    <w:rsid w:val="009907E1"/>
    <w:rsid w:val="009914EC"/>
    <w:rsid w:val="009917B1"/>
    <w:rsid w:val="00992875"/>
    <w:rsid w:val="00993A86"/>
    <w:rsid w:val="009940DB"/>
    <w:rsid w:val="00994247"/>
    <w:rsid w:val="009954D4"/>
    <w:rsid w:val="009A1C8E"/>
    <w:rsid w:val="009A1F5D"/>
    <w:rsid w:val="009A25A4"/>
    <w:rsid w:val="009A2C6A"/>
    <w:rsid w:val="009A2DCF"/>
    <w:rsid w:val="009A3D4D"/>
    <w:rsid w:val="009A541A"/>
    <w:rsid w:val="009A56FD"/>
    <w:rsid w:val="009A695C"/>
    <w:rsid w:val="009B121D"/>
    <w:rsid w:val="009B249C"/>
    <w:rsid w:val="009B2658"/>
    <w:rsid w:val="009B2E5F"/>
    <w:rsid w:val="009B34BE"/>
    <w:rsid w:val="009B38CE"/>
    <w:rsid w:val="009B6124"/>
    <w:rsid w:val="009B7901"/>
    <w:rsid w:val="009C1B26"/>
    <w:rsid w:val="009C7BF7"/>
    <w:rsid w:val="009D12F5"/>
    <w:rsid w:val="009D3B74"/>
    <w:rsid w:val="009D73D7"/>
    <w:rsid w:val="009D76D2"/>
    <w:rsid w:val="009D76E8"/>
    <w:rsid w:val="009E086D"/>
    <w:rsid w:val="009E1819"/>
    <w:rsid w:val="009E203D"/>
    <w:rsid w:val="009E20AB"/>
    <w:rsid w:val="009E3150"/>
    <w:rsid w:val="009E3D55"/>
    <w:rsid w:val="009F14EB"/>
    <w:rsid w:val="009F2038"/>
    <w:rsid w:val="009F2B44"/>
    <w:rsid w:val="009F4CFB"/>
    <w:rsid w:val="009F4E78"/>
    <w:rsid w:val="009F55AF"/>
    <w:rsid w:val="00A02A92"/>
    <w:rsid w:val="00A032FB"/>
    <w:rsid w:val="00A12161"/>
    <w:rsid w:val="00A14B71"/>
    <w:rsid w:val="00A17511"/>
    <w:rsid w:val="00A20A69"/>
    <w:rsid w:val="00A21050"/>
    <w:rsid w:val="00A21691"/>
    <w:rsid w:val="00A227D2"/>
    <w:rsid w:val="00A230A4"/>
    <w:rsid w:val="00A25362"/>
    <w:rsid w:val="00A256A3"/>
    <w:rsid w:val="00A27064"/>
    <w:rsid w:val="00A278CB"/>
    <w:rsid w:val="00A27D31"/>
    <w:rsid w:val="00A30047"/>
    <w:rsid w:val="00A30D0F"/>
    <w:rsid w:val="00A313FB"/>
    <w:rsid w:val="00A316E1"/>
    <w:rsid w:val="00A33AFF"/>
    <w:rsid w:val="00A34B5A"/>
    <w:rsid w:val="00A35131"/>
    <w:rsid w:val="00A35794"/>
    <w:rsid w:val="00A36991"/>
    <w:rsid w:val="00A36D32"/>
    <w:rsid w:val="00A37BFC"/>
    <w:rsid w:val="00A40683"/>
    <w:rsid w:val="00A40F3D"/>
    <w:rsid w:val="00A41967"/>
    <w:rsid w:val="00A41DC6"/>
    <w:rsid w:val="00A43475"/>
    <w:rsid w:val="00A45994"/>
    <w:rsid w:val="00A47C93"/>
    <w:rsid w:val="00A5010D"/>
    <w:rsid w:val="00A532BB"/>
    <w:rsid w:val="00A55CC2"/>
    <w:rsid w:val="00A57D26"/>
    <w:rsid w:val="00A6004A"/>
    <w:rsid w:val="00A60AA2"/>
    <w:rsid w:val="00A60D8A"/>
    <w:rsid w:val="00A62306"/>
    <w:rsid w:val="00A62A58"/>
    <w:rsid w:val="00A62C28"/>
    <w:rsid w:val="00A62ECD"/>
    <w:rsid w:val="00A6366B"/>
    <w:rsid w:val="00A64375"/>
    <w:rsid w:val="00A6516D"/>
    <w:rsid w:val="00A656A9"/>
    <w:rsid w:val="00A6588A"/>
    <w:rsid w:val="00A65BB5"/>
    <w:rsid w:val="00A65F71"/>
    <w:rsid w:val="00A66C33"/>
    <w:rsid w:val="00A67B21"/>
    <w:rsid w:val="00A7083E"/>
    <w:rsid w:val="00A72E98"/>
    <w:rsid w:val="00A74097"/>
    <w:rsid w:val="00A754BD"/>
    <w:rsid w:val="00A77BAF"/>
    <w:rsid w:val="00A807BA"/>
    <w:rsid w:val="00A80BD4"/>
    <w:rsid w:val="00A83CF1"/>
    <w:rsid w:val="00A84107"/>
    <w:rsid w:val="00A85B89"/>
    <w:rsid w:val="00A91935"/>
    <w:rsid w:val="00A9204A"/>
    <w:rsid w:val="00A921AB"/>
    <w:rsid w:val="00A9266E"/>
    <w:rsid w:val="00A92AA0"/>
    <w:rsid w:val="00A92C36"/>
    <w:rsid w:val="00A95C55"/>
    <w:rsid w:val="00A95E33"/>
    <w:rsid w:val="00AA03A8"/>
    <w:rsid w:val="00AA0F07"/>
    <w:rsid w:val="00AA28D8"/>
    <w:rsid w:val="00AA6AC3"/>
    <w:rsid w:val="00AA732B"/>
    <w:rsid w:val="00AB0AE6"/>
    <w:rsid w:val="00AB1992"/>
    <w:rsid w:val="00AB1BB5"/>
    <w:rsid w:val="00AB1C36"/>
    <w:rsid w:val="00AB23D1"/>
    <w:rsid w:val="00AB2691"/>
    <w:rsid w:val="00AB33EE"/>
    <w:rsid w:val="00AB3729"/>
    <w:rsid w:val="00AB401B"/>
    <w:rsid w:val="00AB40C4"/>
    <w:rsid w:val="00AB6DCF"/>
    <w:rsid w:val="00AC120C"/>
    <w:rsid w:val="00AC1B0C"/>
    <w:rsid w:val="00AC21CE"/>
    <w:rsid w:val="00AC2DE6"/>
    <w:rsid w:val="00AC3F41"/>
    <w:rsid w:val="00AC56B9"/>
    <w:rsid w:val="00AC77D3"/>
    <w:rsid w:val="00AD05EC"/>
    <w:rsid w:val="00AD0619"/>
    <w:rsid w:val="00AD085F"/>
    <w:rsid w:val="00AD153A"/>
    <w:rsid w:val="00AD1C68"/>
    <w:rsid w:val="00AD2792"/>
    <w:rsid w:val="00AD39A6"/>
    <w:rsid w:val="00AD41C9"/>
    <w:rsid w:val="00AD6141"/>
    <w:rsid w:val="00AD7BDB"/>
    <w:rsid w:val="00AE0B7C"/>
    <w:rsid w:val="00AE244C"/>
    <w:rsid w:val="00AE4065"/>
    <w:rsid w:val="00AE6BEB"/>
    <w:rsid w:val="00AE733A"/>
    <w:rsid w:val="00AF1825"/>
    <w:rsid w:val="00AF1843"/>
    <w:rsid w:val="00AF3628"/>
    <w:rsid w:val="00AF4B70"/>
    <w:rsid w:val="00AF4F26"/>
    <w:rsid w:val="00AF5656"/>
    <w:rsid w:val="00B016ED"/>
    <w:rsid w:val="00B03036"/>
    <w:rsid w:val="00B04F5C"/>
    <w:rsid w:val="00B050E7"/>
    <w:rsid w:val="00B0667D"/>
    <w:rsid w:val="00B067AB"/>
    <w:rsid w:val="00B114AB"/>
    <w:rsid w:val="00B11770"/>
    <w:rsid w:val="00B13929"/>
    <w:rsid w:val="00B13FA2"/>
    <w:rsid w:val="00B15301"/>
    <w:rsid w:val="00B1643E"/>
    <w:rsid w:val="00B17080"/>
    <w:rsid w:val="00B23D22"/>
    <w:rsid w:val="00B26CF5"/>
    <w:rsid w:val="00B30F7B"/>
    <w:rsid w:val="00B3189B"/>
    <w:rsid w:val="00B32FA9"/>
    <w:rsid w:val="00B34999"/>
    <w:rsid w:val="00B354E2"/>
    <w:rsid w:val="00B35D2F"/>
    <w:rsid w:val="00B35DCA"/>
    <w:rsid w:val="00B36A49"/>
    <w:rsid w:val="00B36BDB"/>
    <w:rsid w:val="00B402FA"/>
    <w:rsid w:val="00B409E7"/>
    <w:rsid w:val="00B40BD6"/>
    <w:rsid w:val="00B421EA"/>
    <w:rsid w:val="00B42BB8"/>
    <w:rsid w:val="00B42ED7"/>
    <w:rsid w:val="00B44DF5"/>
    <w:rsid w:val="00B46397"/>
    <w:rsid w:val="00B50808"/>
    <w:rsid w:val="00B508FC"/>
    <w:rsid w:val="00B5179F"/>
    <w:rsid w:val="00B52244"/>
    <w:rsid w:val="00B5236D"/>
    <w:rsid w:val="00B5256A"/>
    <w:rsid w:val="00B5256F"/>
    <w:rsid w:val="00B551B6"/>
    <w:rsid w:val="00B556CE"/>
    <w:rsid w:val="00B57191"/>
    <w:rsid w:val="00B57792"/>
    <w:rsid w:val="00B6183A"/>
    <w:rsid w:val="00B6352A"/>
    <w:rsid w:val="00B6497B"/>
    <w:rsid w:val="00B64D8F"/>
    <w:rsid w:val="00B65149"/>
    <w:rsid w:val="00B66C40"/>
    <w:rsid w:val="00B74ACA"/>
    <w:rsid w:val="00B74BB9"/>
    <w:rsid w:val="00B7668E"/>
    <w:rsid w:val="00B76996"/>
    <w:rsid w:val="00B76A83"/>
    <w:rsid w:val="00B776E5"/>
    <w:rsid w:val="00B802E1"/>
    <w:rsid w:val="00B810A3"/>
    <w:rsid w:val="00B8317D"/>
    <w:rsid w:val="00B839AA"/>
    <w:rsid w:val="00B83C67"/>
    <w:rsid w:val="00B851F2"/>
    <w:rsid w:val="00B85821"/>
    <w:rsid w:val="00B85A9E"/>
    <w:rsid w:val="00B906BB"/>
    <w:rsid w:val="00B92D33"/>
    <w:rsid w:val="00B93153"/>
    <w:rsid w:val="00B974A1"/>
    <w:rsid w:val="00B9776C"/>
    <w:rsid w:val="00B97D17"/>
    <w:rsid w:val="00BA0F4D"/>
    <w:rsid w:val="00BA503B"/>
    <w:rsid w:val="00BA78F7"/>
    <w:rsid w:val="00BB0523"/>
    <w:rsid w:val="00BB0A0A"/>
    <w:rsid w:val="00BB298A"/>
    <w:rsid w:val="00BB4F2E"/>
    <w:rsid w:val="00BB5DDE"/>
    <w:rsid w:val="00BC048A"/>
    <w:rsid w:val="00BC2205"/>
    <w:rsid w:val="00BC253F"/>
    <w:rsid w:val="00BC365A"/>
    <w:rsid w:val="00BC3A79"/>
    <w:rsid w:val="00BD151B"/>
    <w:rsid w:val="00BD29E3"/>
    <w:rsid w:val="00BD38BA"/>
    <w:rsid w:val="00BD49C6"/>
    <w:rsid w:val="00BD6EEC"/>
    <w:rsid w:val="00BD783F"/>
    <w:rsid w:val="00BD7911"/>
    <w:rsid w:val="00BE0E2F"/>
    <w:rsid w:val="00BE11EA"/>
    <w:rsid w:val="00BE1C9A"/>
    <w:rsid w:val="00BE43C0"/>
    <w:rsid w:val="00BE4775"/>
    <w:rsid w:val="00BE4B17"/>
    <w:rsid w:val="00BE726E"/>
    <w:rsid w:val="00BE79F6"/>
    <w:rsid w:val="00BF66DE"/>
    <w:rsid w:val="00BF700D"/>
    <w:rsid w:val="00BF72AC"/>
    <w:rsid w:val="00BF74F1"/>
    <w:rsid w:val="00BF7DC3"/>
    <w:rsid w:val="00C008B3"/>
    <w:rsid w:val="00C00BD7"/>
    <w:rsid w:val="00C01923"/>
    <w:rsid w:val="00C024C4"/>
    <w:rsid w:val="00C03E94"/>
    <w:rsid w:val="00C04643"/>
    <w:rsid w:val="00C0488E"/>
    <w:rsid w:val="00C05A7D"/>
    <w:rsid w:val="00C06436"/>
    <w:rsid w:val="00C0647A"/>
    <w:rsid w:val="00C064DF"/>
    <w:rsid w:val="00C135D4"/>
    <w:rsid w:val="00C13E7D"/>
    <w:rsid w:val="00C144B9"/>
    <w:rsid w:val="00C14AB7"/>
    <w:rsid w:val="00C177C3"/>
    <w:rsid w:val="00C2176F"/>
    <w:rsid w:val="00C221C9"/>
    <w:rsid w:val="00C24C71"/>
    <w:rsid w:val="00C251F7"/>
    <w:rsid w:val="00C276B0"/>
    <w:rsid w:val="00C277E8"/>
    <w:rsid w:val="00C279AC"/>
    <w:rsid w:val="00C27EC8"/>
    <w:rsid w:val="00C3088B"/>
    <w:rsid w:val="00C30BF3"/>
    <w:rsid w:val="00C31FD6"/>
    <w:rsid w:val="00C32261"/>
    <w:rsid w:val="00C32C0B"/>
    <w:rsid w:val="00C32EEB"/>
    <w:rsid w:val="00C35E7F"/>
    <w:rsid w:val="00C365C4"/>
    <w:rsid w:val="00C37422"/>
    <w:rsid w:val="00C3793A"/>
    <w:rsid w:val="00C401D8"/>
    <w:rsid w:val="00C40797"/>
    <w:rsid w:val="00C43938"/>
    <w:rsid w:val="00C43B0C"/>
    <w:rsid w:val="00C43B37"/>
    <w:rsid w:val="00C4514F"/>
    <w:rsid w:val="00C46632"/>
    <w:rsid w:val="00C46A96"/>
    <w:rsid w:val="00C4767C"/>
    <w:rsid w:val="00C51DDF"/>
    <w:rsid w:val="00C52081"/>
    <w:rsid w:val="00C529F7"/>
    <w:rsid w:val="00C53201"/>
    <w:rsid w:val="00C543D4"/>
    <w:rsid w:val="00C56594"/>
    <w:rsid w:val="00C57168"/>
    <w:rsid w:val="00C60926"/>
    <w:rsid w:val="00C60EE9"/>
    <w:rsid w:val="00C61B92"/>
    <w:rsid w:val="00C62006"/>
    <w:rsid w:val="00C63893"/>
    <w:rsid w:val="00C64E6A"/>
    <w:rsid w:val="00C661D1"/>
    <w:rsid w:val="00C67F44"/>
    <w:rsid w:val="00C70339"/>
    <w:rsid w:val="00C70842"/>
    <w:rsid w:val="00C70902"/>
    <w:rsid w:val="00C737C6"/>
    <w:rsid w:val="00C73F8E"/>
    <w:rsid w:val="00C74FF6"/>
    <w:rsid w:val="00C758ED"/>
    <w:rsid w:val="00C777AC"/>
    <w:rsid w:val="00C8021D"/>
    <w:rsid w:val="00C80B3E"/>
    <w:rsid w:val="00C81671"/>
    <w:rsid w:val="00C81961"/>
    <w:rsid w:val="00C819FE"/>
    <w:rsid w:val="00C81D39"/>
    <w:rsid w:val="00C86935"/>
    <w:rsid w:val="00C91BDA"/>
    <w:rsid w:val="00C94CD6"/>
    <w:rsid w:val="00C97B1B"/>
    <w:rsid w:val="00CA369C"/>
    <w:rsid w:val="00CB05F9"/>
    <w:rsid w:val="00CB1383"/>
    <w:rsid w:val="00CB3C9D"/>
    <w:rsid w:val="00CC008E"/>
    <w:rsid w:val="00CC1297"/>
    <w:rsid w:val="00CC5907"/>
    <w:rsid w:val="00CC6D98"/>
    <w:rsid w:val="00CD1543"/>
    <w:rsid w:val="00CD4E25"/>
    <w:rsid w:val="00CD6A6E"/>
    <w:rsid w:val="00CD6BA8"/>
    <w:rsid w:val="00CD7315"/>
    <w:rsid w:val="00CE12FC"/>
    <w:rsid w:val="00CE18AA"/>
    <w:rsid w:val="00CE1DF5"/>
    <w:rsid w:val="00CE1F88"/>
    <w:rsid w:val="00CE30CE"/>
    <w:rsid w:val="00CE603E"/>
    <w:rsid w:val="00CE6AA5"/>
    <w:rsid w:val="00CE6FF3"/>
    <w:rsid w:val="00CF2B61"/>
    <w:rsid w:val="00CF3B5F"/>
    <w:rsid w:val="00CF445C"/>
    <w:rsid w:val="00CF5317"/>
    <w:rsid w:val="00CF5531"/>
    <w:rsid w:val="00CF6053"/>
    <w:rsid w:val="00D01013"/>
    <w:rsid w:val="00D04B3D"/>
    <w:rsid w:val="00D05C95"/>
    <w:rsid w:val="00D05ECC"/>
    <w:rsid w:val="00D131A2"/>
    <w:rsid w:val="00D132F3"/>
    <w:rsid w:val="00D1339A"/>
    <w:rsid w:val="00D1577D"/>
    <w:rsid w:val="00D1645E"/>
    <w:rsid w:val="00D20112"/>
    <w:rsid w:val="00D23828"/>
    <w:rsid w:val="00D23B73"/>
    <w:rsid w:val="00D26FB9"/>
    <w:rsid w:val="00D301D3"/>
    <w:rsid w:val="00D3106A"/>
    <w:rsid w:val="00D31C8C"/>
    <w:rsid w:val="00D353BA"/>
    <w:rsid w:val="00D35580"/>
    <w:rsid w:val="00D36520"/>
    <w:rsid w:val="00D3667E"/>
    <w:rsid w:val="00D36B1E"/>
    <w:rsid w:val="00D37AE8"/>
    <w:rsid w:val="00D37D78"/>
    <w:rsid w:val="00D37FD5"/>
    <w:rsid w:val="00D41243"/>
    <w:rsid w:val="00D41A8A"/>
    <w:rsid w:val="00D4220B"/>
    <w:rsid w:val="00D42810"/>
    <w:rsid w:val="00D43602"/>
    <w:rsid w:val="00D44563"/>
    <w:rsid w:val="00D45118"/>
    <w:rsid w:val="00D45119"/>
    <w:rsid w:val="00D479F9"/>
    <w:rsid w:val="00D50E66"/>
    <w:rsid w:val="00D50ECA"/>
    <w:rsid w:val="00D51E4B"/>
    <w:rsid w:val="00D523AD"/>
    <w:rsid w:val="00D525F7"/>
    <w:rsid w:val="00D52FE3"/>
    <w:rsid w:val="00D533FA"/>
    <w:rsid w:val="00D53E22"/>
    <w:rsid w:val="00D55D85"/>
    <w:rsid w:val="00D56F85"/>
    <w:rsid w:val="00D60922"/>
    <w:rsid w:val="00D61813"/>
    <w:rsid w:val="00D6244C"/>
    <w:rsid w:val="00D62DB2"/>
    <w:rsid w:val="00D63F55"/>
    <w:rsid w:val="00D649FC"/>
    <w:rsid w:val="00D6676D"/>
    <w:rsid w:val="00D667F8"/>
    <w:rsid w:val="00D67FAA"/>
    <w:rsid w:val="00D738B7"/>
    <w:rsid w:val="00D73E66"/>
    <w:rsid w:val="00D7582E"/>
    <w:rsid w:val="00D75F57"/>
    <w:rsid w:val="00D80FF2"/>
    <w:rsid w:val="00D810C6"/>
    <w:rsid w:val="00D82E61"/>
    <w:rsid w:val="00D830F5"/>
    <w:rsid w:val="00D856B8"/>
    <w:rsid w:val="00D876C9"/>
    <w:rsid w:val="00D90392"/>
    <w:rsid w:val="00D92851"/>
    <w:rsid w:val="00D9487C"/>
    <w:rsid w:val="00D95176"/>
    <w:rsid w:val="00D96834"/>
    <w:rsid w:val="00D96B71"/>
    <w:rsid w:val="00D97E57"/>
    <w:rsid w:val="00DA17AF"/>
    <w:rsid w:val="00DA1B42"/>
    <w:rsid w:val="00DA2060"/>
    <w:rsid w:val="00DA2403"/>
    <w:rsid w:val="00DA616C"/>
    <w:rsid w:val="00DA659F"/>
    <w:rsid w:val="00DA686A"/>
    <w:rsid w:val="00DA71B5"/>
    <w:rsid w:val="00DA7228"/>
    <w:rsid w:val="00DB1264"/>
    <w:rsid w:val="00DB24EC"/>
    <w:rsid w:val="00DB365B"/>
    <w:rsid w:val="00DB4627"/>
    <w:rsid w:val="00DB4DE9"/>
    <w:rsid w:val="00DB5315"/>
    <w:rsid w:val="00DC0D45"/>
    <w:rsid w:val="00DC26F4"/>
    <w:rsid w:val="00DC4523"/>
    <w:rsid w:val="00DC6151"/>
    <w:rsid w:val="00DC6C7E"/>
    <w:rsid w:val="00DC7312"/>
    <w:rsid w:val="00DC7959"/>
    <w:rsid w:val="00DC7A95"/>
    <w:rsid w:val="00DD0B0B"/>
    <w:rsid w:val="00DD0DCA"/>
    <w:rsid w:val="00DD2F71"/>
    <w:rsid w:val="00DD33FD"/>
    <w:rsid w:val="00DD4623"/>
    <w:rsid w:val="00DD5583"/>
    <w:rsid w:val="00DD6107"/>
    <w:rsid w:val="00DD639E"/>
    <w:rsid w:val="00DD7274"/>
    <w:rsid w:val="00DE160E"/>
    <w:rsid w:val="00DE3072"/>
    <w:rsid w:val="00DE6E17"/>
    <w:rsid w:val="00DF1899"/>
    <w:rsid w:val="00DF3712"/>
    <w:rsid w:val="00DF4D88"/>
    <w:rsid w:val="00DF5595"/>
    <w:rsid w:val="00DF5A0C"/>
    <w:rsid w:val="00DF7827"/>
    <w:rsid w:val="00E01226"/>
    <w:rsid w:val="00E0519E"/>
    <w:rsid w:val="00E05B1A"/>
    <w:rsid w:val="00E0753A"/>
    <w:rsid w:val="00E10058"/>
    <w:rsid w:val="00E11FDD"/>
    <w:rsid w:val="00E12865"/>
    <w:rsid w:val="00E1303D"/>
    <w:rsid w:val="00E1326B"/>
    <w:rsid w:val="00E14855"/>
    <w:rsid w:val="00E14ED8"/>
    <w:rsid w:val="00E1768C"/>
    <w:rsid w:val="00E22AE8"/>
    <w:rsid w:val="00E23931"/>
    <w:rsid w:val="00E25423"/>
    <w:rsid w:val="00E26A4C"/>
    <w:rsid w:val="00E278E9"/>
    <w:rsid w:val="00E30364"/>
    <w:rsid w:val="00E30E00"/>
    <w:rsid w:val="00E31491"/>
    <w:rsid w:val="00E31905"/>
    <w:rsid w:val="00E31DDE"/>
    <w:rsid w:val="00E322A1"/>
    <w:rsid w:val="00E33369"/>
    <w:rsid w:val="00E336D5"/>
    <w:rsid w:val="00E3430A"/>
    <w:rsid w:val="00E34B1D"/>
    <w:rsid w:val="00E364DF"/>
    <w:rsid w:val="00E41309"/>
    <w:rsid w:val="00E42322"/>
    <w:rsid w:val="00E42AD3"/>
    <w:rsid w:val="00E4463F"/>
    <w:rsid w:val="00E466E0"/>
    <w:rsid w:val="00E4697A"/>
    <w:rsid w:val="00E502A6"/>
    <w:rsid w:val="00E52050"/>
    <w:rsid w:val="00E545D6"/>
    <w:rsid w:val="00E54626"/>
    <w:rsid w:val="00E546D3"/>
    <w:rsid w:val="00E54AA4"/>
    <w:rsid w:val="00E56B7B"/>
    <w:rsid w:val="00E6061E"/>
    <w:rsid w:val="00E73F1A"/>
    <w:rsid w:val="00E757D2"/>
    <w:rsid w:val="00E777B4"/>
    <w:rsid w:val="00E77E89"/>
    <w:rsid w:val="00E801F3"/>
    <w:rsid w:val="00E80337"/>
    <w:rsid w:val="00E80C1C"/>
    <w:rsid w:val="00E81754"/>
    <w:rsid w:val="00E81BA8"/>
    <w:rsid w:val="00E8269D"/>
    <w:rsid w:val="00E83E82"/>
    <w:rsid w:val="00E84B92"/>
    <w:rsid w:val="00E85FB8"/>
    <w:rsid w:val="00E86157"/>
    <w:rsid w:val="00E87501"/>
    <w:rsid w:val="00E90C95"/>
    <w:rsid w:val="00E90DF2"/>
    <w:rsid w:val="00E93301"/>
    <w:rsid w:val="00E9448F"/>
    <w:rsid w:val="00E955C1"/>
    <w:rsid w:val="00E96BFC"/>
    <w:rsid w:val="00EA26EC"/>
    <w:rsid w:val="00EA388E"/>
    <w:rsid w:val="00EA3FC5"/>
    <w:rsid w:val="00EA6007"/>
    <w:rsid w:val="00EB0C51"/>
    <w:rsid w:val="00EB1CB3"/>
    <w:rsid w:val="00EB2053"/>
    <w:rsid w:val="00EB20D3"/>
    <w:rsid w:val="00EB38DC"/>
    <w:rsid w:val="00EB6FF2"/>
    <w:rsid w:val="00EC09A8"/>
    <w:rsid w:val="00EC34D8"/>
    <w:rsid w:val="00EC47C9"/>
    <w:rsid w:val="00EC6B56"/>
    <w:rsid w:val="00EC7EEF"/>
    <w:rsid w:val="00EC7FC4"/>
    <w:rsid w:val="00ED136C"/>
    <w:rsid w:val="00ED167F"/>
    <w:rsid w:val="00ED1BA8"/>
    <w:rsid w:val="00ED2A3C"/>
    <w:rsid w:val="00ED311A"/>
    <w:rsid w:val="00ED39EF"/>
    <w:rsid w:val="00ED3C9F"/>
    <w:rsid w:val="00ED6FA1"/>
    <w:rsid w:val="00EE01A1"/>
    <w:rsid w:val="00EE151E"/>
    <w:rsid w:val="00EE38CD"/>
    <w:rsid w:val="00EE5A72"/>
    <w:rsid w:val="00EE6C2A"/>
    <w:rsid w:val="00EE6DD0"/>
    <w:rsid w:val="00EE7A7B"/>
    <w:rsid w:val="00EF0729"/>
    <w:rsid w:val="00EF0DD3"/>
    <w:rsid w:val="00EF0E89"/>
    <w:rsid w:val="00EF1197"/>
    <w:rsid w:val="00EF1A8A"/>
    <w:rsid w:val="00EF2084"/>
    <w:rsid w:val="00EF20D1"/>
    <w:rsid w:val="00EF425F"/>
    <w:rsid w:val="00EF6400"/>
    <w:rsid w:val="00EF7950"/>
    <w:rsid w:val="00F0180F"/>
    <w:rsid w:val="00F02F42"/>
    <w:rsid w:val="00F045A2"/>
    <w:rsid w:val="00F04DA4"/>
    <w:rsid w:val="00F05547"/>
    <w:rsid w:val="00F059D4"/>
    <w:rsid w:val="00F069D0"/>
    <w:rsid w:val="00F07CDB"/>
    <w:rsid w:val="00F12330"/>
    <w:rsid w:val="00F126D8"/>
    <w:rsid w:val="00F13101"/>
    <w:rsid w:val="00F15893"/>
    <w:rsid w:val="00F15FC9"/>
    <w:rsid w:val="00F171F8"/>
    <w:rsid w:val="00F17FB9"/>
    <w:rsid w:val="00F223A3"/>
    <w:rsid w:val="00F225B0"/>
    <w:rsid w:val="00F22F56"/>
    <w:rsid w:val="00F24080"/>
    <w:rsid w:val="00F24C31"/>
    <w:rsid w:val="00F25E02"/>
    <w:rsid w:val="00F277D3"/>
    <w:rsid w:val="00F3252A"/>
    <w:rsid w:val="00F3508D"/>
    <w:rsid w:val="00F35B49"/>
    <w:rsid w:val="00F36F31"/>
    <w:rsid w:val="00F422D0"/>
    <w:rsid w:val="00F42A14"/>
    <w:rsid w:val="00F42BC5"/>
    <w:rsid w:val="00F42D8F"/>
    <w:rsid w:val="00F4301D"/>
    <w:rsid w:val="00F43BF6"/>
    <w:rsid w:val="00F43E0D"/>
    <w:rsid w:val="00F44588"/>
    <w:rsid w:val="00F50688"/>
    <w:rsid w:val="00F50B3A"/>
    <w:rsid w:val="00F53D07"/>
    <w:rsid w:val="00F560C9"/>
    <w:rsid w:val="00F562C5"/>
    <w:rsid w:val="00F6021A"/>
    <w:rsid w:val="00F6145E"/>
    <w:rsid w:val="00F62C58"/>
    <w:rsid w:val="00F62D44"/>
    <w:rsid w:val="00F66507"/>
    <w:rsid w:val="00F66896"/>
    <w:rsid w:val="00F670EA"/>
    <w:rsid w:val="00F67C0E"/>
    <w:rsid w:val="00F7009B"/>
    <w:rsid w:val="00F7063B"/>
    <w:rsid w:val="00F71647"/>
    <w:rsid w:val="00F73036"/>
    <w:rsid w:val="00F7385F"/>
    <w:rsid w:val="00F74246"/>
    <w:rsid w:val="00F74E33"/>
    <w:rsid w:val="00F74E72"/>
    <w:rsid w:val="00F80F2B"/>
    <w:rsid w:val="00F81EFD"/>
    <w:rsid w:val="00F82F07"/>
    <w:rsid w:val="00F82F30"/>
    <w:rsid w:val="00F84607"/>
    <w:rsid w:val="00F8466E"/>
    <w:rsid w:val="00F846F2"/>
    <w:rsid w:val="00F853C9"/>
    <w:rsid w:val="00F87B08"/>
    <w:rsid w:val="00F90A06"/>
    <w:rsid w:val="00F90C61"/>
    <w:rsid w:val="00F913C6"/>
    <w:rsid w:val="00F9287A"/>
    <w:rsid w:val="00F92BF9"/>
    <w:rsid w:val="00F93C1D"/>
    <w:rsid w:val="00F9554D"/>
    <w:rsid w:val="00F9566D"/>
    <w:rsid w:val="00F9584A"/>
    <w:rsid w:val="00F959AA"/>
    <w:rsid w:val="00F959B1"/>
    <w:rsid w:val="00F96C87"/>
    <w:rsid w:val="00F96E14"/>
    <w:rsid w:val="00FA04B0"/>
    <w:rsid w:val="00FA3309"/>
    <w:rsid w:val="00FA3875"/>
    <w:rsid w:val="00FA3EB6"/>
    <w:rsid w:val="00FA5261"/>
    <w:rsid w:val="00FA5BF6"/>
    <w:rsid w:val="00FA6453"/>
    <w:rsid w:val="00FA6F74"/>
    <w:rsid w:val="00FA74DB"/>
    <w:rsid w:val="00FA78F6"/>
    <w:rsid w:val="00FB26C7"/>
    <w:rsid w:val="00FB4116"/>
    <w:rsid w:val="00FB4389"/>
    <w:rsid w:val="00FB4665"/>
    <w:rsid w:val="00FB4D3D"/>
    <w:rsid w:val="00FB5EC5"/>
    <w:rsid w:val="00FB6188"/>
    <w:rsid w:val="00FB67D3"/>
    <w:rsid w:val="00FC0410"/>
    <w:rsid w:val="00FC0703"/>
    <w:rsid w:val="00FC08A0"/>
    <w:rsid w:val="00FC2CB8"/>
    <w:rsid w:val="00FC3B7B"/>
    <w:rsid w:val="00FC3DCF"/>
    <w:rsid w:val="00FC3F95"/>
    <w:rsid w:val="00FC4A4D"/>
    <w:rsid w:val="00FC6E68"/>
    <w:rsid w:val="00FD01D0"/>
    <w:rsid w:val="00FD0922"/>
    <w:rsid w:val="00FD153F"/>
    <w:rsid w:val="00FD2AAD"/>
    <w:rsid w:val="00FD4137"/>
    <w:rsid w:val="00FD7DC1"/>
    <w:rsid w:val="00FE0433"/>
    <w:rsid w:val="00FE1580"/>
    <w:rsid w:val="00FE19E8"/>
    <w:rsid w:val="00FE1DCB"/>
    <w:rsid w:val="00FE2C03"/>
    <w:rsid w:val="00FE351B"/>
    <w:rsid w:val="00FE442F"/>
    <w:rsid w:val="00FE5CCB"/>
    <w:rsid w:val="00FF5128"/>
    <w:rsid w:val="010D5FC6"/>
    <w:rsid w:val="01964C25"/>
    <w:rsid w:val="019A10AD"/>
    <w:rsid w:val="01B554DA"/>
    <w:rsid w:val="01DE7DDA"/>
    <w:rsid w:val="02132F88"/>
    <w:rsid w:val="023D1C67"/>
    <w:rsid w:val="027E2E67"/>
    <w:rsid w:val="028711AE"/>
    <w:rsid w:val="02B7449E"/>
    <w:rsid w:val="02DF1744"/>
    <w:rsid w:val="02FA25DD"/>
    <w:rsid w:val="03050966"/>
    <w:rsid w:val="0332621A"/>
    <w:rsid w:val="034F1CBC"/>
    <w:rsid w:val="039931C3"/>
    <w:rsid w:val="03F4527E"/>
    <w:rsid w:val="04581CB1"/>
    <w:rsid w:val="046E6DDE"/>
    <w:rsid w:val="05804160"/>
    <w:rsid w:val="05B31BD4"/>
    <w:rsid w:val="05C173E2"/>
    <w:rsid w:val="067231FC"/>
    <w:rsid w:val="06C13B3D"/>
    <w:rsid w:val="06D53013"/>
    <w:rsid w:val="06D66EBD"/>
    <w:rsid w:val="074E2EF7"/>
    <w:rsid w:val="07841360"/>
    <w:rsid w:val="07916A2C"/>
    <w:rsid w:val="07945C38"/>
    <w:rsid w:val="07974FDA"/>
    <w:rsid w:val="07DC2DF1"/>
    <w:rsid w:val="080C528C"/>
    <w:rsid w:val="08206F8D"/>
    <w:rsid w:val="08280AFE"/>
    <w:rsid w:val="08687028"/>
    <w:rsid w:val="08A66183"/>
    <w:rsid w:val="097906FF"/>
    <w:rsid w:val="0A1E3055"/>
    <w:rsid w:val="0A7964DD"/>
    <w:rsid w:val="0AA945EE"/>
    <w:rsid w:val="0AB9737B"/>
    <w:rsid w:val="0BDB744F"/>
    <w:rsid w:val="0C36713E"/>
    <w:rsid w:val="0C4E2B00"/>
    <w:rsid w:val="0CE9794A"/>
    <w:rsid w:val="0CF72B0B"/>
    <w:rsid w:val="0D5560E2"/>
    <w:rsid w:val="0D9F74A7"/>
    <w:rsid w:val="0DD27F39"/>
    <w:rsid w:val="0DDC291F"/>
    <w:rsid w:val="0E0D22D8"/>
    <w:rsid w:val="0E3971B2"/>
    <w:rsid w:val="0E417312"/>
    <w:rsid w:val="0E4B1F3E"/>
    <w:rsid w:val="0E87741A"/>
    <w:rsid w:val="0E8A4D0F"/>
    <w:rsid w:val="0EAB2129"/>
    <w:rsid w:val="0F825E34"/>
    <w:rsid w:val="0F987405"/>
    <w:rsid w:val="0FCE4BFF"/>
    <w:rsid w:val="114C66F9"/>
    <w:rsid w:val="11591684"/>
    <w:rsid w:val="117A5014"/>
    <w:rsid w:val="11994833"/>
    <w:rsid w:val="11D16BFE"/>
    <w:rsid w:val="12AF0734"/>
    <w:rsid w:val="12D82E39"/>
    <w:rsid w:val="13091D9A"/>
    <w:rsid w:val="138E4DA7"/>
    <w:rsid w:val="13BC4AF1"/>
    <w:rsid w:val="143F1847"/>
    <w:rsid w:val="14467430"/>
    <w:rsid w:val="147B3ED4"/>
    <w:rsid w:val="1481490C"/>
    <w:rsid w:val="14DB717C"/>
    <w:rsid w:val="150E5B3A"/>
    <w:rsid w:val="162437A1"/>
    <w:rsid w:val="16461969"/>
    <w:rsid w:val="167A1613"/>
    <w:rsid w:val="16BC2FBC"/>
    <w:rsid w:val="16C73E99"/>
    <w:rsid w:val="17287901"/>
    <w:rsid w:val="1858256E"/>
    <w:rsid w:val="1887214B"/>
    <w:rsid w:val="18910E95"/>
    <w:rsid w:val="19636CD6"/>
    <w:rsid w:val="1A085187"/>
    <w:rsid w:val="1AD82DAC"/>
    <w:rsid w:val="1B8151F1"/>
    <w:rsid w:val="1BEE3761"/>
    <w:rsid w:val="1C864BDA"/>
    <w:rsid w:val="1C916599"/>
    <w:rsid w:val="1C9B22E3"/>
    <w:rsid w:val="1CA6079E"/>
    <w:rsid w:val="1D1D46D4"/>
    <w:rsid w:val="1D9E02DC"/>
    <w:rsid w:val="1DD957B9"/>
    <w:rsid w:val="1E48483A"/>
    <w:rsid w:val="1F201BC5"/>
    <w:rsid w:val="202B6C96"/>
    <w:rsid w:val="20713A86"/>
    <w:rsid w:val="210F3D49"/>
    <w:rsid w:val="21157E5B"/>
    <w:rsid w:val="213435FE"/>
    <w:rsid w:val="2145138A"/>
    <w:rsid w:val="21787EF5"/>
    <w:rsid w:val="21B06830"/>
    <w:rsid w:val="21D97B35"/>
    <w:rsid w:val="22010E3A"/>
    <w:rsid w:val="229944D5"/>
    <w:rsid w:val="22F4274D"/>
    <w:rsid w:val="235F0836"/>
    <w:rsid w:val="23B26890"/>
    <w:rsid w:val="23BFE574"/>
    <w:rsid w:val="23D20CE0"/>
    <w:rsid w:val="244D65B8"/>
    <w:rsid w:val="24E7713A"/>
    <w:rsid w:val="24EB5E30"/>
    <w:rsid w:val="255319AC"/>
    <w:rsid w:val="25B6156F"/>
    <w:rsid w:val="260234C2"/>
    <w:rsid w:val="26123616"/>
    <w:rsid w:val="26263692"/>
    <w:rsid w:val="268E4E7C"/>
    <w:rsid w:val="269009DE"/>
    <w:rsid w:val="26976211"/>
    <w:rsid w:val="27364CF9"/>
    <w:rsid w:val="27411C43"/>
    <w:rsid w:val="2758054F"/>
    <w:rsid w:val="27A06811"/>
    <w:rsid w:val="27D53B09"/>
    <w:rsid w:val="27E40FE2"/>
    <w:rsid w:val="28754330"/>
    <w:rsid w:val="288B2282"/>
    <w:rsid w:val="28C52BC1"/>
    <w:rsid w:val="29414BF6"/>
    <w:rsid w:val="299946CD"/>
    <w:rsid w:val="29BB3FC4"/>
    <w:rsid w:val="29F23E8A"/>
    <w:rsid w:val="2AB347FA"/>
    <w:rsid w:val="2AC03708"/>
    <w:rsid w:val="2ACF5F79"/>
    <w:rsid w:val="2AE5754B"/>
    <w:rsid w:val="2B367DA6"/>
    <w:rsid w:val="2B45448D"/>
    <w:rsid w:val="2B783856"/>
    <w:rsid w:val="2C2C2F57"/>
    <w:rsid w:val="2C7D1A05"/>
    <w:rsid w:val="2CD746D4"/>
    <w:rsid w:val="2D0D2D89"/>
    <w:rsid w:val="2D0F4C79"/>
    <w:rsid w:val="2D4B685B"/>
    <w:rsid w:val="2DCD0BCB"/>
    <w:rsid w:val="2DFA4D8F"/>
    <w:rsid w:val="2E086516"/>
    <w:rsid w:val="2E9D1EEA"/>
    <w:rsid w:val="2E9F64AA"/>
    <w:rsid w:val="2EE62E8A"/>
    <w:rsid w:val="2EF266DA"/>
    <w:rsid w:val="30351FA2"/>
    <w:rsid w:val="305F1EED"/>
    <w:rsid w:val="30D82826"/>
    <w:rsid w:val="31801BC4"/>
    <w:rsid w:val="320D5AD1"/>
    <w:rsid w:val="32FD564D"/>
    <w:rsid w:val="33146D08"/>
    <w:rsid w:val="331F7372"/>
    <w:rsid w:val="33D068BE"/>
    <w:rsid w:val="340F73E6"/>
    <w:rsid w:val="34237336"/>
    <w:rsid w:val="342B67D5"/>
    <w:rsid w:val="35366BDD"/>
    <w:rsid w:val="35D1164F"/>
    <w:rsid w:val="36B204FD"/>
    <w:rsid w:val="36E52680"/>
    <w:rsid w:val="383A26CD"/>
    <w:rsid w:val="38824658"/>
    <w:rsid w:val="38D04FBC"/>
    <w:rsid w:val="38F35529"/>
    <w:rsid w:val="391D5F56"/>
    <w:rsid w:val="393D0552"/>
    <w:rsid w:val="394A250A"/>
    <w:rsid w:val="395D3275"/>
    <w:rsid w:val="39C742BF"/>
    <w:rsid w:val="39EF72AE"/>
    <w:rsid w:val="3A351C05"/>
    <w:rsid w:val="3A9956AF"/>
    <w:rsid w:val="3ADE5D64"/>
    <w:rsid w:val="3AEB5815"/>
    <w:rsid w:val="3BCA3F69"/>
    <w:rsid w:val="3BE706E7"/>
    <w:rsid w:val="3D0A66DE"/>
    <w:rsid w:val="3D242123"/>
    <w:rsid w:val="3D2739F3"/>
    <w:rsid w:val="3DC15BF5"/>
    <w:rsid w:val="3E0F0CDE"/>
    <w:rsid w:val="3E6D3687"/>
    <w:rsid w:val="3E8D5AD7"/>
    <w:rsid w:val="3EAF07F3"/>
    <w:rsid w:val="3F2A77CA"/>
    <w:rsid w:val="3FAA090B"/>
    <w:rsid w:val="40046FD9"/>
    <w:rsid w:val="401069C0"/>
    <w:rsid w:val="40454BDA"/>
    <w:rsid w:val="40A1394B"/>
    <w:rsid w:val="40AE4353"/>
    <w:rsid w:val="41412BA9"/>
    <w:rsid w:val="41BB6E63"/>
    <w:rsid w:val="42030C49"/>
    <w:rsid w:val="42185761"/>
    <w:rsid w:val="42213106"/>
    <w:rsid w:val="4246491B"/>
    <w:rsid w:val="426B6885"/>
    <w:rsid w:val="426E3E72"/>
    <w:rsid w:val="428B4190"/>
    <w:rsid w:val="42E20F30"/>
    <w:rsid w:val="42F04887"/>
    <w:rsid w:val="436241DA"/>
    <w:rsid w:val="43BD0E45"/>
    <w:rsid w:val="43D8485D"/>
    <w:rsid w:val="43EA577A"/>
    <w:rsid w:val="43EC25C1"/>
    <w:rsid w:val="44240418"/>
    <w:rsid w:val="442E1B0B"/>
    <w:rsid w:val="44C71617"/>
    <w:rsid w:val="44CA3993"/>
    <w:rsid w:val="44D31ED2"/>
    <w:rsid w:val="4517434D"/>
    <w:rsid w:val="45667C6E"/>
    <w:rsid w:val="45D60E05"/>
    <w:rsid w:val="45EF5E53"/>
    <w:rsid w:val="45F12DF0"/>
    <w:rsid w:val="46340F2E"/>
    <w:rsid w:val="463B406B"/>
    <w:rsid w:val="475E6263"/>
    <w:rsid w:val="4816734E"/>
    <w:rsid w:val="482B01E3"/>
    <w:rsid w:val="48442155"/>
    <w:rsid w:val="48AC1FAB"/>
    <w:rsid w:val="48CC1C5B"/>
    <w:rsid w:val="48FD385A"/>
    <w:rsid w:val="49BD6AFB"/>
    <w:rsid w:val="49D46CB0"/>
    <w:rsid w:val="49DE7B2F"/>
    <w:rsid w:val="49E63634"/>
    <w:rsid w:val="49E8254F"/>
    <w:rsid w:val="4A174DEF"/>
    <w:rsid w:val="4A424B4F"/>
    <w:rsid w:val="4A4A4B72"/>
    <w:rsid w:val="4BA90C7D"/>
    <w:rsid w:val="4BC81760"/>
    <w:rsid w:val="4BE27F8A"/>
    <w:rsid w:val="4BFC24EE"/>
    <w:rsid w:val="4C147660"/>
    <w:rsid w:val="4C8D1398"/>
    <w:rsid w:val="4E1601C6"/>
    <w:rsid w:val="4E5F151E"/>
    <w:rsid w:val="4EC51BF8"/>
    <w:rsid w:val="4ED96FA8"/>
    <w:rsid w:val="4EFB3105"/>
    <w:rsid w:val="4F242E93"/>
    <w:rsid w:val="4F400944"/>
    <w:rsid w:val="4F8D61C2"/>
    <w:rsid w:val="4FA577CF"/>
    <w:rsid w:val="4FA79881"/>
    <w:rsid w:val="501A1195"/>
    <w:rsid w:val="50226DEB"/>
    <w:rsid w:val="502F4C40"/>
    <w:rsid w:val="50CA3E1C"/>
    <w:rsid w:val="50DD762C"/>
    <w:rsid w:val="51A81EAB"/>
    <w:rsid w:val="521340EE"/>
    <w:rsid w:val="521A722A"/>
    <w:rsid w:val="5237266C"/>
    <w:rsid w:val="5334256E"/>
    <w:rsid w:val="5334431C"/>
    <w:rsid w:val="537E1A3B"/>
    <w:rsid w:val="53AB0A82"/>
    <w:rsid w:val="54F975CB"/>
    <w:rsid w:val="55986DE4"/>
    <w:rsid w:val="560C1580"/>
    <w:rsid w:val="56FC0396"/>
    <w:rsid w:val="57430FD1"/>
    <w:rsid w:val="576A0C54"/>
    <w:rsid w:val="57947A7F"/>
    <w:rsid w:val="579E63A0"/>
    <w:rsid w:val="57B343A9"/>
    <w:rsid w:val="57F10A2D"/>
    <w:rsid w:val="582E3A30"/>
    <w:rsid w:val="587830F6"/>
    <w:rsid w:val="58C6010C"/>
    <w:rsid w:val="58DC348C"/>
    <w:rsid w:val="591E5852"/>
    <w:rsid w:val="59287642"/>
    <w:rsid w:val="59575208"/>
    <w:rsid w:val="5992478B"/>
    <w:rsid w:val="59972C8B"/>
    <w:rsid w:val="5999312B"/>
    <w:rsid w:val="5A1C77F0"/>
    <w:rsid w:val="5A233ECA"/>
    <w:rsid w:val="5A3B798D"/>
    <w:rsid w:val="5C0D7FF6"/>
    <w:rsid w:val="5C69772C"/>
    <w:rsid w:val="5D395350"/>
    <w:rsid w:val="5F27742B"/>
    <w:rsid w:val="5F593A88"/>
    <w:rsid w:val="5F9F5213"/>
    <w:rsid w:val="5FF53085"/>
    <w:rsid w:val="606C1599"/>
    <w:rsid w:val="616131D1"/>
    <w:rsid w:val="61785D1C"/>
    <w:rsid w:val="61D70C94"/>
    <w:rsid w:val="61E33ADD"/>
    <w:rsid w:val="620B6AB5"/>
    <w:rsid w:val="623054B0"/>
    <w:rsid w:val="625422E5"/>
    <w:rsid w:val="62EB24E4"/>
    <w:rsid w:val="63116428"/>
    <w:rsid w:val="631A1780"/>
    <w:rsid w:val="63FD659C"/>
    <w:rsid w:val="641B57B0"/>
    <w:rsid w:val="64414AEB"/>
    <w:rsid w:val="64601415"/>
    <w:rsid w:val="64681A0D"/>
    <w:rsid w:val="64AD3F2E"/>
    <w:rsid w:val="65654809"/>
    <w:rsid w:val="65867EED"/>
    <w:rsid w:val="65D8147F"/>
    <w:rsid w:val="65FA13F5"/>
    <w:rsid w:val="66037026"/>
    <w:rsid w:val="6692787F"/>
    <w:rsid w:val="66EA1469"/>
    <w:rsid w:val="673152EA"/>
    <w:rsid w:val="67A27113"/>
    <w:rsid w:val="67A94E81"/>
    <w:rsid w:val="67DD1876"/>
    <w:rsid w:val="6818218E"/>
    <w:rsid w:val="687B77F4"/>
    <w:rsid w:val="68914293"/>
    <w:rsid w:val="68995944"/>
    <w:rsid w:val="68F25ADB"/>
    <w:rsid w:val="68FE11FC"/>
    <w:rsid w:val="69233924"/>
    <w:rsid w:val="69351AA8"/>
    <w:rsid w:val="69E421A0"/>
    <w:rsid w:val="6A4B3FF0"/>
    <w:rsid w:val="6A755292"/>
    <w:rsid w:val="6ABC72AD"/>
    <w:rsid w:val="6AC01CFC"/>
    <w:rsid w:val="6AC8443C"/>
    <w:rsid w:val="6AD46DF5"/>
    <w:rsid w:val="6B3E64A3"/>
    <w:rsid w:val="6B680BAF"/>
    <w:rsid w:val="6BDB3A77"/>
    <w:rsid w:val="6C6D154A"/>
    <w:rsid w:val="6C6D7E09"/>
    <w:rsid w:val="6C703C63"/>
    <w:rsid w:val="6C89702F"/>
    <w:rsid w:val="6CAB51F7"/>
    <w:rsid w:val="6D1C0FD5"/>
    <w:rsid w:val="6D5060F5"/>
    <w:rsid w:val="6D6D6950"/>
    <w:rsid w:val="6D836174"/>
    <w:rsid w:val="6DE27C96"/>
    <w:rsid w:val="6DEA1D4F"/>
    <w:rsid w:val="6E07016B"/>
    <w:rsid w:val="6E5124EB"/>
    <w:rsid w:val="6E5B66A4"/>
    <w:rsid w:val="6EE42C42"/>
    <w:rsid w:val="6F285225"/>
    <w:rsid w:val="6F416A7B"/>
    <w:rsid w:val="6FB46AB9"/>
    <w:rsid w:val="6FC211D5"/>
    <w:rsid w:val="6FCE3184"/>
    <w:rsid w:val="6FD92432"/>
    <w:rsid w:val="6FE949B4"/>
    <w:rsid w:val="711D41EA"/>
    <w:rsid w:val="716254FF"/>
    <w:rsid w:val="72277779"/>
    <w:rsid w:val="724E66E8"/>
    <w:rsid w:val="725D7774"/>
    <w:rsid w:val="72695938"/>
    <w:rsid w:val="7280199C"/>
    <w:rsid w:val="738D5656"/>
    <w:rsid w:val="74237697"/>
    <w:rsid w:val="745D14CD"/>
    <w:rsid w:val="748702F8"/>
    <w:rsid w:val="74B96C79"/>
    <w:rsid w:val="74DD038A"/>
    <w:rsid w:val="74F93906"/>
    <w:rsid w:val="75475012"/>
    <w:rsid w:val="75F80517"/>
    <w:rsid w:val="769413F2"/>
    <w:rsid w:val="76EA2DC0"/>
    <w:rsid w:val="77161E07"/>
    <w:rsid w:val="775F37A4"/>
    <w:rsid w:val="77C2468B"/>
    <w:rsid w:val="77DA1086"/>
    <w:rsid w:val="77F008AA"/>
    <w:rsid w:val="786A4B63"/>
    <w:rsid w:val="788D5058"/>
    <w:rsid w:val="78A24821"/>
    <w:rsid w:val="78DE6954"/>
    <w:rsid w:val="78F92189"/>
    <w:rsid w:val="78F9378E"/>
    <w:rsid w:val="792E3438"/>
    <w:rsid w:val="79386064"/>
    <w:rsid w:val="794543C1"/>
    <w:rsid w:val="79C21DD2"/>
    <w:rsid w:val="79D4304F"/>
    <w:rsid w:val="7A3C1B84"/>
    <w:rsid w:val="7A85352B"/>
    <w:rsid w:val="7AE127DC"/>
    <w:rsid w:val="7B0205C1"/>
    <w:rsid w:val="7B882437"/>
    <w:rsid w:val="7BBF2A6D"/>
    <w:rsid w:val="7C4A4D85"/>
    <w:rsid w:val="7C7460BD"/>
    <w:rsid w:val="7CC678C0"/>
    <w:rsid w:val="7D494CE4"/>
    <w:rsid w:val="7D567401"/>
    <w:rsid w:val="7D9817C8"/>
    <w:rsid w:val="7DF6029C"/>
    <w:rsid w:val="7FEFE6A4"/>
    <w:rsid w:val="7FF32CE5"/>
    <w:rsid w:val="8EFF2124"/>
    <w:rsid w:val="9FE78D21"/>
    <w:rsid w:val="BFFBFCE7"/>
    <w:rsid w:val="E9AB1F91"/>
    <w:rsid w:val="FBDD1AA2"/>
    <w:rsid w:val="FD4F022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numPr>
        <w:ilvl w:val="0"/>
        <w:numId w:val="1"/>
      </w:numPr>
      <w:spacing w:before="120" w:line="360" w:lineRule="auto"/>
      <w:outlineLvl w:val="0"/>
    </w:pPr>
    <w:rPr>
      <w:rFonts w:ascii="黑体" w:hAnsi="黑体" w:eastAsia="仿宋"/>
      <w:b/>
      <w:bCs/>
      <w:kern w:val="44"/>
      <w:sz w:val="32"/>
      <w:szCs w:val="32"/>
    </w:rPr>
  </w:style>
  <w:style w:type="paragraph" w:styleId="3">
    <w:name w:val="heading 2"/>
    <w:basedOn w:val="1"/>
    <w:next w:val="1"/>
    <w:link w:val="44"/>
    <w:qFormat/>
    <w:uiPriority w:val="0"/>
    <w:pPr>
      <w:keepNext/>
      <w:keepLines/>
      <w:widowControl w:val="0"/>
      <w:numPr>
        <w:ilvl w:val="1"/>
        <w:numId w:val="1"/>
      </w:numPr>
      <w:tabs>
        <w:tab w:val="left" w:pos="709"/>
        <w:tab w:val="left" w:pos="850"/>
      </w:tabs>
      <w:spacing w:line="360" w:lineRule="auto"/>
      <w:outlineLvl w:val="1"/>
    </w:pPr>
    <w:rPr>
      <w:rFonts w:ascii="宋体" w:hAnsi="宋体"/>
      <w:b/>
      <w:bCs/>
      <w:sz w:val="28"/>
      <w:szCs w:val="28"/>
    </w:rPr>
  </w:style>
  <w:style w:type="paragraph" w:styleId="4">
    <w:name w:val="heading 3"/>
    <w:basedOn w:val="1"/>
    <w:next w:val="1"/>
    <w:link w:val="45"/>
    <w:qFormat/>
    <w:uiPriority w:val="0"/>
    <w:pPr>
      <w:keepNext/>
      <w:widowControl w:val="0"/>
      <w:numPr>
        <w:ilvl w:val="2"/>
        <w:numId w:val="1"/>
      </w:numPr>
      <w:tabs>
        <w:tab w:val="left" w:pos="0"/>
      </w:tabs>
      <w:spacing w:line="360" w:lineRule="auto"/>
      <w:ind w:left="1134" w:hanging="1134"/>
      <w:outlineLvl w:val="2"/>
    </w:pPr>
    <w:rPr>
      <w:rFonts w:ascii="宋体" w:hAnsi="宋体" w:eastAsia="仿宋"/>
      <w:bCs/>
      <w:sz w:val="28"/>
      <w:szCs w:val="28"/>
    </w:rPr>
  </w:style>
  <w:style w:type="paragraph" w:styleId="5">
    <w:name w:val="heading 4"/>
    <w:basedOn w:val="1"/>
    <w:next w:val="1"/>
    <w:link w:val="46"/>
    <w:qFormat/>
    <w:uiPriority w:val="0"/>
    <w:pPr>
      <w:keepNext/>
      <w:keepLines/>
      <w:numPr>
        <w:ilvl w:val="3"/>
        <w:numId w:val="2"/>
      </w:numPr>
      <w:tabs>
        <w:tab w:val="left" w:pos="0"/>
      </w:tabs>
      <w:spacing w:before="100" w:beforeAutospacing="1" w:after="100" w:afterAutospacing="1" w:line="360" w:lineRule="auto"/>
      <w:outlineLvl w:val="3"/>
    </w:pPr>
    <w:rPr>
      <w:rFonts w:ascii="宋体" w:hAnsi="宋体"/>
      <w:b/>
      <w:bCs/>
      <w:sz w:val="32"/>
      <w:szCs w:val="32"/>
    </w:rPr>
  </w:style>
  <w:style w:type="paragraph" w:styleId="6">
    <w:name w:val="heading 5"/>
    <w:basedOn w:val="1"/>
    <w:next w:val="1"/>
    <w:link w:val="43"/>
    <w:unhideWhenUsed/>
    <w:qFormat/>
    <w:uiPriority w:val="0"/>
    <w:pPr>
      <w:keepNext/>
      <w:keepLines/>
      <w:numPr>
        <w:ilvl w:val="4"/>
        <w:numId w:val="2"/>
      </w:numPr>
      <w:spacing w:before="280" w:after="290" w:line="376" w:lineRule="auto"/>
      <w:outlineLvl w:val="4"/>
    </w:pPr>
    <w:rPr>
      <w:b/>
      <w:bCs/>
      <w:sz w:val="28"/>
      <w:szCs w:val="28"/>
    </w:rPr>
  </w:style>
  <w:style w:type="paragraph" w:styleId="7">
    <w:name w:val="heading 6"/>
    <w:basedOn w:val="1"/>
    <w:next w:val="1"/>
    <w:link w:val="49"/>
    <w:unhideWhenUsed/>
    <w:qFormat/>
    <w:uiPriority w:val="0"/>
    <w:pPr>
      <w:keepNext/>
      <w:keepLines/>
      <w:numPr>
        <w:ilvl w:val="5"/>
        <w:numId w:val="2"/>
      </w:numPr>
      <w:spacing w:before="240" w:after="64" w:line="320" w:lineRule="auto"/>
      <w:outlineLvl w:val="5"/>
    </w:pPr>
    <w:rPr>
      <w:rFonts w:ascii="Cambria" w:hAnsi="Cambria"/>
      <w:b/>
      <w:bCs/>
      <w:sz w:val="24"/>
    </w:rPr>
  </w:style>
  <w:style w:type="paragraph" w:styleId="8">
    <w:name w:val="heading 7"/>
    <w:basedOn w:val="1"/>
    <w:next w:val="1"/>
    <w:link w:val="50"/>
    <w:unhideWhenUsed/>
    <w:qFormat/>
    <w:uiPriority w:val="0"/>
    <w:pPr>
      <w:keepNext/>
      <w:keepLines/>
      <w:numPr>
        <w:ilvl w:val="6"/>
        <w:numId w:val="2"/>
      </w:numPr>
      <w:spacing w:before="240" w:after="64" w:line="320" w:lineRule="auto"/>
      <w:outlineLvl w:val="6"/>
    </w:pPr>
    <w:rPr>
      <w:b/>
      <w:bCs/>
      <w:sz w:val="24"/>
    </w:rPr>
  </w:style>
  <w:style w:type="paragraph" w:styleId="9">
    <w:name w:val="heading 8"/>
    <w:basedOn w:val="1"/>
    <w:next w:val="1"/>
    <w:link w:val="51"/>
    <w:unhideWhenUsed/>
    <w:qFormat/>
    <w:uiPriority w:val="0"/>
    <w:pPr>
      <w:keepNext/>
      <w:keepLines/>
      <w:numPr>
        <w:ilvl w:val="7"/>
        <w:numId w:val="2"/>
      </w:numPr>
      <w:spacing w:before="240" w:after="64" w:line="320" w:lineRule="auto"/>
      <w:outlineLvl w:val="7"/>
    </w:pPr>
    <w:rPr>
      <w:rFonts w:ascii="Cambria" w:hAnsi="Cambria"/>
      <w:sz w:val="24"/>
    </w:rPr>
  </w:style>
  <w:style w:type="paragraph" w:styleId="10">
    <w:name w:val="heading 9"/>
    <w:basedOn w:val="1"/>
    <w:next w:val="1"/>
    <w:link w:val="52"/>
    <w:unhideWhenUsed/>
    <w:qFormat/>
    <w:uiPriority w:val="0"/>
    <w:pPr>
      <w:keepNext/>
      <w:keepLines/>
      <w:numPr>
        <w:ilvl w:val="8"/>
        <w:numId w:val="2"/>
      </w:numPr>
      <w:spacing w:before="240" w:after="64" w:line="320" w:lineRule="auto"/>
      <w:outlineLvl w:val="8"/>
    </w:pPr>
    <w:rPr>
      <w:rFonts w:ascii="Cambria" w:hAnsi="Cambria"/>
      <w:szCs w:val="21"/>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widowControl w:val="0"/>
      <w:ind w:left="2520" w:leftChars="1200"/>
      <w:jc w:val="both"/>
    </w:pPr>
    <w:rPr>
      <w:rFonts w:asciiTheme="minorHAnsi" w:hAnsiTheme="minorHAnsi" w:eastAsiaTheme="minorEastAsia" w:cstheme="minorBidi"/>
      <w:szCs w:val="22"/>
    </w:rPr>
  </w:style>
  <w:style w:type="paragraph" w:styleId="12">
    <w:name w:val="Normal Indent"/>
    <w:basedOn w:val="1"/>
    <w:link w:val="56"/>
    <w:qFormat/>
    <w:uiPriority w:val="0"/>
    <w:pPr>
      <w:spacing w:beforeLines="60" w:afterLines="60"/>
      <w:ind w:firstLine="256" w:firstLineChars="256"/>
    </w:pPr>
    <w:rPr>
      <w:rFonts w:ascii="宋体"/>
      <w:snapToGrid w:val="0"/>
      <w:kern w:val="0"/>
      <w:szCs w:val="20"/>
    </w:rPr>
  </w:style>
  <w:style w:type="paragraph" w:styleId="13">
    <w:name w:val="caption"/>
    <w:basedOn w:val="1"/>
    <w:next w:val="1"/>
    <w:unhideWhenUsed/>
    <w:qFormat/>
    <w:uiPriority w:val="0"/>
    <w:rPr>
      <w:rFonts w:ascii="Cambria" w:hAnsi="Cambria" w:eastAsia="黑体"/>
      <w:sz w:val="20"/>
      <w:szCs w:val="20"/>
    </w:rPr>
  </w:style>
  <w:style w:type="paragraph" w:styleId="14">
    <w:name w:val="Document Map"/>
    <w:basedOn w:val="1"/>
    <w:link w:val="55"/>
    <w:semiHidden/>
    <w:qFormat/>
    <w:uiPriority w:val="99"/>
    <w:pPr>
      <w:shd w:val="clear" w:color="auto" w:fill="000080"/>
    </w:pPr>
  </w:style>
  <w:style w:type="paragraph" w:styleId="15">
    <w:name w:val="annotation text"/>
    <w:basedOn w:val="1"/>
    <w:link w:val="47"/>
    <w:qFormat/>
    <w:uiPriority w:val="0"/>
  </w:style>
  <w:style w:type="paragraph" w:styleId="16">
    <w:name w:val="Body Text"/>
    <w:basedOn w:val="1"/>
    <w:link w:val="65"/>
    <w:qFormat/>
    <w:uiPriority w:val="0"/>
    <w:pPr>
      <w:ind w:firstLine="420" w:firstLineChars="200"/>
    </w:pPr>
    <w:rPr>
      <w:rFonts w:eastAsia="仿宋"/>
      <w:sz w:val="28"/>
    </w:rPr>
  </w:style>
  <w:style w:type="paragraph" w:styleId="17">
    <w:name w:val="Body Text Indent"/>
    <w:basedOn w:val="1"/>
    <w:next w:val="1"/>
    <w:link w:val="58"/>
    <w:qFormat/>
    <w:uiPriority w:val="0"/>
    <w:pPr>
      <w:spacing w:before="200" w:after="120" w:line="0" w:lineRule="atLeast"/>
      <w:ind w:left="420" w:leftChars="200"/>
    </w:pPr>
    <w:rPr>
      <w:b/>
      <w:spacing w:val="10"/>
      <w:sz w:val="28"/>
      <w:szCs w:val="20"/>
    </w:rPr>
  </w:style>
  <w:style w:type="paragraph" w:styleId="18">
    <w:name w:val="toc 5"/>
    <w:basedOn w:val="1"/>
    <w:next w:val="1"/>
    <w:unhideWhenUsed/>
    <w:qFormat/>
    <w:uiPriority w:val="39"/>
    <w:pPr>
      <w:widowControl w:val="0"/>
      <w:ind w:left="1680" w:leftChars="800"/>
      <w:jc w:val="both"/>
    </w:pPr>
    <w:rPr>
      <w:rFonts w:asciiTheme="minorHAnsi" w:hAnsiTheme="minorHAnsi" w:eastAsiaTheme="minorEastAsia" w:cstheme="minorBidi"/>
      <w:szCs w:val="22"/>
    </w:rPr>
  </w:style>
  <w:style w:type="paragraph" w:styleId="19">
    <w:name w:val="toc 3"/>
    <w:basedOn w:val="1"/>
    <w:next w:val="1"/>
    <w:qFormat/>
    <w:uiPriority w:val="39"/>
    <w:pPr>
      <w:spacing w:line="240" w:lineRule="atLeast"/>
      <w:ind w:left="400"/>
    </w:pPr>
    <w:rPr>
      <w:rFonts w:eastAsia="仿宋"/>
      <w:iCs/>
      <w:snapToGrid w:val="0"/>
      <w:kern w:val="0"/>
    </w:rPr>
  </w:style>
  <w:style w:type="paragraph" w:styleId="20">
    <w:name w:val="Plain Text"/>
    <w:basedOn w:val="1"/>
    <w:link w:val="75"/>
    <w:qFormat/>
    <w:uiPriority w:val="0"/>
    <w:pPr>
      <w:widowControl w:val="0"/>
      <w:jc w:val="both"/>
    </w:pPr>
    <w:rPr>
      <w:rFonts w:ascii="宋体" w:hAnsi="Courier New"/>
      <w:szCs w:val="20"/>
    </w:rPr>
  </w:style>
  <w:style w:type="paragraph" w:styleId="21">
    <w:name w:val="toc 8"/>
    <w:basedOn w:val="1"/>
    <w:next w:val="1"/>
    <w:unhideWhenUsed/>
    <w:qFormat/>
    <w:uiPriority w:val="39"/>
    <w:pPr>
      <w:widowControl w:val="0"/>
      <w:ind w:left="2940" w:leftChars="1400"/>
      <w:jc w:val="both"/>
    </w:pPr>
    <w:rPr>
      <w:rFonts w:asciiTheme="minorHAnsi" w:hAnsiTheme="minorHAnsi" w:eastAsiaTheme="minorEastAsia" w:cstheme="minorBidi"/>
      <w:szCs w:val="22"/>
    </w:rPr>
  </w:style>
  <w:style w:type="paragraph" w:styleId="22">
    <w:name w:val="Body Text Indent 2"/>
    <w:basedOn w:val="1"/>
    <w:link w:val="72"/>
    <w:qFormat/>
    <w:uiPriority w:val="0"/>
    <w:pPr>
      <w:spacing w:after="120" w:line="480" w:lineRule="auto"/>
      <w:ind w:left="420" w:leftChars="200"/>
    </w:pPr>
  </w:style>
  <w:style w:type="paragraph" w:styleId="23">
    <w:name w:val="Balloon Text"/>
    <w:basedOn w:val="1"/>
    <w:link w:val="63"/>
    <w:qFormat/>
    <w:uiPriority w:val="0"/>
    <w:rPr>
      <w:sz w:val="18"/>
      <w:szCs w:val="18"/>
    </w:rPr>
  </w:style>
  <w:style w:type="paragraph" w:styleId="24">
    <w:name w:val="footer"/>
    <w:basedOn w:val="1"/>
    <w:link w:val="54"/>
    <w:qFormat/>
    <w:uiPriority w:val="0"/>
    <w:pPr>
      <w:tabs>
        <w:tab w:val="center" w:pos="4153"/>
        <w:tab w:val="right" w:pos="8306"/>
      </w:tabs>
      <w:snapToGrid w:val="0"/>
    </w:pPr>
    <w:rPr>
      <w:sz w:val="18"/>
      <w:szCs w:val="18"/>
    </w:rPr>
  </w:style>
  <w:style w:type="paragraph" w:styleId="25">
    <w:name w:val="header"/>
    <w:basedOn w:val="1"/>
    <w:link w:val="53"/>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pPr>
      <w:spacing w:before="120" w:after="120" w:line="240" w:lineRule="atLeast"/>
    </w:pPr>
    <w:rPr>
      <w:rFonts w:eastAsia="仿宋"/>
      <w:b/>
      <w:bCs/>
      <w:caps/>
      <w:snapToGrid w:val="0"/>
      <w:kern w:val="0"/>
    </w:rPr>
  </w:style>
  <w:style w:type="paragraph" w:styleId="27">
    <w:name w:val="toc 4"/>
    <w:basedOn w:val="1"/>
    <w:next w:val="1"/>
    <w:qFormat/>
    <w:uiPriority w:val="39"/>
    <w:pPr>
      <w:ind w:left="1260" w:leftChars="600"/>
    </w:pPr>
  </w:style>
  <w:style w:type="paragraph" w:styleId="28">
    <w:name w:val="toc 6"/>
    <w:basedOn w:val="1"/>
    <w:next w:val="1"/>
    <w:unhideWhenUsed/>
    <w:qFormat/>
    <w:uiPriority w:val="39"/>
    <w:pPr>
      <w:widowControl w:val="0"/>
      <w:ind w:left="2100" w:leftChars="1000"/>
      <w:jc w:val="both"/>
    </w:pPr>
    <w:rPr>
      <w:rFonts w:asciiTheme="minorHAnsi" w:hAnsiTheme="minorHAnsi" w:eastAsiaTheme="minorEastAsia" w:cstheme="minorBidi"/>
      <w:szCs w:val="22"/>
    </w:rPr>
  </w:style>
  <w:style w:type="paragraph" w:styleId="29">
    <w:name w:val="toc 2"/>
    <w:basedOn w:val="1"/>
    <w:next w:val="1"/>
    <w:qFormat/>
    <w:uiPriority w:val="39"/>
    <w:pPr>
      <w:spacing w:line="240" w:lineRule="atLeast"/>
      <w:ind w:left="200"/>
    </w:pPr>
    <w:rPr>
      <w:smallCaps/>
      <w:snapToGrid w:val="0"/>
      <w:kern w:val="0"/>
    </w:rPr>
  </w:style>
  <w:style w:type="paragraph" w:styleId="30">
    <w:name w:val="toc 9"/>
    <w:basedOn w:val="1"/>
    <w:next w:val="1"/>
    <w:unhideWhenUsed/>
    <w:qFormat/>
    <w:uiPriority w:val="39"/>
    <w:pPr>
      <w:widowControl w:val="0"/>
      <w:ind w:left="3360" w:leftChars="1600"/>
      <w:jc w:val="both"/>
    </w:pPr>
    <w:rPr>
      <w:rFonts w:asciiTheme="minorHAnsi" w:hAnsiTheme="minorHAnsi" w:eastAsiaTheme="minorEastAsia" w:cstheme="minorBidi"/>
      <w:szCs w:val="22"/>
    </w:rPr>
  </w:style>
  <w:style w:type="paragraph" w:styleId="31">
    <w:name w:val="Normal (Web)"/>
    <w:basedOn w:val="1"/>
    <w:unhideWhenUsed/>
    <w:qFormat/>
    <w:uiPriority w:val="99"/>
    <w:pPr>
      <w:spacing w:before="100" w:beforeAutospacing="1" w:after="100" w:afterAutospacing="1"/>
    </w:pPr>
    <w:rPr>
      <w:rFonts w:ascii="宋体" w:hAnsi="宋体" w:cs="宋体"/>
      <w:kern w:val="0"/>
      <w:sz w:val="24"/>
    </w:rPr>
  </w:style>
  <w:style w:type="paragraph" w:styleId="32">
    <w:name w:val="index 1"/>
    <w:basedOn w:val="33"/>
    <w:next w:val="14"/>
    <w:semiHidden/>
    <w:qFormat/>
    <w:uiPriority w:val="0"/>
  </w:style>
  <w:style w:type="paragraph" w:styleId="33">
    <w:name w:val="Title"/>
    <w:basedOn w:val="1"/>
    <w:qFormat/>
    <w:uiPriority w:val="0"/>
    <w:pPr>
      <w:spacing w:before="240" w:after="60"/>
      <w:jc w:val="center"/>
      <w:outlineLvl w:val="0"/>
    </w:pPr>
    <w:rPr>
      <w:rFonts w:ascii="Arial" w:hAnsi="Arial" w:cs="Arial"/>
      <w:b/>
      <w:bCs/>
      <w:sz w:val="32"/>
      <w:szCs w:val="32"/>
    </w:rPr>
  </w:style>
  <w:style w:type="paragraph" w:styleId="34">
    <w:name w:val="annotation subject"/>
    <w:basedOn w:val="15"/>
    <w:next w:val="15"/>
    <w:link w:val="62"/>
    <w:qFormat/>
    <w:uiPriority w:val="0"/>
    <w:rPr>
      <w:b/>
      <w:bCs/>
    </w:rPr>
  </w:style>
  <w:style w:type="paragraph" w:styleId="35">
    <w:name w:val="Body Text First Indent"/>
    <w:basedOn w:val="16"/>
    <w:link w:val="66"/>
    <w:qFormat/>
    <w:uiPriority w:val="0"/>
    <w:pPr>
      <w:ind w:firstLineChars="100"/>
    </w:pPr>
  </w:style>
  <w:style w:type="paragraph" w:styleId="36">
    <w:name w:val="Body Text First Indent 2"/>
    <w:basedOn w:val="17"/>
    <w:link w:val="69"/>
    <w:qFormat/>
    <w:uiPriority w:val="0"/>
    <w:pPr>
      <w:spacing w:before="0" w:line="240" w:lineRule="auto"/>
      <w:ind w:firstLine="420" w:firstLineChars="200"/>
      <w:jc w:val="both"/>
    </w:pPr>
    <w:rPr>
      <w:b w:val="0"/>
      <w:sz w:val="21"/>
      <w:szCs w:val="24"/>
    </w:rPr>
  </w:style>
  <w:style w:type="table" w:styleId="38">
    <w:name w:val="Table Grid"/>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page number"/>
    <w:basedOn w:val="39"/>
    <w:qFormat/>
    <w:uiPriority w:val="0"/>
  </w:style>
  <w:style w:type="character" w:styleId="41">
    <w:name w:val="Hyperlink"/>
    <w:qFormat/>
    <w:uiPriority w:val="99"/>
    <w:rPr>
      <w:color w:val="0000FF"/>
      <w:u w:val="single"/>
    </w:rPr>
  </w:style>
  <w:style w:type="character" w:styleId="42">
    <w:name w:val="annotation reference"/>
    <w:qFormat/>
    <w:uiPriority w:val="0"/>
    <w:rPr>
      <w:sz w:val="21"/>
      <w:szCs w:val="21"/>
    </w:rPr>
  </w:style>
  <w:style w:type="character" w:customStyle="1" w:styleId="43">
    <w:name w:val="标题 5 字符"/>
    <w:link w:val="6"/>
    <w:qFormat/>
    <w:uiPriority w:val="0"/>
    <w:rPr>
      <w:b/>
      <w:bCs/>
      <w:kern w:val="2"/>
      <w:sz w:val="28"/>
      <w:szCs w:val="28"/>
    </w:rPr>
  </w:style>
  <w:style w:type="character" w:customStyle="1" w:styleId="44">
    <w:name w:val="标题 2 字符"/>
    <w:link w:val="3"/>
    <w:qFormat/>
    <w:uiPriority w:val="0"/>
    <w:rPr>
      <w:rFonts w:ascii="宋体" w:hAnsi="宋体" w:eastAsia="宋体"/>
      <w:b/>
      <w:bCs/>
      <w:kern w:val="2"/>
      <w:sz w:val="28"/>
      <w:szCs w:val="28"/>
    </w:rPr>
  </w:style>
  <w:style w:type="character" w:customStyle="1" w:styleId="45">
    <w:name w:val="标题 3 字符"/>
    <w:link w:val="4"/>
    <w:qFormat/>
    <w:uiPriority w:val="0"/>
    <w:rPr>
      <w:rFonts w:ascii="宋体" w:hAnsi="宋体" w:eastAsia="仿宋"/>
      <w:bCs/>
      <w:kern w:val="2"/>
      <w:sz w:val="28"/>
      <w:szCs w:val="28"/>
    </w:rPr>
  </w:style>
  <w:style w:type="character" w:customStyle="1" w:styleId="46">
    <w:name w:val="标题 4 字符"/>
    <w:link w:val="5"/>
    <w:qFormat/>
    <w:uiPriority w:val="0"/>
    <w:rPr>
      <w:rFonts w:ascii="宋体" w:hAnsi="宋体"/>
      <w:b/>
      <w:bCs/>
      <w:kern w:val="2"/>
      <w:sz w:val="32"/>
      <w:szCs w:val="32"/>
    </w:rPr>
  </w:style>
  <w:style w:type="character" w:customStyle="1" w:styleId="47">
    <w:name w:val="批注文字 字符"/>
    <w:link w:val="15"/>
    <w:qFormat/>
    <w:uiPriority w:val="0"/>
    <w:rPr>
      <w:kern w:val="2"/>
      <w:sz w:val="21"/>
      <w:szCs w:val="24"/>
    </w:rPr>
  </w:style>
  <w:style w:type="paragraph" w:customStyle="1" w:styleId="48">
    <w:name w:val="正文首行缩进 21"/>
    <w:basedOn w:val="17"/>
    <w:next w:val="1"/>
    <w:qFormat/>
    <w:uiPriority w:val="99"/>
    <w:pPr>
      <w:spacing w:line="240" w:lineRule="auto"/>
      <w:ind w:firstLine="420" w:firstLineChars="200"/>
    </w:pPr>
  </w:style>
  <w:style w:type="character" w:customStyle="1" w:styleId="49">
    <w:name w:val="标题 6 字符"/>
    <w:link w:val="7"/>
    <w:qFormat/>
    <w:uiPriority w:val="0"/>
    <w:rPr>
      <w:rFonts w:ascii="Cambria" w:hAnsi="Cambria"/>
      <w:b/>
      <w:bCs/>
      <w:kern w:val="2"/>
      <w:sz w:val="24"/>
      <w:szCs w:val="24"/>
    </w:rPr>
  </w:style>
  <w:style w:type="character" w:customStyle="1" w:styleId="50">
    <w:name w:val="标题 7 字符"/>
    <w:link w:val="8"/>
    <w:qFormat/>
    <w:uiPriority w:val="0"/>
    <w:rPr>
      <w:b/>
      <w:bCs/>
      <w:kern w:val="2"/>
      <w:sz w:val="24"/>
      <w:szCs w:val="24"/>
    </w:rPr>
  </w:style>
  <w:style w:type="character" w:customStyle="1" w:styleId="51">
    <w:name w:val="标题 8 字符"/>
    <w:link w:val="9"/>
    <w:qFormat/>
    <w:uiPriority w:val="0"/>
    <w:rPr>
      <w:rFonts w:ascii="Cambria" w:hAnsi="Cambria"/>
      <w:kern w:val="2"/>
      <w:sz w:val="24"/>
      <w:szCs w:val="24"/>
    </w:rPr>
  </w:style>
  <w:style w:type="character" w:customStyle="1" w:styleId="52">
    <w:name w:val="标题 9 字符"/>
    <w:link w:val="10"/>
    <w:qFormat/>
    <w:uiPriority w:val="0"/>
    <w:rPr>
      <w:rFonts w:ascii="Cambria" w:hAnsi="Cambria"/>
      <w:kern w:val="2"/>
      <w:sz w:val="21"/>
      <w:szCs w:val="21"/>
    </w:rPr>
  </w:style>
  <w:style w:type="character" w:customStyle="1" w:styleId="53">
    <w:name w:val="页眉 字符"/>
    <w:link w:val="25"/>
    <w:qFormat/>
    <w:uiPriority w:val="0"/>
    <w:rPr>
      <w:kern w:val="2"/>
      <w:sz w:val="18"/>
      <w:szCs w:val="18"/>
    </w:rPr>
  </w:style>
  <w:style w:type="character" w:customStyle="1" w:styleId="54">
    <w:name w:val="页脚 字符"/>
    <w:link w:val="24"/>
    <w:qFormat/>
    <w:uiPriority w:val="0"/>
    <w:rPr>
      <w:kern w:val="2"/>
      <w:sz w:val="18"/>
      <w:szCs w:val="18"/>
    </w:rPr>
  </w:style>
  <w:style w:type="character" w:customStyle="1" w:styleId="55">
    <w:name w:val="文档结构图 字符"/>
    <w:link w:val="14"/>
    <w:semiHidden/>
    <w:qFormat/>
    <w:uiPriority w:val="99"/>
    <w:rPr>
      <w:kern w:val="2"/>
      <w:sz w:val="21"/>
      <w:szCs w:val="24"/>
      <w:shd w:val="clear" w:color="auto" w:fill="000080"/>
    </w:rPr>
  </w:style>
  <w:style w:type="character" w:customStyle="1" w:styleId="56">
    <w:name w:val="正文缩进 字符"/>
    <w:link w:val="12"/>
    <w:qFormat/>
    <w:uiPriority w:val="0"/>
    <w:rPr>
      <w:rFonts w:ascii="宋体"/>
      <w:snapToGrid/>
      <w:sz w:val="21"/>
    </w:rPr>
  </w:style>
  <w:style w:type="paragraph" w:customStyle="1" w:styleId="57">
    <w:name w:val="默认段落字体 Para Char Char Char Char Char Char Char"/>
    <w:basedOn w:val="1"/>
    <w:qFormat/>
    <w:uiPriority w:val="0"/>
  </w:style>
  <w:style w:type="character" w:customStyle="1" w:styleId="58">
    <w:name w:val="正文文本缩进 字符"/>
    <w:link w:val="17"/>
    <w:qFormat/>
    <w:uiPriority w:val="0"/>
    <w:rPr>
      <w:b/>
      <w:spacing w:val="10"/>
      <w:kern w:val="2"/>
      <w:sz w:val="28"/>
    </w:rPr>
  </w:style>
  <w:style w:type="paragraph" w:styleId="59">
    <w:name w:val="List Paragraph"/>
    <w:basedOn w:val="1"/>
    <w:link w:val="60"/>
    <w:qFormat/>
    <w:uiPriority w:val="34"/>
    <w:pPr>
      <w:ind w:firstLine="420" w:firstLineChars="200"/>
    </w:pPr>
    <w:rPr>
      <w:rFonts w:ascii="Calibri" w:hAnsi="Calibri"/>
      <w:szCs w:val="22"/>
    </w:rPr>
  </w:style>
  <w:style w:type="character" w:customStyle="1" w:styleId="60">
    <w:name w:val="列表段落 字符1"/>
    <w:basedOn w:val="39"/>
    <w:link w:val="59"/>
    <w:qFormat/>
    <w:uiPriority w:val="34"/>
    <w:rPr>
      <w:rFonts w:ascii="Calibri" w:hAnsi="Calibri"/>
      <w:kern w:val="2"/>
      <w:sz w:val="21"/>
      <w:szCs w:val="22"/>
    </w:rPr>
  </w:style>
  <w:style w:type="paragraph" w:customStyle="1" w:styleId="61">
    <w:name w:val="Char"/>
    <w:basedOn w:val="1"/>
    <w:qFormat/>
    <w:uiPriority w:val="0"/>
    <w:pPr>
      <w:adjustRightInd w:val="0"/>
      <w:spacing w:line="360" w:lineRule="auto"/>
    </w:pPr>
    <w:rPr>
      <w:kern w:val="0"/>
      <w:sz w:val="24"/>
      <w:szCs w:val="20"/>
    </w:rPr>
  </w:style>
  <w:style w:type="character" w:customStyle="1" w:styleId="62">
    <w:name w:val="批注主题 字符"/>
    <w:link w:val="34"/>
    <w:qFormat/>
    <w:uiPriority w:val="0"/>
    <w:rPr>
      <w:b/>
      <w:bCs/>
      <w:kern w:val="2"/>
      <w:sz w:val="21"/>
      <w:szCs w:val="24"/>
    </w:rPr>
  </w:style>
  <w:style w:type="character" w:customStyle="1" w:styleId="63">
    <w:name w:val="批注框文本 字符"/>
    <w:link w:val="23"/>
    <w:qFormat/>
    <w:uiPriority w:val="0"/>
    <w:rPr>
      <w:kern w:val="2"/>
      <w:sz w:val="18"/>
      <w:szCs w:val="18"/>
    </w:rPr>
  </w:style>
  <w:style w:type="paragraph" w:customStyle="1" w:styleId="64">
    <w:name w:val="_Style 14"/>
    <w:basedOn w:val="1"/>
    <w:qFormat/>
    <w:uiPriority w:val="0"/>
  </w:style>
  <w:style w:type="character" w:customStyle="1" w:styleId="65">
    <w:name w:val="正文文本 字符"/>
    <w:link w:val="16"/>
    <w:qFormat/>
    <w:uiPriority w:val="0"/>
    <w:rPr>
      <w:rFonts w:ascii="Times New Roman" w:hAnsi="Times New Roman" w:eastAsia="仿宋"/>
      <w:kern w:val="2"/>
      <w:sz w:val="28"/>
      <w:szCs w:val="24"/>
    </w:rPr>
  </w:style>
  <w:style w:type="character" w:customStyle="1" w:styleId="66">
    <w:name w:val="正文文本首行缩进 字符"/>
    <w:basedOn w:val="65"/>
    <w:link w:val="35"/>
    <w:qFormat/>
    <w:uiPriority w:val="0"/>
    <w:rPr>
      <w:rFonts w:ascii="Times New Roman" w:hAnsi="Times New Roman" w:eastAsia="仿宋"/>
      <w:kern w:val="2"/>
      <w:sz w:val="21"/>
      <w:szCs w:val="24"/>
    </w:rPr>
  </w:style>
  <w:style w:type="paragraph" w:customStyle="1" w:styleId="67">
    <w:name w:val="表内容"/>
    <w:qFormat/>
    <w:uiPriority w:val="0"/>
    <w:rPr>
      <w:rFonts w:ascii="宋体" w:hAnsi="Times New Roman" w:eastAsia="宋体" w:cs="Times New Roman"/>
      <w:kern w:val="21"/>
      <w:sz w:val="24"/>
      <w:szCs w:val="24"/>
      <w:lang w:val="en-US" w:eastAsia="zh-CN" w:bidi="ar-SA"/>
    </w:rPr>
  </w:style>
  <w:style w:type="paragraph" w:customStyle="1" w:styleId="68">
    <w:name w:val="列表数字1）"/>
    <w:next w:val="35"/>
    <w:qFormat/>
    <w:uiPriority w:val="0"/>
    <w:pPr>
      <w:numPr>
        <w:ilvl w:val="0"/>
        <w:numId w:val="3"/>
      </w:numPr>
      <w:tabs>
        <w:tab w:val="left" w:pos="814"/>
        <w:tab w:val="left" w:pos="900"/>
      </w:tabs>
      <w:spacing w:line="360" w:lineRule="auto"/>
    </w:pPr>
    <w:rPr>
      <w:rFonts w:ascii="Times New Roman" w:hAnsi="Times New Roman" w:eastAsia="宋体" w:cs="Times New Roman"/>
      <w:sz w:val="24"/>
      <w:lang w:val="en-US" w:eastAsia="zh-CN" w:bidi="ar-SA"/>
    </w:rPr>
  </w:style>
  <w:style w:type="character" w:customStyle="1" w:styleId="69">
    <w:name w:val="正文文本首行缩进 2 字符"/>
    <w:link w:val="36"/>
    <w:qFormat/>
    <w:uiPriority w:val="0"/>
    <w:rPr>
      <w:spacing w:val="10"/>
      <w:kern w:val="2"/>
      <w:sz w:val="21"/>
      <w:szCs w:val="24"/>
    </w:rPr>
  </w:style>
  <w:style w:type="paragraph" w:customStyle="1" w:styleId="70">
    <w:name w:val="列表数字1"/>
    <w:next w:val="35"/>
    <w:qFormat/>
    <w:uiPriority w:val="0"/>
    <w:pPr>
      <w:numPr>
        <w:ilvl w:val="0"/>
        <w:numId w:val="4"/>
      </w:numPr>
      <w:tabs>
        <w:tab w:val="left" w:pos="900"/>
        <w:tab w:val="left" w:pos="1145"/>
      </w:tabs>
      <w:spacing w:before="120" w:line="360" w:lineRule="auto"/>
    </w:pPr>
    <w:rPr>
      <w:rFonts w:ascii="Times New Roman" w:hAnsi="Times New Roman" w:eastAsia="宋体" w:cs="Times New Roman"/>
      <w:sz w:val="24"/>
      <w:lang w:val="en-US" w:eastAsia="zh-CN" w:bidi="ar-SA"/>
    </w:rPr>
  </w:style>
  <w:style w:type="paragraph" w:customStyle="1" w:styleId="71">
    <w:name w:val="Out Box 1"/>
    <w:basedOn w:val="1"/>
    <w:qFormat/>
    <w:uiPriority w:val="0"/>
    <w:pPr>
      <w:overflowPunct w:val="0"/>
      <w:autoSpaceDE w:val="0"/>
      <w:autoSpaceDN w:val="0"/>
      <w:adjustRightInd w:val="0"/>
      <w:spacing w:before="120"/>
      <w:ind w:left="1170" w:right="86" w:hanging="450"/>
      <w:textAlignment w:val="baseline"/>
    </w:pPr>
    <w:rPr>
      <w:rFonts w:ascii="Times" w:hAnsi="Times"/>
      <w:color w:val="000000"/>
      <w:kern w:val="0"/>
      <w:sz w:val="20"/>
      <w:szCs w:val="20"/>
    </w:rPr>
  </w:style>
  <w:style w:type="character" w:customStyle="1" w:styleId="72">
    <w:name w:val="正文文本缩进 2 字符"/>
    <w:link w:val="22"/>
    <w:qFormat/>
    <w:uiPriority w:val="0"/>
    <w:rPr>
      <w:kern w:val="2"/>
      <w:sz w:val="21"/>
      <w:szCs w:val="24"/>
    </w:rPr>
  </w:style>
  <w:style w:type="paragraph" w:customStyle="1" w:styleId="73">
    <w:name w:val="HP_Table_Title"/>
    <w:basedOn w:val="1"/>
    <w:next w:val="1"/>
    <w:qFormat/>
    <w:uiPriority w:val="0"/>
    <w:pPr>
      <w:keepNext/>
      <w:keepLines/>
      <w:spacing w:before="240" w:after="60"/>
    </w:pPr>
    <w:rPr>
      <w:rFonts w:ascii="Futura Bk" w:hAnsi="Futura Bk"/>
      <w:b/>
      <w:bCs/>
      <w:kern w:val="0"/>
      <w:sz w:val="18"/>
      <w:szCs w:val="18"/>
      <w:lang w:val="en-GB" w:eastAsia="en-US"/>
    </w:rPr>
  </w:style>
  <w:style w:type="paragraph" w:customStyle="1" w:styleId="74">
    <w:name w:val="Table_Sm_Heading"/>
    <w:basedOn w:val="1"/>
    <w:qFormat/>
    <w:uiPriority w:val="0"/>
    <w:pPr>
      <w:keepNext/>
      <w:keepLines/>
      <w:spacing w:before="60" w:after="40"/>
    </w:pPr>
    <w:rPr>
      <w:rFonts w:ascii="Futura Bk" w:hAnsi="Futura Bk"/>
      <w:b/>
      <w:bCs/>
      <w:kern w:val="0"/>
      <w:sz w:val="16"/>
      <w:szCs w:val="16"/>
      <w:lang w:val="en-GB" w:eastAsia="en-US"/>
    </w:rPr>
  </w:style>
  <w:style w:type="character" w:customStyle="1" w:styleId="75">
    <w:name w:val="纯文本 字符"/>
    <w:link w:val="20"/>
    <w:qFormat/>
    <w:uiPriority w:val="0"/>
    <w:rPr>
      <w:rFonts w:ascii="宋体" w:hAnsi="Courier New"/>
      <w:kern w:val="2"/>
      <w:sz w:val="21"/>
    </w:rPr>
  </w:style>
  <w:style w:type="paragraph" w:customStyle="1" w:styleId="76">
    <w:name w:val="样式3"/>
    <w:basedOn w:val="12"/>
    <w:link w:val="77"/>
    <w:qFormat/>
    <w:uiPriority w:val="0"/>
    <w:pPr>
      <w:widowControl w:val="0"/>
      <w:spacing w:beforeLines="0" w:afterLines="0" w:line="360" w:lineRule="auto"/>
      <w:ind w:firstLine="480" w:firstLineChars="200"/>
    </w:pPr>
    <w:rPr>
      <w:rFonts w:ascii="楷体_GB2312" w:eastAsia="楷体_GB2312"/>
      <w:i/>
      <w:snapToGrid/>
      <w:color w:val="3366FF"/>
      <w:kern w:val="2"/>
      <w:sz w:val="24"/>
      <w:szCs w:val="24"/>
    </w:rPr>
  </w:style>
  <w:style w:type="character" w:customStyle="1" w:styleId="77">
    <w:name w:val="样式3 Char"/>
    <w:link w:val="76"/>
    <w:qFormat/>
    <w:uiPriority w:val="0"/>
    <w:rPr>
      <w:rFonts w:ascii="楷体_GB2312" w:eastAsia="楷体_GB2312"/>
      <w:i/>
      <w:snapToGrid w:val="0"/>
      <w:color w:val="3366FF"/>
      <w:kern w:val="2"/>
      <w:sz w:val="24"/>
      <w:szCs w:val="24"/>
    </w:rPr>
  </w:style>
  <w:style w:type="character" w:customStyle="1" w:styleId="78">
    <w:name w:val="未处理的提及1"/>
    <w:basedOn w:val="39"/>
    <w:semiHidden/>
    <w:unhideWhenUsed/>
    <w:qFormat/>
    <w:uiPriority w:val="99"/>
    <w:rPr>
      <w:color w:val="605E5C"/>
      <w:shd w:val="clear" w:color="auto" w:fill="E1DFDD"/>
    </w:rPr>
  </w:style>
  <w:style w:type="paragraph" w:customStyle="1" w:styleId="79">
    <w:name w:val="Sub Bullet 2"/>
    <w:basedOn w:val="1"/>
    <w:qFormat/>
    <w:uiPriority w:val="0"/>
    <w:pPr>
      <w:numPr>
        <w:ilvl w:val="0"/>
        <w:numId w:val="5"/>
      </w:numPr>
      <w:tabs>
        <w:tab w:val="clear" w:pos="480"/>
      </w:tabs>
      <w:spacing w:line="300" w:lineRule="exact"/>
      <w:ind w:left="993" w:hanging="302"/>
    </w:pPr>
    <w:rPr>
      <w:rFonts w:ascii="Arial" w:hAnsi="Arial" w:eastAsia="Arial" w:cs="Arial"/>
      <w:b/>
      <w:i/>
      <w:snapToGrid w:val="0"/>
      <w:kern w:val="0"/>
      <w:szCs w:val="21"/>
      <w:lang w:eastAsia="en-US"/>
    </w:rPr>
  </w:style>
  <w:style w:type="character" w:customStyle="1" w:styleId="80">
    <w:name w:val="未处理的提及11"/>
    <w:basedOn w:val="39"/>
    <w:semiHidden/>
    <w:unhideWhenUsed/>
    <w:qFormat/>
    <w:uiPriority w:val="99"/>
    <w:rPr>
      <w:color w:val="605E5C"/>
      <w:shd w:val="clear" w:color="auto" w:fill="E1DFDD"/>
    </w:rPr>
  </w:style>
  <w:style w:type="paragraph" w:customStyle="1" w:styleId="81">
    <w:name w:val="列表段落1"/>
    <w:basedOn w:val="1"/>
    <w:qFormat/>
    <w:uiPriority w:val="34"/>
    <w:pPr>
      <w:widowControl w:val="0"/>
      <w:spacing w:after="160" w:line="360" w:lineRule="auto"/>
      <w:ind w:firstLine="420" w:firstLineChars="200"/>
      <w:jc w:val="both"/>
    </w:pPr>
    <w:rPr>
      <w:rFonts w:ascii="Calibri" w:hAnsi="Calibri"/>
      <w:szCs w:val="22"/>
    </w:rPr>
  </w:style>
  <w:style w:type="paragraph" w:customStyle="1" w:styleId="82">
    <w:name w:val="Table Text"/>
    <w:basedOn w:val="1"/>
    <w:qFormat/>
    <w:uiPriority w:val="0"/>
    <w:pPr>
      <w:widowControl w:val="0"/>
      <w:topLinePunct/>
      <w:adjustRightInd w:val="0"/>
      <w:snapToGrid w:val="0"/>
      <w:spacing w:before="80" w:after="80" w:line="240" w:lineRule="atLeast"/>
      <w:jc w:val="both"/>
    </w:pPr>
    <w:rPr>
      <w:rFonts w:cs="Arial"/>
      <w:snapToGrid w:val="0"/>
      <w:szCs w:val="21"/>
    </w:rPr>
  </w:style>
  <w:style w:type="paragraph" w:customStyle="1" w:styleId="83">
    <w:name w:val="规范正文"/>
    <w:basedOn w:val="1"/>
    <w:qFormat/>
    <w:uiPriority w:val="0"/>
    <w:pPr>
      <w:widowControl w:val="0"/>
      <w:spacing w:after="160" w:line="360" w:lineRule="auto"/>
      <w:ind w:firstLine="200" w:firstLineChars="200"/>
      <w:jc w:val="both"/>
    </w:pPr>
    <w:rPr>
      <w:rFonts w:ascii="宋体" w:hAnsi="宋体" w:cs="宋体"/>
      <w:szCs w:val="20"/>
    </w:rPr>
  </w:style>
  <w:style w:type="paragraph" w:customStyle="1" w:styleId="84">
    <w:name w:val="标题3"/>
    <w:basedOn w:val="4"/>
    <w:link w:val="85"/>
    <w:qFormat/>
    <w:uiPriority w:val="0"/>
    <w:pPr>
      <w:numPr>
        <w:ilvl w:val="0"/>
        <w:numId w:val="6"/>
      </w:numPr>
    </w:pPr>
    <w:rPr>
      <w:rFonts w:ascii="Calibri" w:hAnsi="Calibri"/>
      <w:b/>
      <w:szCs w:val="24"/>
    </w:rPr>
  </w:style>
  <w:style w:type="character" w:customStyle="1" w:styleId="85">
    <w:name w:val="标题3 字符"/>
    <w:link w:val="84"/>
    <w:qFormat/>
    <w:uiPriority w:val="0"/>
    <w:rPr>
      <w:rFonts w:ascii="Calibri" w:hAnsi="Calibri" w:eastAsia="仿宋"/>
      <w:b/>
      <w:bCs/>
      <w:kern w:val="2"/>
      <w:sz w:val="28"/>
      <w:szCs w:val="24"/>
    </w:rPr>
  </w:style>
  <w:style w:type="paragraph" w:customStyle="1" w:styleId="86">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87">
    <w:name w:val="Char Char Char Char1 Char Char Char Char Char Char"/>
    <w:basedOn w:val="1"/>
    <w:qFormat/>
    <w:uiPriority w:val="99"/>
    <w:pPr>
      <w:widowControl w:val="0"/>
      <w:jc w:val="both"/>
    </w:pPr>
    <w:rPr>
      <w:rFonts w:ascii="Tahoma" w:hAnsi="Tahoma"/>
      <w:sz w:val="24"/>
      <w:szCs w:val="20"/>
    </w:rPr>
  </w:style>
  <w:style w:type="paragraph" w:customStyle="1" w:styleId="88">
    <w:name w:val="QB表内文字"/>
    <w:basedOn w:val="1"/>
    <w:qFormat/>
    <w:uiPriority w:val="99"/>
    <w:pPr>
      <w:widowControl w:val="0"/>
      <w:autoSpaceDE w:val="0"/>
      <w:autoSpaceDN w:val="0"/>
      <w:jc w:val="both"/>
    </w:pPr>
    <w:rPr>
      <w:rFonts w:ascii="宋体"/>
      <w:kern w:val="0"/>
      <w:szCs w:val="20"/>
    </w:rPr>
  </w:style>
  <w:style w:type="paragraph" w:customStyle="1" w:styleId="89">
    <w:name w:val="列出段落2"/>
    <w:basedOn w:val="1"/>
    <w:link w:val="90"/>
    <w:qFormat/>
    <w:uiPriority w:val="34"/>
    <w:pPr>
      <w:widowControl w:val="0"/>
      <w:ind w:firstLine="420" w:firstLineChars="200"/>
      <w:jc w:val="both"/>
    </w:pPr>
  </w:style>
  <w:style w:type="character" w:customStyle="1" w:styleId="90">
    <w:name w:val="列表段落 字符"/>
    <w:link w:val="89"/>
    <w:qFormat/>
    <w:uiPriority w:val="34"/>
    <w:rPr>
      <w:kern w:val="2"/>
      <w:sz w:val="21"/>
      <w:szCs w:val="24"/>
    </w:rPr>
  </w:style>
  <w:style w:type="paragraph" w:customStyle="1" w:styleId="91">
    <w:name w:val="标题 3（绿盟科技）"/>
    <w:basedOn w:val="4"/>
    <w:next w:val="1"/>
    <w:qFormat/>
    <w:uiPriority w:val="0"/>
    <w:pPr>
      <w:numPr>
        <w:numId w:val="7"/>
      </w:numPr>
      <w:tabs>
        <w:tab w:val="left" w:pos="960"/>
      </w:tabs>
    </w:pPr>
    <w:rPr>
      <w:rFonts w:ascii="Arial" w:hAnsi="Arial"/>
      <w:bCs w:val="0"/>
      <w:kern w:val="0"/>
      <w:sz w:val="30"/>
      <w:szCs w:val="30"/>
    </w:rPr>
  </w:style>
  <w:style w:type="paragraph" w:customStyle="1" w:styleId="92">
    <w:name w:val="标题 1（绿盟科技）"/>
    <w:basedOn w:val="2"/>
    <w:next w:val="1"/>
    <w:qFormat/>
    <w:uiPriority w:val="0"/>
    <w:pPr>
      <w:numPr>
        <w:ilvl w:val="0"/>
        <w:numId w:val="7"/>
      </w:numPr>
      <w:pBdr>
        <w:top w:val="none" w:color="auto" w:sz="0" w:space="1"/>
        <w:left w:val="none" w:color="auto" w:sz="0" w:space="4"/>
        <w:bottom w:val="single" w:color="auto" w:sz="48" w:space="1"/>
        <w:right w:val="none" w:color="auto" w:sz="0" w:space="4"/>
      </w:pBdr>
      <w:spacing w:before="200" w:after="330" w:line="576" w:lineRule="auto"/>
    </w:pPr>
    <w:rPr>
      <w:rFonts w:ascii="Arial" w:hAnsi="Arial"/>
      <w:sz w:val="44"/>
      <w:szCs w:val="44"/>
    </w:rPr>
  </w:style>
  <w:style w:type="character" w:customStyle="1" w:styleId="93">
    <w:name w:val="正文（首行缩进两字） Char1"/>
    <w:qFormat/>
    <w:uiPriority w:val="0"/>
    <w:rPr>
      <w:kern w:val="2"/>
      <w:sz w:val="24"/>
      <w:szCs w:val="24"/>
    </w:rPr>
  </w:style>
  <w:style w:type="paragraph" w:customStyle="1" w:styleId="94">
    <w:name w:val="Normal_6"/>
    <w:qFormat/>
    <w:uiPriority w:val="0"/>
    <w:pPr>
      <w:widowControl w:val="0"/>
      <w:jc w:val="both"/>
    </w:pPr>
    <w:rPr>
      <w:rFonts w:ascii="宋体" w:hAnsi="宋体" w:eastAsia="宋体" w:cs="宋体"/>
      <w:lang w:val="en-US" w:eastAsia="zh-CN" w:bidi="ar-SA"/>
    </w:rPr>
  </w:style>
  <w:style w:type="paragraph" w:customStyle="1" w:styleId="95">
    <w:name w:val="AX-正文"/>
    <w:basedOn w:val="94"/>
    <w:qFormat/>
    <w:uiPriority w:val="0"/>
    <w:pPr>
      <w:spacing w:line="480" w:lineRule="exact"/>
      <w:ind w:firstLine="200" w:firstLineChars="200"/>
    </w:pPr>
    <w:rPr>
      <w:rFonts w:ascii="Times New Roman" w:hAnsi="Times New Roman" w:eastAsia="仿宋_GB2312" w:cs="Times New Roman"/>
      <w:sz w:val="24"/>
      <w:szCs w:val="24"/>
    </w:rPr>
  </w:style>
  <w:style w:type="paragraph" w:customStyle="1" w:styleId="96">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97">
    <w:name w:val="正文样式"/>
    <w:basedOn w:val="1"/>
    <w:qFormat/>
    <w:uiPriority w:val="7"/>
    <w:pPr>
      <w:spacing w:line="360" w:lineRule="auto"/>
      <w:ind w:firstLine="420" w:firstLineChars="200"/>
    </w:pPr>
    <w:rPr>
      <w:rFonts w:ascii="华文楷体" w:hAnsi="华文楷体" w:eastAsia="Songti SC"/>
    </w:rPr>
  </w:style>
  <w:style w:type="paragraph" w:customStyle="1" w:styleId="98">
    <w:name w:val="正文内容"/>
    <w:basedOn w:val="1"/>
    <w:qFormat/>
    <w:uiPriority w:val="0"/>
    <w:pPr>
      <w:ind w:firstLine="560" w:firstLineChars="200"/>
    </w:pPr>
    <w:rPr>
      <w:rFonts w:hint="eastAsia" w:ascii="仿宋" w:hAnsi="仿宋" w:eastAsia="仿宋" w:cs="仿宋"/>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MC SYSTEM</Company>
  <Pages>15</Pages>
  <Words>238</Words>
  <Characters>347</Characters>
  <Lines>61</Lines>
  <Paragraphs>17</Paragraphs>
  <TotalTime>10</TotalTime>
  <ScaleCrop>false</ScaleCrop>
  <LinksUpToDate>false</LinksUpToDate>
  <CharactersWithSpaces>401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2025-03-20T08:56:00Z</dcterms:created>
  <dc:creator>meimei</dc:creator>
  <cp:lastModifiedBy>cmq</cp:lastModifiedBy>
  <cp:lastPrinted>2013-08-28T06:41:00Z</cp:lastPrinted>
  <dcterms:modified xsi:type="dcterms:W3CDTF">2025-05-28T01:53:58Z</dcterms:modified>
  <dc:title>文档基本信息</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7B76B35B38B349228BDE0CC7FD0B6EB3_13</vt:lpwstr>
  </property>
  <property fmtid="{D5CDD505-2E9C-101B-9397-08002B2CF9AE}" pid="4" name="KSOTemplateDocerSaveRecord">
    <vt:lpwstr>eyJoZGlkIjoiNjg3NTRkODE4OWI5MzNmZjI4ZTA1NGIyN2QzNjI2NWMiLCJ1c2VySWQiOiIxMTM1NDA4OTI5In0=</vt:lpwstr>
  </property>
</Properties>
</file>