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bookmarkStart w:id="0" w:name="_GoBack"/>
      <w:bookmarkEnd w:id="0"/>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b/>
          <w:bCs/>
          <w:highlight w:val="none"/>
        </w:rPr>
      </w:pPr>
    </w:p>
    <w:p>
      <w:pPr>
        <w:bidi w:val="0"/>
        <w:jc w:val="center"/>
        <w:rPr>
          <w:rFonts w:hint="eastAsia" w:ascii="宋体" w:hAnsi="宋体" w:eastAsia="宋体" w:cs="宋体"/>
          <w:b/>
          <w:bCs/>
          <w:sz w:val="44"/>
          <w:szCs w:val="44"/>
          <w:highlight w:val="none"/>
        </w:rPr>
      </w:pPr>
      <w:r>
        <w:rPr>
          <w:rFonts w:hint="eastAsia" w:ascii="宋体" w:hAnsi="宋体" w:cs="宋体"/>
          <w:b/>
          <w:bCs/>
          <w:sz w:val="44"/>
          <w:szCs w:val="44"/>
          <w:highlight w:val="none"/>
          <w:lang w:eastAsia="zh-CN"/>
        </w:rPr>
        <w:t>幸福99添益(安享优选)90天持有期2期理财</w:t>
      </w:r>
      <w:r>
        <w:rPr>
          <w:rFonts w:hint="eastAsia" w:ascii="宋体" w:hAnsi="宋体" w:eastAsia="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理财计划托管人：杭州银行股份有限公司</w:t>
      </w: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pStyle w:val="2"/>
        <w:bidi w:val="0"/>
        <w:rPr>
          <w:rFonts w:hint="eastAsia" w:ascii="宋体" w:hAnsi="宋体" w:eastAsia="宋体" w:cs="宋体"/>
          <w:b/>
          <w:bCs/>
          <w:sz w:val="44"/>
          <w:szCs w:val="44"/>
          <w:highlight w:val="none"/>
          <w:lang w:val="en-US" w:eastAsia="zh-CN"/>
        </w:rPr>
      </w:pPr>
      <w:r>
        <w:rPr>
          <w:rFonts w:hint="eastAsia" w:ascii="宋体" w:hAnsi="宋体" w:cs="宋体"/>
          <w:b/>
          <w:bCs/>
          <w:sz w:val="44"/>
          <w:szCs w:val="44"/>
          <w:highlight w:val="none"/>
          <w:lang w:eastAsia="zh-CN"/>
        </w:rPr>
        <w:t>幸福99添益(安享优选)90天持有期2期理财</w:t>
      </w:r>
      <w:r>
        <w:rPr>
          <w:rFonts w:hint="eastAsia" w:ascii="宋体" w:hAnsi="宋体" w:eastAsia="宋体" w:cs="宋体"/>
          <w:b/>
          <w:bCs/>
          <w:sz w:val="44"/>
          <w:szCs w:val="44"/>
          <w:highlight w:val="none"/>
          <w:lang w:val="en-US" w:eastAsia="zh-CN"/>
        </w:rPr>
        <w:t>合同文件</w:t>
      </w:r>
    </w:p>
    <w:p>
      <w:pPr>
        <w:jc w:val="both"/>
        <w:rPr>
          <w:rFonts w:hint="eastAsia" w:ascii="宋体" w:hAnsi="宋体" w:cs="宋体"/>
          <w:sz w:val="44"/>
          <w:szCs w:val="44"/>
          <w:highlight w:val="none"/>
          <w:lang w:val="en-US" w:eastAsia="zh-CN"/>
        </w:rPr>
      </w:pPr>
    </w:p>
    <w:p>
      <w:pPr>
        <w:jc w:val="center"/>
        <w:rPr>
          <w:rFonts w:hint="eastAsia" w:ascii="宋体" w:hAnsi="宋体" w:cs="宋体"/>
          <w:sz w:val="44"/>
          <w:szCs w:val="44"/>
          <w:highlight w:val="none"/>
          <w:lang w:val="en-US" w:eastAsia="zh-CN"/>
        </w:rPr>
      </w:pPr>
    </w:p>
    <w:p>
      <w:pPr>
        <w:jc w:val="center"/>
        <w:rPr>
          <w:rFonts w:hint="eastAsia" w:ascii="宋体" w:hAnsi="宋体" w:cs="宋体"/>
          <w:sz w:val="44"/>
          <w:szCs w:val="44"/>
          <w:highlight w:val="none"/>
          <w:lang w:val="en-US" w:eastAsia="zh-CN"/>
        </w:rPr>
      </w:pPr>
    </w:p>
    <w:tbl>
      <w:tblPr>
        <w:tblStyle w:val="12"/>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序号</w:t>
            </w:r>
          </w:p>
        </w:tc>
        <w:tc>
          <w:tcPr>
            <w:tcW w:w="5160"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理财计划合同文件中的文件名称</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5160" w:type="dxa"/>
            <w:noWrap w:val="0"/>
            <w:vAlign w:val="center"/>
          </w:tcPr>
          <w:p>
            <w:pPr>
              <w:spacing w:line="360" w:lineRule="auto"/>
              <w:jc w:val="left"/>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幸福99添益(安享优选)90天持有期2期理财风险揭示书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w:t>
            </w:r>
          </w:p>
        </w:tc>
        <w:tc>
          <w:tcPr>
            <w:tcW w:w="5160" w:type="dxa"/>
            <w:noWrap w:val="0"/>
            <w:vAlign w:val="center"/>
          </w:tcPr>
          <w:p>
            <w:pPr>
              <w:spacing w:line="360" w:lineRule="auto"/>
              <w:jc w:val="left"/>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幸福99添益(安享优选)90天持有期2期理财产品说明书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3</w:t>
            </w:r>
          </w:p>
        </w:tc>
        <w:tc>
          <w:tcPr>
            <w:tcW w:w="5160" w:type="dxa"/>
            <w:noWrap w:val="0"/>
            <w:vAlign w:val="center"/>
          </w:tcPr>
          <w:p>
            <w:pPr>
              <w:spacing w:line="360" w:lineRule="auto"/>
              <w:jc w:val="left"/>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杭银理财投资者权益须知</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4</w:t>
            </w:r>
          </w:p>
        </w:tc>
        <w:tc>
          <w:tcPr>
            <w:tcW w:w="5160" w:type="dxa"/>
            <w:noWrap w:val="0"/>
            <w:vAlign w:val="center"/>
          </w:tcPr>
          <w:p>
            <w:pPr>
              <w:spacing w:line="360" w:lineRule="auto"/>
              <w:jc w:val="left"/>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杭银理财理财计划投资协议书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spacing w:line="360" w:lineRule="auto"/>
              <w:jc w:val="center"/>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5</w:t>
            </w:r>
          </w:p>
        </w:tc>
        <w:tc>
          <w:tcPr>
            <w:tcW w:w="5160" w:type="dxa"/>
            <w:noWrap w:val="0"/>
            <w:vAlign w:val="center"/>
          </w:tcPr>
          <w:p>
            <w:pPr>
              <w:spacing w:line="360" w:lineRule="auto"/>
              <w:jc w:val="left"/>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杭银理财理财计划销售协议书</w:t>
            </w:r>
          </w:p>
        </w:tc>
        <w:tc>
          <w:tcPr>
            <w:tcW w:w="2266" w:type="dxa"/>
            <w:noWrap w:val="0"/>
            <w:vAlign w:val="center"/>
          </w:tcPr>
          <w:p>
            <w:pPr>
              <w:spacing w:line="360" w:lineRule="auto"/>
              <w:jc w:val="center"/>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理财计划销售协议书</w:t>
            </w:r>
          </w:p>
        </w:tc>
      </w:tr>
    </w:tbl>
    <w:p>
      <w:pPr>
        <w:jc w:val="center"/>
        <w:rPr>
          <w:rFonts w:hint="eastAsia" w:ascii="宋体" w:hAnsi="宋体" w:cs="宋体"/>
          <w:sz w:val="44"/>
          <w:szCs w:val="44"/>
          <w:highlight w:val="none"/>
          <w:lang w:val="en-US" w:eastAsia="zh-CN"/>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both"/>
        <w:rPr>
          <w:rFonts w:hint="eastAsia" w:ascii="宋体" w:hAnsi="宋体" w:cs="宋体"/>
          <w:sz w:val="32"/>
          <w:szCs w:val="32"/>
          <w:highlight w:val="none"/>
        </w:rPr>
      </w:pPr>
    </w:p>
    <w:p>
      <w:pPr>
        <w:pStyle w:val="2"/>
        <w:bidi w:val="0"/>
        <w:rPr>
          <w:rFonts w:hint="eastAsia"/>
          <w:highlight w:val="none"/>
        </w:rPr>
      </w:pPr>
      <w:r>
        <w:rPr>
          <w:rFonts w:hint="eastAsia" w:ascii="宋体" w:hAnsi="宋体" w:cs="宋体"/>
          <w:b/>
          <w:highlight w:val="none"/>
          <w:lang w:eastAsia="zh-CN"/>
        </w:rPr>
        <w:t>幸福99添益(安享优选)90天持有期2期理财</w:t>
      </w:r>
      <w:r>
        <w:rPr>
          <w:rFonts w:hint="eastAsia" w:ascii="宋体" w:hAnsi="宋体" w:eastAsia="宋体" w:cs="宋体"/>
          <w:b/>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val="en-US"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pStyle w:val="3"/>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highlight w:val="none"/>
        </w:rPr>
      </w:pPr>
      <w:r>
        <w:rPr>
          <w:rFonts w:hint="eastAsia"/>
          <w:highlight w:val="none"/>
        </w:rPr>
        <w:t>理财计划共性风险</w:t>
      </w:r>
    </w:p>
    <w:p>
      <w:pPr>
        <w:pStyle w:val="4"/>
        <w:numPr>
          <w:ilvl w:val="0"/>
          <w:numId w:val="2"/>
        </w:numPr>
        <w:bidi w:val="0"/>
        <w:ind w:firstLine="482" w:firstLineChars="200"/>
        <w:rPr>
          <w:highlight w:val="none"/>
        </w:rPr>
      </w:pPr>
      <w:r>
        <w:rPr>
          <w:rStyle w:val="22"/>
          <w:rFonts w:hint="eastAsia"/>
          <w:b/>
          <w:highlight w:val="none"/>
        </w:rPr>
        <w:t>信用风险：</w:t>
      </w:r>
      <w:r>
        <w:rPr>
          <w:rFonts w:hint="eastAsia"/>
          <w:highlight w:val="none"/>
        </w:rPr>
        <w:t>理财计划所投资产的相关义务人信用状况恶化，出现信用违约情形，则理财计划本金或收益蒙受部分或全部损失的风险。</w:t>
      </w:r>
    </w:p>
    <w:p>
      <w:pPr>
        <w:pStyle w:val="4"/>
        <w:numPr>
          <w:ilvl w:val="0"/>
          <w:numId w:val="2"/>
        </w:numPr>
        <w:bidi w:val="0"/>
        <w:ind w:firstLine="482" w:firstLineChars="200"/>
        <w:rPr>
          <w:rFonts w:hint="eastAsia"/>
          <w:highlight w:val="none"/>
        </w:rPr>
      </w:pPr>
      <w:r>
        <w:rPr>
          <w:rFonts w:hint="eastAsia"/>
          <w:b/>
          <w:highlight w:val="none"/>
        </w:rPr>
        <w:t>市场风险：</w:t>
      </w:r>
      <w:r>
        <w:rPr>
          <w:rFonts w:hint="eastAsia"/>
          <w:highlight w:val="none"/>
        </w:rPr>
        <w:t>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pStyle w:val="4"/>
        <w:numPr>
          <w:ilvl w:val="0"/>
          <w:numId w:val="4"/>
        </w:numPr>
        <w:bidi w:val="0"/>
        <w:ind w:firstLine="482" w:firstLineChars="200"/>
        <w:rPr>
          <w:highlight w:val="none"/>
        </w:rPr>
      </w:pPr>
      <w:r>
        <w:rPr>
          <w:rFonts w:hint="eastAsia"/>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pStyle w:val="4"/>
        <w:numPr>
          <w:ilvl w:val="0"/>
          <w:numId w:val="4"/>
        </w:numPr>
        <w:bidi w:val="0"/>
        <w:ind w:firstLine="482" w:firstLineChars="200"/>
        <w:rPr>
          <w:highlight w:val="none"/>
        </w:rPr>
      </w:pPr>
      <w:r>
        <w:rPr>
          <w:rFonts w:hint="eastAsia"/>
          <w:highlight w:val="none"/>
        </w:rPr>
        <w:t>政策风险：理财计划根据当前的相关法规和政策设计，如国家宏观政策以及相关市场法规发生变化，可能会影响理财计划的发行、投资、兑付等正常工作流程的进行，导致理财计划本金或收益蒙受部分或全部损失的风险。</w:t>
      </w:r>
    </w:p>
    <w:p>
      <w:pPr>
        <w:pStyle w:val="4"/>
        <w:numPr>
          <w:ilvl w:val="0"/>
          <w:numId w:val="4"/>
        </w:numPr>
        <w:bidi w:val="0"/>
        <w:ind w:firstLine="482" w:firstLineChars="200"/>
        <w:rPr>
          <w:highlight w:val="none"/>
        </w:rPr>
      </w:pPr>
      <w:r>
        <w:rPr>
          <w:rFonts w:hint="eastAsia"/>
          <w:highlight w:val="none"/>
        </w:rPr>
        <w:t>操作风险：理财计划由于内部作业、人员管理、系统操作、交易对手交易处理不当或失误等，导致理财计划本金或收益蒙受部分或全部损失的风险。</w:t>
      </w:r>
    </w:p>
    <w:p>
      <w:pPr>
        <w:pStyle w:val="4"/>
        <w:numPr>
          <w:ilvl w:val="0"/>
          <w:numId w:val="4"/>
        </w:numPr>
        <w:bidi w:val="0"/>
        <w:ind w:firstLine="482" w:firstLineChars="200"/>
        <w:rPr>
          <w:highlight w:val="none"/>
        </w:rPr>
      </w:pPr>
      <w:r>
        <w:rPr>
          <w:rFonts w:hint="eastAsia"/>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pStyle w:val="4"/>
        <w:numPr>
          <w:ilvl w:val="0"/>
          <w:numId w:val="4"/>
        </w:numPr>
        <w:bidi w:val="0"/>
        <w:ind w:firstLine="482" w:firstLineChars="200"/>
        <w:rPr>
          <w:highlight w:val="none"/>
        </w:rPr>
      </w:pPr>
      <w:r>
        <w:rPr>
          <w:rFonts w:hint="eastAsia"/>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pStyle w:val="4"/>
        <w:numPr>
          <w:ilvl w:val="0"/>
          <w:numId w:val="4"/>
        </w:numPr>
        <w:bidi w:val="0"/>
        <w:ind w:firstLine="482" w:firstLineChars="200"/>
        <w:rPr>
          <w:highlight w:val="none"/>
        </w:rPr>
      </w:pPr>
      <w:r>
        <w:rPr>
          <w:rFonts w:hint="eastAsia"/>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pStyle w:val="4"/>
        <w:numPr>
          <w:ilvl w:val="0"/>
          <w:numId w:val="4"/>
        </w:numPr>
        <w:bidi w:val="0"/>
        <w:ind w:firstLine="482" w:firstLineChars="200"/>
        <w:rPr>
          <w:highlight w:val="none"/>
        </w:rPr>
      </w:pPr>
      <w:r>
        <w:rPr>
          <w:rFonts w:hint="eastAsia"/>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ind w:firstLine="482" w:firstLineChars="200"/>
        <w:jc w:val="left"/>
        <w:outlineLvl w:val="2"/>
        <w:rPr>
          <w:rFonts w:hint="eastAsia" w:ascii="Calibri" w:hAnsi="Calibri" w:eastAsia="宋体" w:cs="黑体"/>
          <w:b/>
          <w:kern w:val="2"/>
          <w:sz w:val="24"/>
          <w:szCs w:val="24"/>
          <w:highlight w:val="none"/>
          <w:lang w:val="en-US" w:eastAsia="zh-CN" w:bidi="ar-SA"/>
        </w:rPr>
      </w:pPr>
      <w:r>
        <w:rPr>
          <w:rStyle w:val="21"/>
          <w:rFonts w:hint="eastAsia"/>
          <w:highlight w:val="none"/>
          <w:lang w:val="en-US" w:eastAsia="zh-CN"/>
        </w:rPr>
        <w:t>信息传递风险：</w:t>
      </w:r>
      <w:r>
        <w:rPr>
          <w:rFonts w:hint="eastAsia"/>
          <w:b/>
          <w:bCs/>
          <w:highlight w:val="none"/>
          <w:lang w:val="en-US" w:eastAsia="zh-CN"/>
        </w:rPr>
        <w:t>由于投资者未能及时主动了解理财计划信息，或由于通信故障、系统故障以及其他不可抗力等因素的影响，使得投资者无法及时了解理财计划信息，而导致投资者无法及时做出合理决策，导致理财计划本金或收益蒙受部分或全部损失的风险。</w:t>
      </w:r>
    </w:p>
    <w:p>
      <w:pPr>
        <w:pStyle w:val="4"/>
        <w:numPr>
          <w:ilvl w:val="0"/>
          <w:numId w:val="4"/>
        </w:numPr>
        <w:bidi w:val="0"/>
        <w:rPr>
          <w:highlight w:val="none"/>
        </w:rPr>
      </w:pPr>
      <w:r>
        <w:rPr>
          <w:rFonts w:hint="eastAsia"/>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highlight w:val="none"/>
          <w:lang w:eastAsia="zh-CN"/>
        </w:rPr>
        <w:t>理</w:t>
      </w:r>
      <w:r>
        <w:rPr>
          <w:rFonts w:hint="eastAsia"/>
          <w:highlight w:val="none"/>
        </w:rPr>
        <w:t>财计划本金或收益蒙受部分或全部损失的风险。</w:t>
      </w:r>
    </w:p>
    <w:p>
      <w:pPr>
        <w:numPr>
          <w:ilvl w:val="0"/>
          <w:numId w:val="4"/>
        </w:numPr>
        <w:spacing w:line="360" w:lineRule="auto"/>
        <w:ind w:firstLine="482" w:firstLineChars="200"/>
        <w:jc w:val="left"/>
        <w:outlineLvl w:val="2"/>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ind w:firstLine="482" w:firstLineChars="200"/>
        <w:jc w:val="left"/>
        <w:outlineLvl w:val="2"/>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ind w:firstLine="482" w:firstLineChars="200"/>
        <w:jc w:val="left"/>
        <w:outlineLvl w:val="2"/>
        <w:rPr>
          <w:rFonts w:ascii="宋体" w:hAnsi="宋体" w:cs="宋体"/>
          <w:b/>
          <w:sz w:val="24"/>
          <w:highlight w:val="none"/>
        </w:rPr>
      </w:pPr>
      <w:r>
        <w:rPr>
          <w:rFonts w:hint="eastAsia" w:ascii="宋体" w:hAnsi="宋体" w:cs="宋体"/>
          <w:b/>
          <w:sz w:val="24"/>
          <w:highlight w:val="none"/>
        </w:rPr>
        <w:t>代销风险：本理财计划通过代销渠道销售，投资者认</w:t>
      </w:r>
      <w:r>
        <w:rPr>
          <w:rFonts w:hint="eastAsia" w:ascii="宋体" w:hAnsi="宋体" w:cs="宋体"/>
          <w:b/>
          <w:sz w:val="24"/>
          <w:highlight w:val="none"/>
          <w:lang w:val="en-US" w:eastAsia="zh-CN"/>
        </w:rPr>
        <w:t>/申</w:t>
      </w:r>
      <w:r>
        <w:rPr>
          <w:rFonts w:hint="eastAsia" w:ascii="宋体" w:hAnsi="宋体" w:cs="宋体"/>
          <w:b/>
          <w:sz w:val="24"/>
          <w:highlight w:val="none"/>
        </w:rPr>
        <w:t>购理财计划的资金由销售机构从投资者资金账户扣收；理财计划到期</w:t>
      </w:r>
      <w:r>
        <w:rPr>
          <w:rFonts w:hint="eastAsia" w:ascii="宋体" w:hAnsi="宋体" w:cs="宋体"/>
          <w:b/>
          <w:sz w:val="24"/>
          <w:highlight w:val="none"/>
          <w:lang w:val="en-US" w:eastAsia="zh-CN"/>
        </w:rPr>
        <w:t>/赎回</w:t>
      </w:r>
      <w:r>
        <w:rPr>
          <w:rFonts w:hint="eastAsia" w:ascii="宋体" w:hAnsi="宋体" w:cs="宋体"/>
          <w:b/>
          <w:sz w:val="24"/>
          <w:highlight w:val="none"/>
        </w:rPr>
        <w:t>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2"/>
        <w:rPr>
          <w:rFonts w:ascii="宋体" w:hAnsi="宋体" w:cs="宋体"/>
          <w:b/>
          <w:sz w:val="24"/>
          <w:highlight w:val="none"/>
        </w:rPr>
      </w:pPr>
      <w:r>
        <w:rPr>
          <w:rFonts w:ascii="宋体" w:hAnsi="宋体" w:cs="宋体"/>
          <w:b/>
          <w:sz w:val="24"/>
          <w:highlight w:val="none"/>
        </w:rPr>
        <w:t>关联关系风险：本理财</w:t>
      </w:r>
      <w:r>
        <w:rPr>
          <w:rFonts w:hint="eastAsia" w:ascii="宋体" w:hAnsi="宋体" w:cs="宋体"/>
          <w:b/>
          <w:sz w:val="24"/>
          <w:highlight w:val="none"/>
          <w:lang w:eastAsia="zh-CN"/>
        </w:rPr>
        <w:t>计划</w:t>
      </w:r>
      <w:r>
        <w:rPr>
          <w:rFonts w:ascii="宋体" w:hAnsi="宋体" w:cs="宋体"/>
          <w:b/>
          <w:sz w:val="24"/>
          <w:highlight w:val="none"/>
        </w:rPr>
        <w:t>销售机构</w:t>
      </w:r>
      <w:r>
        <w:rPr>
          <w:rFonts w:hint="eastAsia" w:ascii="宋体" w:hAnsi="宋体" w:cs="宋体"/>
          <w:b/>
          <w:sz w:val="24"/>
          <w:highlight w:val="none"/>
          <w:lang w:eastAsia="zh-CN"/>
        </w:rPr>
        <w:t>之一</w:t>
      </w:r>
      <w:r>
        <w:rPr>
          <w:rFonts w:ascii="宋体" w:hAnsi="宋体" w:cs="宋体"/>
          <w:b/>
          <w:sz w:val="24"/>
          <w:highlight w:val="none"/>
        </w:rPr>
        <w:t>为杭州银行股份有限公司，杭银理财系杭州银行全资子公司，双方存在关联关系。杭州银行作为本理财</w:t>
      </w:r>
      <w:r>
        <w:rPr>
          <w:rFonts w:hint="eastAsia" w:ascii="宋体" w:hAnsi="宋体" w:cs="宋体"/>
          <w:b/>
          <w:sz w:val="24"/>
          <w:highlight w:val="none"/>
          <w:lang w:eastAsia="zh-CN"/>
        </w:rPr>
        <w:t>计划</w:t>
      </w:r>
      <w:r>
        <w:rPr>
          <w:rFonts w:ascii="宋体" w:hAnsi="宋体" w:cs="宋体"/>
          <w:b/>
          <w:sz w:val="24"/>
          <w:highlight w:val="none"/>
        </w:rPr>
        <w:t>销售机构将按照法律法规、监管规定，执行不低于代理销售其他机构发行管理的理财产品的准入标准、风险评级、销售管理等要求；杭州银行作为销售机构不保证本</w:t>
      </w:r>
      <w:r>
        <w:rPr>
          <w:rFonts w:hint="eastAsia" w:ascii="宋体" w:hAnsi="宋体" w:cs="宋体"/>
          <w:b/>
          <w:sz w:val="24"/>
          <w:highlight w:val="none"/>
          <w:lang w:eastAsia="zh-CN"/>
        </w:rPr>
        <w:t>理财计划</w:t>
      </w:r>
      <w:r>
        <w:rPr>
          <w:rFonts w:ascii="宋体" w:hAnsi="宋体" w:cs="宋体"/>
          <w:b/>
          <w:sz w:val="24"/>
          <w:highlight w:val="none"/>
        </w:rPr>
        <w:t>收益，不承担</w:t>
      </w:r>
      <w:r>
        <w:rPr>
          <w:rFonts w:hint="eastAsia" w:ascii="宋体" w:hAnsi="宋体" w:cs="宋体"/>
          <w:b/>
          <w:sz w:val="24"/>
          <w:highlight w:val="none"/>
          <w:lang w:eastAsia="zh-CN"/>
        </w:rPr>
        <w:t>理财计划</w:t>
      </w:r>
      <w:r>
        <w:rPr>
          <w:rFonts w:ascii="宋体" w:hAnsi="宋体" w:cs="宋体"/>
          <w:b/>
          <w:sz w:val="24"/>
          <w:highlight w:val="none"/>
        </w:rPr>
        <w:t>的投资、兑付和风险管理责任。</w:t>
      </w:r>
    </w:p>
    <w:p>
      <w:pPr>
        <w:numPr>
          <w:ilvl w:val="0"/>
          <w:numId w:val="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理财计划特定风险</w:t>
      </w:r>
    </w:p>
    <w:p>
      <w:pPr>
        <w:numPr>
          <w:ilvl w:val="0"/>
          <w:numId w:val="5"/>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资金流动性风险：本理财计划认购/申购份额确认后，投资者需持有份额一定期限后才能申请赎回，期间不得提前赎回。</w:t>
      </w:r>
    </w:p>
    <w:p>
      <w:pPr>
        <w:numPr>
          <w:ilvl w:val="0"/>
          <w:numId w:val="5"/>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收益不达业绩比较基准风险：本理财计划的投资收益与投资者的申购、赎回时点密切相关，收益存在一定的波动性，理财计划本金出现损失的可能性不容忽视。</w:t>
      </w:r>
    </w:p>
    <w:p>
      <w:pPr>
        <w:numPr>
          <w:ilvl w:val="0"/>
          <w:numId w:val="5"/>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未知价风险：产品以产品申购和赎回确认时的单位净值，按照“金额申购、份额赎回”的原则计算投资者申购份额和赎回资金，产品净值可能会有波动</w:t>
      </w:r>
      <w:r>
        <w:rPr>
          <w:rFonts w:hint="eastAsia" w:ascii="宋体" w:hAnsi="宋体" w:cs="宋体"/>
          <w:b/>
          <w:sz w:val="24"/>
          <w:highlight w:val="none"/>
          <w:lang w:eastAsia="zh-CN"/>
        </w:rPr>
        <w:t>。</w:t>
      </w:r>
    </w:p>
    <w:p>
      <w:p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上述理财计划共性与特定风险发生时，投资者的本金及收益可能遭受损失，在最不利情形下，将损失全部本金及收益，由此产生的风险及损失将由投资者自行承担。</w:t>
      </w:r>
    </w:p>
    <w:p>
      <w:pPr>
        <w:numPr>
          <w:ilvl w:val="0"/>
          <w:numId w:val="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其他信息提示</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本理财计划为公募、开放式、〖</w:t>
      </w:r>
      <w:r>
        <w:rPr>
          <w:rFonts w:hint="eastAsia" w:ascii="宋体" w:hAnsi="宋体" w:cs="宋体"/>
          <w:b/>
          <w:sz w:val="24"/>
          <w:highlight w:val="none"/>
          <w:lang w:val="en-US" w:eastAsia="zh-CN"/>
        </w:rPr>
        <w:t>固定收益</w:t>
      </w:r>
      <w:r>
        <w:rPr>
          <w:rFonts w:hint="eastAsia" w:ascii="宋体" w:hAnsi="宋体" w:cs="宋体"/>
          <w:b/>
          <w:sz w:val="24"/>
          <w:highlight w:val="none"/>
        </w:rPr>
        <w:t>类〗净值型理财计划，〖</w:t>
      </w:r>
      <w:r>
        <w:rPr>
          <w:rFonts w:hint="eastAsia" w:ascii="宋体" w:hAnsi="宋体" w:cs="宋体"/>
          <w:b/>
          <w:sz w:val="24"/>
          <w:highlight w:val="none"/>
          <w:lang w:eastAsia="zh-CN"/>
        </w:rPr>
        <w:t>无固定期限</w:t>
      </w:r>
      <w:r>
        <w:rPr>
          <w:rFonts w:hint="eastAsia" w:ascii="宋体" w:hAnsi="宋体" w:cs="宋体"/>
          <w:b/>
          <w:sz w:val="24"/>
          <w:highlight w:val="none"/>
        </w:rPr>
        <w:t>〗，不保证本金与收益。根据本公司理财产品内部风险评级，该理财计划风险评级结果为〖R</w:t>
      </w:r>
      <w:r>
        <w:rPr>
          <w:rFonts w:hint="eastAsia" w:ascii="宋体" w:hAnsi="宋体" w:cs="宋体"/>
          <w:b/>
          <w:sz w:val="24"/>
          <w:highlight w:val="none"/>
          <w:lang w:val="en-US" w:eastAsia="zh-CN"/>
        </w:rPr>
        <w:t>2</w:t>
      </w:r>
      <w:r>
        <w:rPr>
          <w:rFonts w:hint="eastAsia" w:ascii="宋体" w:hAnsi="宋体" w:cs="宋体"/>
          <w:b/>
          <w:sz w:val="24"/>
          <w:highlight w:val="none"/>
        </w:rPr>
        <w:t>〗,〖</w:t>
      </w:r>
      <w:r>
        <w:rPr>
          <w:rFonts w:hint="eastAsia" w:ascii="宋体" w:hAnsi="宋体" w:cs="宋体"/>
          <w:b/>
          <w:sz w:val="24"/>
          <w:highlight w:val="none"/>
          <w:lang w:val="en-US" w:eastAsia="zh-CN"/>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eastAsia="zh-CN"/>
        </w:rPr>
        <w:t>，</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总体风险〖程度</w:t>
      </w:r>
      <w:r>
        <w:rPr>
          <w:rFonts w:hint="eastAsia" w:ascii="宋体" w:hAnsi="宋体" w:cs="宋体"/>
          <w:b/>
          <w:sz w:val="24"/>
          <w:highlight w:val="none"/>
          <w:lang w:eastAsia="zh-CN"/>
        </w:rPr>
        <w:t>较</w:t>
      </w:r>
      <w:r>
        <w:rPr>
          <w:rFonts w:hint="eastAsia" w:ascii="宋体" w:hAnsi="宋体" w:cs="宋体"/>
          <w:b/>
          <w:sz w:val="24"/>
          <w:highlight w:val="none"/>
          <w:lang w:val="en-US" w:eastAsia="zh-CN"/>
        </w:rPr>
        <w:t>低</w:t>
      </w:r>
      <w:r>
        <w:rPr>
          <w:rFonts w:hint="eastAsia" w:ascii="宋体" w:hAnsi="宋体" w:cs="宋体"/>
          <w:b/>
          <w:sz w:val="24"/>
          <w:highlight w:val="none"/>
        </w:rPr>
        <w:t>，收益波动</w:t>
      </w:r>
      <w:r>
        <w:rPr>
          <w:rFonts w:hint="eastAsia" w:ascii="宋体" w:hAnsi="宋体" w:cs="宋体"/>
          <w:b/>
          <w:sz w:val="24"/>
          <w:highlight w:val="none"/>
          <w:lang w:eastAsia="zh-CN"/>
        </w:rPr>
        <w:t>较</w:t>
      </w:r>
      <w:r>
        <w:rPr>
          <w:rFonts w:hint="eastAsia" w:ascii="宋体" w:hAnsi="宋体" w:cs="宋体"/>
          <w:b/>
          <w:sz w:val="24"/>
          <w:highlight w:val="none"/>
          <w:lang w:val="en-US" w:eastAsia="zh-CN"/>
        </w:rPr>
        <w:t>小</w:t>
      </w:r>
      <w:r>
        <w:rPr>
          <w:rFonts w:hint="eastAsia" w:ascii="宋体" w:hAnsi="宋体" w:cs="宋体"/>
          <w:b/>
          <w:sz w:val="24"/>
          <w:highlight w:val="none"/>
        </w:rPr>
        <w:t>，</w:t>
      </w:r>
      <w:r>
        <w:rPr>
          <w:rFonts w:hint="eastAsia" w:ascii="宋体" w:hAnsi="宋体" w:cs="宋体"/>
          <w:b/>
          <w:sz w:val="24"/>
          <w:highlight w:val="none"/>
          <w:lang w:eastAsia="zh-CN"/>
        </w:rPr>
        <w:t>虽然存在一些可能对产品本金和收益安全产生不利影响的因素，但</w:t>
      </w:r>
      <w:r>
        <w:rPr>
          <w:rFonts w:hint="eastAsia" w:ascii="宋体" w:hAnsi="宋体" w:cs="宋体"/>
          <w:b/>
          <w:sz w:val="24"/>
          <w:highlight w:val="none"/>
        </w:rPr>
        <w:t>产品本金</w:t>
      </w:r>
      <w:r>
        <w:rPr>
          <w:rFonts w:hint="eastAsia" w:ascii="宋体" w:hAnsi="宋体" w:cs="宋体"/>
          <w:b/>
          <w:sz w:val="24"/>
          <w:highlight w:val="none"/>
          <w:lang w:eastAsia="zh-CN"/>
        </w:rPr>
        <w:t>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本理财计划适合〖机构投资者〗以及〖稳健型</w:t>
      </w:r>
      <w:r>
        <w:rPr>
          <w:rFonts w:hint="eastAsia" w:ascii="宋体" w:hAnsi="宋体" w:cs="宋体"/>
          <w:b/>
          <w:sz w:val="24"/>
          <w:highlight w:val="none"/>
          <w:lang w:eastAsia="zh-CN"/>
        </w:rPr>
        <w:t>、</w:t>
      </w:r>
      <w:r>
        <w:rPr>
          <w:rFonts w:hint="eastAsia" w:ascii="宋体" w:hAnsi="宋体" w:cs="宋体"/>
          <w:b/>
          <w:sz w:val="24"/>
          <w:highlight w:val="none"/>
        </w:rPr>
        <w:t>平衡型、成长型、进取型〗的个人投资者，个人投资者的风险承受能力评估以销售机构为准。</w:t>
      </w:r>
      <w:r>
        <w:rPr>
          <w:rFonts w:hint="eastAsia" w:ascii="宋体" w:hAnsi="宋体" w:cs="宋体"/>
          <w:bCs/>
          <w:sz w:val="24"/>
          <w:highlight w:val="none"/>
        </w:rPr>
        <w:t>本理财计划投资者适当性评估由销售机构负责，销售机构应确保个人投资者的风险承受能力不低于本理财计划风险评级。</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上述风险客观存在，敬请投资者予以充分关注！</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理财计划管理人有权按照国内外反洗钱相关适用的法律法规和监管要求，从销售机构获得相应必要的投资者身份信息并报送投资者身份信息及其持有理财产品信息。销售机构将在合法、合理且必要时向管理人提供投资者身份识别信息（投资者身份识别信息包括但不限于：投资者的姓名、性别、国籍、职业、住所地或者工作单位地址、常居地地址、联系方式、身份证明文件的种类、号码和有效期限、代理人信息、受益所有人信息），以及在合法、合理且必要时进一步提供身份证明文件的复印件和影印件以及其他必要信息。投资者签署后即表示同意并配合提供前述信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Cs/>
          <w:sz w:val="24"/>
          <w:highlight w:val="none"/>
        </w:rPr>
      </w:pPr>
    </w:p>
    <w:p>
      <w:pPr>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pStyle w:val="17"/>
        <w:spacing w:line="360" w:lineRule="auto"/>
        <w:ind w:firstLine="482" w:firstLineChars="200"/>
        <w:jc w:val="center"/>
        <w:outlineLvl w:val="1"/>
        <w:rPr>
          <w:rFonts w:hint="eastAsia" w:ascii="宋体" w:hAnsi="宋体" w:cs="宋体"/>
          <w:b/>
          <w:color w:val="auto"/>
          <w:highlight w:val="none"/>
        </w:rPr>
      </w:pPr>
      <w:r>
        <w:rPr>
          <w:rFonts w:hint="eastAsia" w:ascii="宋体" w:hAnsi="宋体" w:cs="宋体"/>
          <w:b/>
          <w:color w:val="auto"/>
          <w:highlight w:val="none"/>
        </w:rPr>
        <w:br w:type="page"/>
      </w: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w:t>
      </w:r>
      <w:r>
        <w:rPr>
          <w:rFonts w:hint="eastAsia" w:ascii="宋体" w:hAnsi="宋体" w:cs="宋体"/>
          <w:b w:val="0"/>
          <w:bCs w:val="0"/>
          <w:color w:val="auto"/>
          <w:highlight w:val="none"/>
          <w:u w:val="single"/>
        </w:rPr>
        <w:t>风险</w:t>
      </w:r>
      <w:r>
        <w:rPr>
          <w:rFonts w:hint="eastAsia" w:ascii="宋体" w:hAnsi="宋体" w:cs="宋体"/>
          <w:color w:val="auto"/>
          <w:highlight w:val="none"/>
          <w:u w:val="single"/>
        </w:rPr>
        <w:t>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cs="宋体"/>
          <w:kern w:val="0"/>
          <w:sz w:val="24"/>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pStyle w:val="17"/>
        <w:spacing w:line="360" w:lineRule="auto"/>
        <w:ind w:firstLine="482" w:firstLineChars="200"/>
        <w:jc w:val="center"/>
        <w:rPr>
          <w:rFonts w:hint="eastAsia" w:ascii="宋体" w:hAnsi="宋体" w:eastAsia="宋体" w:cs="宋体"/>
          <w:b/>
          <w:bCs/>
          <w:color w:val="auto"/>
          <w:highlight w:val="none"/>
          <w:u w:val="none"/>
        </w:rPr>
      </w:pPr>
    </w:p>
    <w:p>
      <w:pPr>
        <w:pStyle w:val="17"/>
        <w:spacing w:line="360" w:lineRule="auto"/>
        <w:ind w:firstLine="482" w:firstLineChars="200"/>
        <w:jc w:val="center"/>
        <w:rPr>
          <w:rFonts w:hint="eastAsia" w:ascii="宋体" w:hAnsi="宋体" w:eastAsia="宋体" w:cs="宋体"/>
          <w:b/>
          <w:bCs/>
          <w:color w:val="auto"/>
          <w:highlight w:val="none"/>
          <w:u w:val="none"/>
        </w:rPr>
      </w:pPr>
    </w:p>
    <w:p>
      <w:pPr>
        <w:pStyle w:val="17"/>
        <w:spacing w:line="360" w:lineRule="auto"/>
        <w:ind w:firstLine="482" w:firstLineChars="200"/>
        <w:jc w:val="center"/>
        <w:rPr>
          <w:rFonts w:hint="eastAsia" w:ascii="宋体" w:hAnsi="宋体" w:eastAsia="宋体" w:cs="宋体"/>
          <w:b/>
          <w:bCs/>
          <w:color w:val="auto"/>
          <w:highlight w:val="none"/>
          <w:u w:val="none"/>
        </w:rPr>
      </w:pPr>
    </w:p>
    <w:p>
      <w:pPr>
        <w:pStyle w:val="17"/>
        <w:spacing w:line="360" w:lineRule="auto"/>
        <w:ind w:firstLine="0" w:firstLineChars="0"/>
        <w:jc w:val="both"/>
        <w:rPr>
          <w:rFonts w:hint="eastAsia" w:ascii="宋体" w:hAnsi="宋体" w:eastAsia="宋体" w:cs="宋体"/>
          <w:b/>
          <w:bCs/>
          <w:color w:val="auto"/>
          <w:highlight w:val="none"/>
          <w:u w:val="none"/>
        </w:rPr>
      </w:pPr>
    </w:p>
    <w:p>
      <w:pPr>
        <w:pStyle w:val="17"/>
        <w:spacing w:line="360" w:lineRule="auto"/>
        <w:ind w:firstLine="482" w:firstLineChars="200"/>
        <w:jc w:val="center"/>
        <w:outlineLvl w:val="1"/>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pStyle w:val="17"/>
        <w:spacing w:line="360" w:lineRule="auto"/>
        <w:ind w:firstLine="482" w:firstLineChars="200"/>
        <w:jc w:val="both"/>
        <w:rPr>
          <w:rFonts w:hint="eastAsia" w:ascii="宋体" w:hAnsi="宋体" w:eastAsia="宋体" w:cs="宋体"/>
          <w:b/>
          <w:bCs/>
          <w:color w:val="auto"/>
          <w:highlight w:val="none"/>
          <w:u w:val="none"/>
          <w:lang w:val="en-US" w:eastAsia="zh-CN"/>
        </w:rPr>
      </w:pP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p>
    <w:p>
      <w:pPr>
        <w:jc w:val="center"/>
        <w:outlineLvl w:val="0"/>
        <w:rPr>
          <w:rFonts w:hint="eastAsia" w:ascii="宋体" w:hAnsi="宋体" w:cs="宋体"/>
          <w:b/>
          <w:bCs/>
          <w:sz w:val="44"/>
          <w:szCs w:val="44"/>
          <w:highlight w:val="none"/>
        </w:rPr>
      </w:pPr>
      <w:r>
        <w:rPr>
          <w:rFonts w:hint="eastAsia" w:ascii="宋体" w:hAnsi="宋体" w:cs="宋体"/>
          <w:b/>
          <w:bCs/>
          <w:sz w:val="44"/>
          <w:szCs w:val="44"/>
          <w:highlight w:val="none"/>
        </w:rPr>
        <w:br w:type="page"/>
      </w:r>
      <w:r>
        <w:rPr>
          <w:rFonts w:hint="eastAsia" w:ascii="宋体" w:hAnsi="宋体" w:cs="宋体"/>
          <w:b/>
          <w:bCs/>
          <w:sz w:val="44"/>
          <w:szCs w:val="44"/>
          <w:highlight w:val="none"/>
          <w:lang w:eastAsia="zh-CN"/>
        </w:rPr>
        <w:t>幸福99添益(安享优选)90天持有期2期理财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cs="宋体"/>
          <w:bCs/>
          <w:sz w:val="24"/>
          <w:highlight w:val="none"/>
          <w:lang w:val="en-US" w:eastAsia="zh-CN"/>
        </w:rPr>
        <w:t>Z7002224000113</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2"/>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，将共同构成投资者与管理人之间的理财计划交易合同。</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在本理财计划存续期内，如因监管政策或法律法规发生变化，在不损害投资者利益的前提下，管理人有权单方对本理财计划说明书条款进行修订。</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2"/>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11"/>
        </w:numPr>
        <w:spacing w:line="360" w:lineRule="auto"/>
        <w:ind w:firstLine="482" w:firstLineChars="200"/>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杭银理财有限责任公司简称杭银理财，官网网站为https://www.hzbankwealth.com.cn</w:t>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rPr>
        <w:t>。</w:t>
      </w:r>
    </w:p>
    <w:p>
      <w:pPr>
        <w:pStyle w:val="17"/>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auto"/>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ww.hzbank.com.cn，客服热线为95398。</w:t>
      </w:r>
    </w:p>
    <w:p>
      <w:pPr>
        <w:pStyle w:val="17"/>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cs="宋体"/>
          <w:bCs/>
          <w:color w:val="auto"/>
          <w:kern w:val="2"/>
          <w:highlight w:val="none"/>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指对管理人（包括本理财计划管理人、所投资的的信托计划/资管计划的管理人/受托人、相关投资顾问等）实施监督管理的机构，包括但不限于中国人民银行、</w:t>
      </w:r>
      <w:r>
        <w:rPr>
          <w:rFonts w:hint="eastAsia" w:ascii="宋体" w:hAnsi="宋体" w:cs="宋体"/>
          <w:bCs/>
          <w:color w:val="auto"/>
          <w:kern w:val="2"/>
          <w:highlight w:val="none"/>
          <w:lang w:val="en-US"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cs="宋体"/>
          <w:bCs/>
          <w:color w:val="auto"/>
          <w:kern w:val="2"/>
          <w:highlight w:val="none"/>
          <w:lang w:eastAsia="zh-CN"/>
        </w:rPr>
        <w:t>幸福99添益(安享优选)90天持有期2期理财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幸福99添益(安享优选)90天持有期2期理财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幸福99添益(安享优选)90天持有期2期理财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理财计划投资协议书：</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幸福99添益(安享优选)90天持有期2期理财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理财计划销售协议书：</w:t>
      </w:r>
      <w:r>
        <w:rPr>
          <w:rFonts w:hint="eastAsia" w:ascii="宋体" w:hAnsi="宋体" w:cs="宋体"/>
          <w:bCs/>
          <w:color w:val="auto"/>
          <w:kern w:val="2"/>
          <w:highlight w:val="none"/>
          <w:lang w:eastAsia="zh-CN"/>
        </w:rPr>
        <w:t>指作为幸福99添益(安享优选)90天持有期2期理财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理财计划合同/销售文件：</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理财计划产品说明书</w:t>
      </w:r>
      <w:r>
        <w:rPr>
          <w:rFonts w:hint="eastAsia" w:ascii="宋体" w:hAnsi="宋体" w:cs="宋体"/>
          <w:bCs/>
          <w:color w:val="auto"/>
          <w:kern w:val="2"/>
          <w:highlight w:val="none"/>
        </w:rPr>
        <w:t>》《投资者权益须知》《理财计划投资协议书》</w:t>
      </w:r>
      <w:r>
        <w:rPr>
          <w:rFonts w:hint="eastAsia" w:ascii="宋体" w:hAnsi="宋体" w:cs="宋体"/>
          <w:bCs/>
          <w:color w:val="auto"/>
          <w:kern w:val="2"/>
          <w:highlight w:val="none"/>
          <w:lang w:eastAsia="zh-CN"/>
        </w:rPr>
        <w:t>《理财计划销售协议书》五</w:t>
      </w:r>
      <w:r>
        <w:rPr>
          <w:rFonts w:hint="eastAsia" w:ascii="宋体" w:hAnsi="宋体" w:cs="宋体"/>
          <w:bCs/>
          <w:color w:val="auto"/>
          <w:kern w:val="2"/>
          <w:highlight w:val="none"/>
        </w:rPr>
        <w:t>个部分。</w:t>
      </w:r>
    </w:p>
    <w:p>
      <w:pPr>
        <w:pStyle w:val="17"/>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cs="宋体"/>
          <w:bCs/>
          <w:color w:val="auto"/>
          <w:kern w:val="2"/>
          <w:highlight w:val="none"/>
          <w:lang w:eastAsia="zh-CN"/>
        </w:rPr>
        <w:t>幸福99添益(安享优选)90天持有期2期理财</w:t>
      </w:r>
      <w:r>
        <w:rPr>
          <w:rFonts w:hint="eastAsia" w:ascii="宋体" w:hAnsi="宋体" w:cs="宋体"/>
          <w:bCs/>
          <w:highlight w:val="none"/>
        </w:rPr>
        <w:t>。</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指上海证券交易所、深圳证券交易所的正常交易日。</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持有期：</w:t>
      </w:r>
      <w:r>
        <w:rPr>
          <w:rFonts w:hint="eastAsia" w:ascii="宋体" w:hAnsi="宋体" w:cs="宋体"/>
          <w:bCs/>
          <w:color w:val="auto"/>
          <w:kern w:val="2"/>
          <w:highlight w:val="none"/>
        </w:rPr>
        <w:t>指投资者认购</w:t>
      </w:r>
      <w:r>
        <w:rPr>
          <w:rFonts w:hint="eastAsia" w:ascii="宋体" w:hAnsi="宋体" w:cs="宋体"/>
          <w:bCs/>
          <w:color w:val="auto"/>
          <w:kern w:val="2"/>
          <w:highlight w:val="none"/>
          <w:lang w:val="en-US" w:eastAsia="zh-CN"/>
        </w:rPr>
        <w:t>或</w:t>
      </w:r>
      <w:r>
        <w:rPr>
          <w:rFonts w:hint="eastAsia" w:ascii="宋体" w:hAnsi="宋体" w:cs="宋体"/>
          <w:bCs/>
          <w:color w:val="auto"/>
          <w:kern w:val="2"/>
          <w:highlight w:val="none"/>
        </w:rPr>
        <w:t>申购份额后，需持有固定期限后才可进行赎回。</w:t>
      </w:r>
    </w:p>
    <w:p>
      <w:pPr>
        <w:pStyle w:val="17"/>
        <w:numPr>
          <w:ilvl w:val="0"/>
          <w:numId w:val="15"/>
        </w:numPr>
        <w:adjustRightInd/>
        <w:spacing w:line="360" w:lineRule="auto"/>
        <w:ind w:left="0"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投资周期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指理财计划成立或申购</w:t>
      </w:r>
      <w:r>
        <w:rPr>
          <w:rFonts w:hint="eastAsia" w:ascii="宋体" w:hAnsi="宋体" w:cs="宋体"/>
          <w:b w:val="0"/>
          <w:bCs/>
          <w:color w:val="auto"/>
          <w:kern w:val="2"/>
          <w:highlight w:val="none"/>
          <w:lang w:val="en-US" w:eastAsia="zh-CN"/>
        </w:rPr>
        <w:t>/赎回</w:t>
      </w:r>
      <w:r>
        <w:rPr>
          <w:rFonts w:hint="eastAsia" w:ascii="宋体" w:hAnsi="宋体" w:cs="宋体"/>
          <w:b w:val="0"/>
          <w:bCs/>
          <w:color w:val="auto"/>
          <w:kern w:val="2"/>
          <w:highlight w:val="none"/>
          <w:lang w:eastAsia="zh-CN"/>
        </w:rPr>
        <w:t>开放期确认后，至下一个申购</w:t>
      </w:r>
      <w:r>
        <w:rPr>
          <w:rFonts w:hint="eastAsia" w:ascii="宋体" w:hAnsi="宋体" w:cs="宋体"/>
          <w:b w:val="0"/>
          <w:bCs/>
          <w:color w:val="auto"/>
          <w:kern w:val="2"/>
          <w:highlight w:val="none"/>
          <w:lang w:val="en-US" w:eastAsia="zh-CN"/>
        </w:rPr>
        <w:t>/赎回开放期确认前的时间。如申购和赎回开放期确认时间不一致，应明确以申购投资周期或赎回投资周期作为理财计划的投资周期。</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指管理人向投资者提供申购、赎回交易的时间。</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指管理人确认投资者申购、赎回交易是否有效的日期。</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17"/>
        <w:numPr>
          <w:ilvl w:val="0"/>
          <w:numId w:val="12"/>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16"/>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0"/>
        </w:numPr>
        <w:adjustRightInd/>
        <w:spacing w:line="360" w:lineRule="auto"/>
        <w:rPr>
          <w:rFonts w:hint="eastAsia" w:ascii="宋体" w:hAnsi="宋体" w:cs="宋体"/>
          <w:b/>
          <w:color w:val="auto"/>
          <w:kern w:val="2"/>
          <w:highlight w:val="none"/>
        </w:rPr>
      </w:pPr>
    </w:p>
    <w:p>
      <w:pPr>
        <w:pStyle w:val="17"/>
        <w:numPr>
          <w:ilvl w:val="0"/>
          <w:numId w:val="18"/>
        </w:numPr>
        <w:adjustRightInd/>
        <w:spacing w:line="360" w:lineRule="auto"/>
        <w:ind w:firstLine="482" w:firstLineChars="200"/>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本理财计划的风险等级为〖R</w:t>
      </w:r>
      <w:r>
        <w:rPr>
          <w:rFonts w:hint="eastAsia" w:ascii="宋体" w:hAnsi="宋体" w:cs="宋体"/>
          <w:b/>
          <w:color w:val="auto"/>
          <w:kern w:val="2"/>
          <w:highlight w:val="none"/>
          <w:lang w:val="en-US" w:eastAsia="zh-CN"/>
        </w:rPr>
        <w:t>2</w:t>
      </w:r>
      <w:r>
        <w:rPr>
          <w:rFonts w:hint="eastAsia" w:ascii="宋体" w:hAnsi="宋体" w:cs="宋体"/>
          <w:b/>
          <w:color w:val="auto"/>
          <w:kern w:val="2"/>
          <w:highlight w:val="none"/>
        </w:rPr>
        <w:t>〗，〖</w:t>
      </w:r>
      <w:r>
        <w:rPr>
          <w:rFonts w:hint="eastAsia" w:ascii="宋体" w:hAnsi="宋体" w:cs="宋体"/>
          <w:b/>
          <w:color w:val="auto"/>
          <w:kern w:val="2"/>
          <w:highlight w:val="none"/>
          <w:lang w:val="en-US" w:eastAsia="zh-CN"/>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
                <w:bCs w:val="0"/>
                <w:color w:val="auto"/>
                <w:kern w:val="2"/>
                <w:highlight w:val="none"/>
              </w:rPr>
            </w:pPr>
            <w:r>
              <w:rPr>
                <w:rFonts w:hint="eastAsia" w:ascii="宋体" w:hAnsi="宋体" w:cs="宋体"/>
                <w:b/>
                <w:bCs w:val="0"/>
                <w:color w:val="auto"/>
                <w:kern w:val="2"/>
                <w:highlight w:val="none"/>
              </w:rPr>
              <w:t>R2</w:t>
            </w:r>
          </w:p>
        </w:tc>
        <w:tc>
          <w:tcPr>
            <w:tcW w:w="1382" w:type="dxa"/>
            <w:noWrap w:val="0"/>
            <w:vAlign w:val="top"/>
          </w:tcPr>
          <w:p>
            <w:pPr>
              <w:pStyle w:val="17"/>
              <w:adjustRightInd/>
              <w:spacing w:line="360" w:lineRule="auto"/>
              <w:jc w:val="center"/>
              <w:rPr>
                <w:rFonts w:ascii="宋体" w:hAnsi="宋体" w:cs="宋体"/>
                <w:b/>
                <w:bCs w:val="0"/>
                <w:color w:val="auto"/>
                <w:kern w:val="2"/>
                <w:highlight w:val="none"/>
              </w:rPr>
            </w:pPr>
            <w:r>
              <w:rPr>
                <w:rFonts w:hint="eastAsia" w:ascii="宋体" w:hAnsi="宋体" w:cs="宋体"/>
                <w:b/>
                <w:bCs w:val="0"/>
                <w:color w:val="auto"/>
                <w:kern w:val="2"/>
                <w:highlight w:val="none"/>
              </w:rPr>
              <w:t>中低</w:t>
            </w:r>
          </w:p>
        </w:tc>
        <w:tc>
          <w:tcPr>
            <w:tcW w:w="4755" w:type="dxa"/>
            <w:noWrap w:val="0"/>
            <w:vAlign w:val="top"/>
          </w:tcPr>
          <w:p>
            <w:pPr>
              <w:pStyle w:val="17"/>
              <w:adjustRightInd/>
              <w:spacing w:line="360" w:lineRule="auto"/>
              <w:jc w:val="center"/>
              <w:rPr>
                <w:rFonts w:ascii="宋体" w:hAnsi="宋体" w:cs="宋体"/>
                <w:b/>
                <w:bCs w:val="0"/>
                <w:color w:val="auto"/>
                <w:kern w:val="2"/>
                <w:highlight w:val="none"/>
              </w:rPr>
            </w:pPr>
            <w:r>
              <w:rPr>
                <w:rFonts w:hint="eastAsia" w:ascii="宋体" w:hAnsi="宋体" w:cs="宋体"/>
                <w:b/>
                <w:bCs w:val="0"/>
                <w:color w:val="auto"/>
                <w:kern w:val="2"/>
                <w:highlight w:val="none"/>
              </w:rPr>
              <w:t>稳健型</w:t>
            </w:r>
            <w:r>
              <w:rPr>
                <w:rFonts w:hint="eastAsia" w:ascii="宋体" w:hAnsi="宋体" w:cs="宋体"/>
                <w:b/>
                <w:bCs w:val="0"/>
                <w:color w:val="auto"/>
                <w:kern w:val="2"/>
                <w:highlight w:val="none"/>
                <w:lang w:eastAsia="zh-CN"/>
              </w:rPr>
              <w:t>、</w:t>
            </w:r>
            <w:r>
              <w:rPr>
                <w:rFonts w:hint="eastAsia" w:ascii="宋体" w:hAnsi="宋体" w:cs="宋体"/>
                <w:b/>
                <w:bCs w:val="0"/>
                <w:color w:val="auto"/>
                <w:kern w:val="2"/>
                <w:highlight w:val="none"/>
              </w:rPr>
              <w:t>平衡型</w:t>
            </w:r>
            <w:r>
              <w:rPr>
                <w:rFonts w:hint="eastAsia" w:ascii="宋体" w:hAnsi="宋体" w:cs="宋体"/>
                <w:b/>
                <w:bCs w:val="0"/>
                <w:color w:val="auto"/>
                <w:kern w:val="2"/>
                <w:highlight w:val="none"/>
                <w:lang w:eastAsia="zh-CN"/>
              </w:rPr>
              <w:t>、成长</w:t>
            </w:r>
            <w:r>
              <w:rPr>
                <w:rFonts w:hint="eastAsia" w:ascii="宋体" w:hAnsi="宋体" w:cs="宋体"/>
                <w:b/>
                <w:bCs w:val="0"/>
                <w:color w:val="auto"/>
                <w:kern w:val="2"/>
                <w:highlight w:val="none"/>
              </w:rPr>
              <w:t>型</w:t>
            </w:r>
            <w:r>
              <w:rPr>
                <w:rFonts w:hint="eastAsia" w:ascii="宋体" w:hAnsi="宋体" w:cs="宋体"/>
                <w:b/>
                <w:bCs w:val="0"/>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 w:val="0"/>
                <w:bCs/>
                <w:color w:val="auto"/>
                <w:kern w:val="2"/>
                <w:highlight w:val="none"/>
              </w:rPr>
            </w:pPr>
            <w:r>
              <w:rPr>
                <w:rFonts w:hint="eastAsia" w:ascii="宋体" w:hAnsi="宋体" w:cs="宋体"/>
                <w:b w:val="0"/>
                <w:bCs/>
                <w:color w:val="auto"/>
                <w:kern w:val="2"/>
                <w:highlight w:val="none"/>
              </w:rPr>
              <w:t>R3</w:t>
            </w:r>
          </w:p>
        </w:tc>
        <w:tc>
          <w:tcPr>
            <w:tcW w:w="1382" w:type="dxa"/>
            <w:noWrap w:val="0"/>
            <w:vAlign w:val="top"/>
          </w:tcPr>
          <w:p>
            <w:pPr>
              <w:pStyle w:val="17"/>
              <w:adjustRightInd/>
              <w:spacing w:line="360" w:lineRule="auto"/>
              <w:jc w:val="center"/>
              <w:rPr>
                <w:rFonts w:ascii="宋体" w:hAnsi="宋体" w:cs="宋体"/>
                <w:b w:val="0"/>
                <w:bCs/>
                <w:color w:val="auto"/>
                <w:kern w:val="2"/>
                <w:highlight w:val="none"/>
              </w:rPr>
            </w:pPr>
            <w:r>
              <w:rPr>
                <w:rFonts w:hint="eastAsia" w:ascii="宋体" w:hAnsi="宋体" w:cs="宋体"/>
                <w:b w:val="0"/>
                <w:bCs/>
                <w:color w:val="auto"/>
                <w:kern w:val="2"/>
                <w:highlight w:val="none"/>
              </w:rPr>
              <w:t>中</w:t>
            </w:r>
          </w:p>
        </w:tc>
        <w:tc>
          <w:tcPr>
            <w:tcW w:w="4755" w:type="dxa"/>
            <w:noWrap w:val="0"/>
            <w:vAlign w:val="top"/>
          </w:tcPr>
          <w:p>
            <w:pPr>
              <w:pStyle w:val="17"/>
              <w:adjustRightInd/>
              <w:spacing w:line="360" w:lineRule="auto"/>
              <w:jc w:val="center"/>
              <w:rPr>
                <w:rFonts w:ascii="宋体" w:hAnsi="宋体" w:cs="宋体"/>
                <w:b w:val="0"/>
                <w:bCs/>
                <w:color w:val="auto"/>
                <w:kern w:val="2"/>
                <w:highlight w:val="none"/>
              </w:rPr>
            </w:pPr>
            <w:r>
              <w:rPr>
                <w:rFonts w:hint="eastAsia" w:ascii="宋体" w:hAnsi="宋体" w:cs="宋体"/>
                <w:b w:val="0"/>
                <w:bCs/>
                <w:color w:val="auto"/>
                <w:kern w:val="2"/>
                <w:highlight w:val="none"/>
              </w:rPr>
              <w:t>平衡型</w:t>
            </w:r>
            <w:r>
              <w:rPr>
                <w:rFonts w:hint="eastAsia" w:ascii="宋体" w:hAnsi="宋体" w:cs="宋体"/>
                <w:b w:val="0"/>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adjustRightInd/>
              <w:spacing w:line="360" w:lineRule="auto"/>
              <w:jc w:val="center"/>
              <w:rPr>
                <w:rFonts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ascii="宋体" w:hAnsi="宋体" w:cs="宋体"/>
          <w:bCs/>
          <w:color w:val="auto"/>
          <w:kern w:val="2"/>
          <w:highlight w:val="none"/>
        </w:rPr>
      </w:pPr>
      <w:r>
        <w:rPr>
          <w:rFonts w:hint="eastAsia" w:ascii="宋体" w:hAnsi="宋体" w:cs="宋体"/>
          <w:bCs/>
          <w:color w:val="auto"/>
          <w:kern w:val="2"/>
          <w:highlight w:val="none"/>
        </w:rPr>
        <w:t>投资者风险承受能力评级水平以销售机构评估为准。</w:t>
      </w:r>
    </w:p>
    <w:p>
      <w:pPr>
        <w:pStyle w:val="17"/>
        <w:adjustRightInd/>
        <w:spacing w:line="360" w:lineRule="auto"/>
        <w:rPr>
          <w:rFonts w:hint="eastAsia" w:ascii="宋体" w:hAnsi="宋体" w:cs="宋体"/>
          <w:b/>
          <w:color w:val="auto"/>
          <w:kern w:val="2"/>
          <w:highlight w:val="none"/>
        </w:rPr>
      </w:pPr>
    </w:p>
    <w:p>
      <w:pPr>
        <w:pStyle w:val="17"/>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widowControl/>
              <w:spacing w:line="360" w:lineRule="auto"/>
              <w:contextualSpacing/>
              <w:rPr>
                <w:rFonts w:hint="eastAsia" w:ascii="宋体" w:hAnsi="宋体" w:eastAsia="宋体" w:cs="宋体"/>
                <w:color w:val="000000"/>
                <w:sz w:val="21"/>
                <w:szCs w:val="21"/>
                <w:highlight w:val="none"/>
                <w:lang w:eastAsia="zh-CN"/>
              </w:rPr>
            </w:pPr>
            <w:r>
              <w:rPr>
                <w:rFonts w:hint="eastAsia" w:ascii="宋体" w:hAnsi="宋体" w:cs="宋体"/>
                <w:sz w:val="21"/>
                <w:szCs w:val="21"/>
                <w:highlight w:val="none"/>
                <w:lang w:eastAsia="zh-CN"/>
              </w:rPr>
              <w:t>幸福99添益(安享优选)90天持有期2期理财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widowControl/>
              <w:spacing w:line="360" w:lineRule="auto"/>
              <w:contextualSpacing/>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添益(安享优选)90天持有期2期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TYGC90D2406</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本理财计划在全国银行业理财信息登记系统的登记编码是〖Z7002224000113〗，投资者可依据该编码在“中国理财网（www.chinawealth.com.cn）”查询本理财计划信息。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widowControl/>
              <w:spacing w:line="360" w:lineRule="auto"/>
              <w:contextualSpacing/>
              <w:rPr>
                <w:rFonts w:hint="eastAsia" w:ascii="宋体" w:hAnsi="宋体" w:cs="宋体"/>
                <w:b w:val="0"/>
                <w:bCs/>
                <w:color w:val="000000"/>
                <w:sz w:val="21"/>
                <w:szCs w:val="21"/>
                <w:highlight w:val="none"/>
                <w:lang w:val="en-US" w:eastAsia="zh-CN"/>
              </w:rPr>
            </w:pPr>
            <w:r>
              <w:rPr>
                <w:rFonts w:hint="eastAsia" w:ascii="宋体" w:hAnsi="宋体" w:cs="宋体"/>
                <w:color w:val="000000"/>
                <w:sz w:val="21"/>
                <w:szCs w:val="21"/>
                <w:highlight w:val="none"/>
              </w:rPr>
              <w:t>本理财计划适合</w:t>
            </w:r>
            <w:r>
              <w:rPr>
                <w:rFonts w:hint="eastAsia" w:ascii="宋体" w:hAnsi="宋体" w:cs="宋体"/>
                <w:b/>
                <w:sz w:val="21"/>
                <w:szCs w:val="21"/>
                <w:highlight w:val="none"/>
              </w:rPr>
              <w:t>〖</w:t>
            </w:r>
            <w:r>
              <w:rPr>
                <w:rFonts w:hint="eastAsia" w:ascii="宋体" w:hAnsi="宋体" w:cs="宋体"/>
                <w:b/>
                <w:color w:val="000000"/>
                <w:sz w:val="21"/>
                <w:szCs w:val="21"/>
                <w:highlight w:val="none"/>
              </w:rPr>
              <w:t>机构投资者</w:t>
            </w:r>
            <w:r>
              <w:rPr>
                <w:rFonts w:hint="eastAsia" w:ascii="宋体" w:hAnsi="宋体" w:cs="宋体"/>
                <w:b/>
                <w:sz w:val="21"/>
                <w:szCs w:val="21"/>
                <w:highlight w:val="none"/>
              </w:rPr>
              <w:t>〗</w:t>
            </w:r>
            <w:r>
              <w:rPr>
                <w:rFonts w:hint="eastAsia" w:ascii="宋体" w:hAnsi="宋体" w:cs="宋体"/>
                <w:b/>
                <w:color w:val="000000"/>
                <w:sz w:val="21"/>
                <w:szCs w:val="21"/>
                <w:highlight w:val="none"/>
              </w:rPr>
              <w:t>以及〖</w:t>
            </w:r>
            <w:r>
              <w:rPr>
                <w:rFonts w:hint="eastAsia" w:ascii="宋体" w:hAnsi="宋体" w:cs="宋体"/>
                <w:b/>
                <w:color w:val="000000"/>
                <w:sz w:val="21"/>
                <w:szCs w:val="21"/>
                <w:highlight w:val="none"/>
                <w:lang w:val="en-US" w:eastAsia="zh-CN"/>
              </w:rPr>
              <w:t>稳健型、</w:t>
            </w:r>
            <w:r>
              <w:rPr>
                <w:rFonts w:hint="eastAsia" w:ascii="宋体" w:hAnsi="宋体" w:cs="宋体"/>
                <w:b/>
                <w:color w:val="000000"/>
                <w:sz w:val="21"/>
                <w:szCs w:val="21"/>
                <w:highlight w:val="none"/>
              </w:rPr>
              <w:t>平衡型、成长型、进取型〗的个人投资者。</w:t>
            </w:r>
            <w:r>
              <w:rPr>
                <w:rFonts w:hint="eastAsia" w:ascii="宋体" w:hAnsi="宋体" w:cs="宋体"/>
                <w:bCs w:val="0"/>
                <w:color w:val="000000"/>
                <w:sz w:val="21"/>
                <w:szCs w:val="21"/>
                <w:highlight w:val="none"/>
              </w:rPr>
              <w:t>投资者风险承受能力评级水平以销售机构评估为准</w:t>
            </w:r>
            <w:r>
              <w:rPr>
                <w:rFonts w:hint="eastAsia" w:ascii="宋体" w:hAnsi="宋体" w:cs="宋体"/>
                <w:b w:val="0"/>
                <w:bCs/>
                <w:color w:val="000000"/>
                <w:sz w:val="21"/>
                <w:szCs w:val="21"/>
                <w:highlight w:val="none"/>
                <w:lang w:val="en-US" w:eastAsia="zh-CN"/>
              </w:rPr>
              <w:t>。</w:t>
            </w:r>
          </w:p>
          <w:p>
            <w:pPr>
              <w:widowControl/>
              <w:spacing w:line="360" w:lineRule="auto"/>
              <w:contextualSpacing/>
              <w:rPr>
                <w:rFonts w:hint="eastAsia" w:ascii="宋体" w:hAnsi="宋体" w:cs="宋体"/>
                <w:bCs/>
                <w:sz w:val="21"/>
                <w:szCs w:val="21"/>
              </w:rPr>
            </w:pPr>
            <w:r>
              <w:rPr>
                <w:rFonts w:hint="eastAsia" w:ascii="宋体" w:hAnsi="宋体" w:cs="宋体"/>
                <w:bCs/>
                <w:sz w:val="21"/>
                <w:szCs w:val="21"/>
              </w:rPr>
              <w:t>其中：</w:t>
            </w:r>
          </w:p>
          <w:p>
            <w:pPr>
              <w:widowControl/>
              <w:spacing w:line="360" w:lineRule="auto"/>
              <w:contextualSpacing/>
              <w:rPr>
                <w:rFonts w:hint="eastAsia" w:ascii="宋体" w:hAnsi="宋体" w:cs="宋体"/>
                <w:bCs/>
                <w:sz w:val="21"/>
                <w:szCs w:val="21"/>
              </w:rPr>
            </w:pPr>
            <w:r>
              <w:rPr>
                <w:rFonts w:hint="eastAsia" w:ascii="宋体" w:hAnsi="宋体" w:cs="宋体"/>
                <w:bCs/>
                <w:sz w:val="21"/>
                <w:szCs w:val="21"/>
              </w:rPr>
              <w:t>A份额（销售代码</w:t>
            </w:r>
            <w:r>
              <w:rPr>
                <w:rFonts w:hint="eastAsia" w:ascii="宋体" w:hAnsi="宋体" w:cs="宋体"/>
                <w:b w:val="0"/>
                <w:bCs/>
                <w:sz w:val="21"/>
                <w:szCs w:val="21"/>
                <w:highlight w:val="none"/>
              </w:rPr>
              <w:t>〖</w:t>
            </w:r>
            <w:r>
              <w:rPr>
                <w:rFonts w:hint="eastAsia" w:ascii="宋体" w:hAnsi="宋体" w:cs="宋体"/>
                <w:b w:val="0"/>
                <w:bCs/>
                <w:sz w:val="21"/>
                <w:szCs w:val="21"/>
              </w:rPr>
              <w:t>TY</w:t>
            </w:r>
            <w:r>
              <w:rPr>
                <w:rFonts w:ascii="宋体" w:hAnsi="宋体" w:cs="宋体"/>
                <w:b w:val="0"/>
                <w:bCs/>
                <w:sz w:val="21"/>
                <w:szCs w:val="21"/>
              </w:rPr>
              <w:t>G</w:t>
            </w:r>
            <w:r>
              <w:rPr>
                <w:rFonts w:hint="eastAsia" w:ascii="宋体" w:hAnsi="宋体" w:cs="宋体"/>
                <w:b w:val="0"/>
                <w:bCs/>
                <w:sz w:val="21"/>
                <w:szCs w:val="21"/>
                <w:lang w:val="en-US" w:eastAsia="zh-CN"/>
              </w:rPr>
              <w:t>C90D2406A</w:t>
            </w:r>
            <w:r>
              <w:rPr>
                <w:rFonts w:hint="eastAsia" w:ascii="宋体" w:hAnsi="宋体" w:cs="宋体"/>
                <w:b w:val="0"/>
                <w:bCs/>
                <w:sz w:val="21"/>
                <w:szCs w:val="21"/>
                <w:highlight w:val="none"/>
              </w:rPr>
              <w:t>〗</w:t>
            </w:r>
            <w:r>
              <w:rPr>
                <w:rFonts w:ascii="宋体" w:hAnsi="宋体" w:cs="宋体"/>
                <w:bCs/>
                <w:sz w:val="21"/>
                <w:szCs w:val="21"/>
              </w:rPr>
              <w:t>）</w:t>
            </w:r>
            <w:r>
              <w:rPr>
                <w:rFonts w:hint="eastAsia" w:ascii="宋体" w:hAnsi="宋体" w:cs="宋体"/>
                <w:bCs/>
                <w:sz w:val="21"/>
                <w:szCs w:val="21"/>
              </w:rPr>
              <w:t>：面向</w:t>
            </w:r>
            <w:r>
              <w:rPr>
                <w:rFonts w:ascii="宋体" w:hAnsi="宋体" w:cs="宋体"/>
                <w:bCs/>
                <w:sz w:val="21"/>
                <w:szCs w:val="21"/>
              </w:rPr>
              <w:t>普通</w:t>
            </w:r>
            <w:r>
              <w:rPr>
                <w:rFonts w:hint="eastAsia" w:ascii="宋体" w:hAnsi="宋体" w:cs="宋体"/>
                <w:bCs/>
                <w:sz w:val="21"/>
                <w:szCs w:val="21"/>
              </w:rPr>
              <w:t>个人投资者和机构客户发售。</w:t>
            </w:r>
          </w:p>
          <w:p>
            <w:pPr>
              <w:widowControl/>
              <w:spacing w:line="360" w:lineRule="auto"/>
              <w:contextualSpacing/>
              <w:rPr>
                <w:rFonts w:hint="eastAsia" w:ascii="宋体" w:hAnsi="宋体" w:cs="宋体"/>
                <w:bCs/>
                <w:sz w:val="21"/>
                <w:szCs w:val="21"/>
              </w:rPr>
            </w:pPr>
            <w:r>
              <w:rPr>
                <w:rFonts w:hint="eastAsia" w:ascii="宋体" w:hAnsi="宋体" w:cs="宋体"/>
                <w:bCs/>
                <w:sz w:val="21"/>
                <w:szCs w:val="21"/>
                <w:lang w:val="en-US" w:eastAsia="zh-CN"/>
              </w:rPr>
              <w:t>B份额（</w:t>
            </w:r>
            <w:r>
              <w:rPr>
                <w:rFonts w:hint="eastAsia" w:ascii="宋体" w:hAnsi="宋体" w:cs="宋体"/>
                <w:bCs/>
                <w:sz w:val="21"/>
                <w:szCs w:val="21"/>
              </w:rPr>
              <w:t>销售代码</w:t>
            </w:r>
            <w:r>
              <w:rPr>
                <w:rFonts w:hint="eastAsia" w:ascii="宋体" w:hAnsi="宋体" w:cs="宋体"/>
                <w:b w:val="0"/>
                <w:bCs/>
                <w:sz w:val="21"/>
                <w:szCs w:val="21"/>
                <w:highlight w:val="none"/>
              </w:rPr>
              <w:t>〖</w:t>
            </w:r>
            <w:r>
              <w:rPr>
                <w:rFonts w:hint="eastAsia" w:ascii="宋体" w:hAnsi="宋体" w:cs="宋体"/>
                <w:b w:val="0"/>
                <w:bCs/>
                <w:sz w:val="21"/>
                <w:szCs w:val="21"/>
              </w:rPr>
              <w:t>TY</w:t>
            </w:r>
            <w:r>
              <w:rPr>
                <w:rFonts w:ascii="宋体" w:hAnsi="宋体" w:cs="宋体"/>
                <w:b w:val="0"/>
                <w:bCs/>
                <w:sz w:val="21"/>
                <w:szCs w:val="21"/>
              </w:rPr>
              <w:t>G</w:t>
            </w:r>
            <w:r>
              <w:rPr>
                <w:rFonts w:hint="eastAsia" w:ascii="宋体" w:hAnsi="宋体" w:cs="宋体"/>
                <w:b w:val="0"/>
                <w:bCs/>
                <w:sz w:val="21"/>
                <w:szCs w:val="21"/>
                <w:lang w:val="en-US" w:eastAsia="zh-CN"/>
              </w:rPr>
              <w:t>C90D2406B</w:t>
            </w:r>
            <w:r>
              <w:rPr>
                <w:rFonts w:hint="eastAsia" w:ascii="宋体" w:hAnsi="宋体" w:cs="宋体"/>
                <w:b w:val="0"/>
                <w:bCs/>
                <w:sz w:val="21"/>
                <w:szCs w:val="21"/>
                <w:highlight w:val="none"/>
              </w:rPr>
              <w:t>〗</w:t>
            </w:r>
            <w:r>
              <w:rPr>
                <w:rFonts w:hint="eastAsia" w:ascii="宋体" w:hAnsi="宋体" w:cs="宋体"/>
                <w:bCs/>
                <w:sz w:val="21"/>
                <w:szCs w:val="21"/>
                <w:lang w:val="en-US" w:eastAsia="zh-CN"/>
              </w:rPr>
              <w:t>）</w:t>
            </w:r>
            <w:r>
              <w:rPr>
                <w:rFonts w:hint="eastAsia" w:ascii="宋体" w:hAnsi="宋体" w:cs="宋体"/>
                <w:bCs/>
                <w:sz w:val="21"/>
                <w:szCs w:val="21"/>
              </w:rPr>
              <w:t>：面向</w:t>
            </w:r>
            <w:r>
              <w:rPr>
                <w:rFonts w:ascii="宋体" w:hAnsi="宋体" w:cs="宋体"/>
                <w:bCs/>
                <w:sz w:val="21"/>
                <w:szCs w:val="21"/>
              </w:rPr>
              <w:t>普通</w:t>
            </w:r>
            <w:r>
              <w:rPr>
                <w:rFonts w:hint="eastAsia" w:ascii="宋体" w:hAnsi="宋体" w:cs="宋体"/>
                <w:bCs/>
                <w:sz w:val="21"/>
                <w:szCs w:val="21"/>
              </w:rPr>
              <w:t>个人投资者和机构客户发售。</w:t>
            </w:r>
          </w:p>
          <w:p>
            <w:pPr>
              <w:widowControl/>
              <w:spacing w:line="360" w:lineRule="auto"/>
              <w:contextualSpacing/>
              <w:rPr>
                <w:rFonts w:hint="eastAsia" w:ascii="宋体" w:hAnsi="宋体" w:cs="宋体"/>
                <w:bCs/>
                <w:sz w:val="21"/>
                <w:szCs w:val="21"/>
              </w:rPr>
            </w:pPr>
            <w:r>
              <w:rPr>
                <w:rFonts w:hint="eastAsia" w:ascii="宋体" w:hAnsi="宋体" w:cs="宋体"/>
                <w:bCs/>
                <w:sz w:val="21"/>
                <w:szCs w:val="21"/>
                <w:lang w:val="en-US" w:eastAsia="zh-CN"/>
              </w:rPr>
              <w:t>C份额（</w:t>
            </w:r>
            <w:r>
              <w:rPr>
                <w:rFonts w:hint="eastAsia" w:ascii="宋体" w:hAnsi="宋体" w:cs="宋体"/>
                <w:bCs/>
                <w:sz w:val="21"/>
                <w:szCs w:val="21"/>
              </w:rPr>
              <w:t>销售代码</w:t>
            </w:r>
            <w:r>
              <w:rPr>
                <w:rFonts w:hint="eastAsia" w:ascii="宋体" w:hAnsi="宋体" w:cs="宋体"/>
                <w:b w:val="0"/>
                <w:bCs/>
                <w:sz w:val="21"/>
                <w:szCs w:val="21"/>
                <w:highlight w:val="none"/>
              </w:rPr>
              <w:t>〖</w:t>
            </w:r>
            <w:r>
              <w:rPr>
                <w:rFonts w:hint="eastAsia" w:ascii="宋体" w:hAnsi="宋体" w:cs="宋体"/>
                <w:b w:val="0"/>
                <w:bCs/>
                <w:sz w:val="21"/>
                <w:szCs w:val="21"/>
              </w:rPr>
              <w:t>TY</w:t>
            </w:r>
            <w:r>
              <w:rPr>
                <w:rFonts w:ascii="宋体" w:hAnsi="宋体" w:cs="宋体"/>
                <w:b w:val="0"/>
                <w:bCs/>
                <w:sz w:val="21"/>
                <w:szCs w:val="21"/>
              </w:rPr>
              <w:t>G</w:t>
            </w:r>
            <w:r>
              <w:rPr>
                <w:rFonts w:hint="eastAsia" w:ascii="宋体" w:hAnsi="宋体" w:cs="宋体"/>
                <w:b w:val="0"/>
                <w:bCs/>
                <w:sz w:val="21"/>
                <w:szCs w:val="21"/>
                <w:lang w:val="en-US" w:eastAsia="zh-CN"/>
              </w:rPr>
              <w:t>C90D2406C</w:t>
            </w:r>
            <w:r>
              <w:rPr>
                <w:rFonts w:hint="eastAsia" w:ascii="宋体" w:hAnsi="宋体" w:cs="宋体"/>
                <w:b w:val="0"/>
                <w:bCs/>
                <w:sz w:val="21"/>
                <w:szCs w:val="21"/>
                <w:highlight w:val="none"/>
              </w:rPr>
              <w:t>〗</w:t>
            </w:r>
            <w:r>
              <w:rPr>
                <w:rFonts w:hint="eastAsia" w:ascii="宋体" w:hAnsi="宋体" w:cs="宋体"/>
                <w:bCs/>
                <w:sz w:val="21"/>
                <w:szCs w:val="21"/>
                <w:lang w:val="en-US" w:eastAsia="zh-CN"/>
              </w:rPr>
              <w:t>）</w:t>
            </w:r>
            <w:r>
              <w:rPr>
                <w:rFonts w:hint="eastAsia" w:ascii="宋体" w:hAnsi="宋体" w:cs="宋体"/>
                <w:bCs/>
                <w:sz w:val="21"/>
                <w:szCs w:val="21"/>
              </w:rPr>
              <w:t>：面向</w:t>
            </w:r>
            <w:r>
              <w:rPr>
                <w:rFonts w:ascii="宋体" w:hAnsi="宋体" w:cs="宋体"/>
                <w:bCs/>
                <w:sz w:val="21"/>
                <w:szCs w:val="21"/>
              </w:rPr>
              <w:t>普通</w:t>
            </w:r>
            <w:r>
              <w:rPr>
                <w:rFonts w:hint="eastAsia" w:ascii="宋体" w:hAnsi="宋体" w:cs="宋体"/>
                <w:bCs/>
                <w:sz w:val="21"/>
                <w:szCs w:val="21"/>
              </w:rPr>
              <w:t>个人投资者和机构客户发售。</w:t>
            </w:r>
          </w:p>
          <w:p>
            <w:pPr>
              <w:widowControl/>
              <w:spacing w:line="360" w:lineRule="auto"/>
              <w:contextualSpacing/>
              <w:rPr>
                <w:rFonts w:hint="eastAsia" w:ascii="宋体" w:hAnsi="宋体" w:cs="宋体"/>
                <w:bCs/>
                <w:sz w:val="21"/>
                <w:szCs w:val="21"/>
              </w:rPr>
            </w:pPr>
            <w:r>
              <w:rPr>
                <w:rFonts w:hint="eastAsia" w:ascii="宋体" w:hAnsi="宋体" w:cs="宋体"/>
                <w:bCs/>
                <w:sz w:val="21"/>
                <w:szCs w:val="21"/>
                <w:lang w:val="en-US" w:eastAsia="zh-CN"/>
              </w:rPr>
              <w:t>D份额（</w:t>
            </w:r>
            <w:r>
              <w:rPr>
                <w:rFonts w:hint="eastAsia" w:ascii="宋体" w:hAnsi="宋体" w:cs="宋体"/>
                <w:bCs/>
                <w:sz w:val="21"/>
                <w:szCs w:val="21"/>
              </w:rPr>
              <w:t>销售代码</w:t>
            </w:r>
            <w:r>
              <w:rPr>
                <w:rFonts w:hint="eastAsia" w:ascii="宋体" w:hAnsi="宋体" w:cs="宋体"/>
                <w:b w:val="0"/>
                <w:bCs/>
                <w:sz w:val="21"/>
                <w:szCs w:val="21"/>
                <w:highlight w:val="none"/>
              </w:rPr>
              <w:t>〖</w:t>
            </w:r>
            <w:r>
              <w:rPr>
                <w:rFonts w:hint="eastAsia" w:ascii="宋体" w:hAnsi="宋体" w:cs="宋体"/>
                <w:b w:val="0"/>
                <w:bCs/>
                <w:sz w:val="21"/>
                <w:szCs w:val="21"/>
              </w:rPr>
              <w:t>TY</w:t>
            </w:r>
            <w:r>
              <w:rPr>
                <w:rFonts w:ascii="宋体" w:hAnsi="宋体" w:cs="宋体"/>
                <w:b w:val="0"/>
                <w:bCs/>
                <w:sz w:val="21"/>
                <w:szCs w:val="21"/>
              </w:rPr>
              <w:t>G</w:t>
            </w:r>
            <w:r>
              <w:rPr>
                <w:rFonts w:hint="eastAsia" w:ascii="宋体" w:hAnsi="宋体" w:cs="宋体"/>
                <w:b w:val="0"/>
                <w:bCs/>
                <w:sz w:val="21"/>
                <w:szCs w:val="21"/>
                <w:lang w:val="en-US" w:eastAsia="zh-CN"/>
              </w:rPr>
              <w:t>C90D2406D</w:t>
            </w:r>
            <w:r>
              <w:rPr>
                <w:rFonts w:hint="eastAsia" w:ascii="宋体" w:hAnsi="宋体" w:cs="宋体"/>
                <w:b w:val="0"/>
                <w:bCs/>
                <w:sz w:val="21"/>
                <w:szCs w:val="21"/>
                <w:highlight w:val="none"/>
              </w:rPr>
              <w:t>〗</w:t>
            </w:r>
            <w:r>
              <w:rPr>
                <w:rFonts w:hint="eastAsia" w:ascii="宋体" w:hAnsi="宋体" w:cs="宋体"/>
                <w:bCs/>
                <w:sz w:val="21"/>
                <w:szCs w:val="21"/>
                <w:lang w:val="en-US" w:eastAsia="zh-CN"/>
              </w:rPr>
              <w:t>）</w:t>
            </w:r>
            <w:r>
              <w:rPr>
                <w:rFonts w:hint="eastAsia" w:ascii="宋体" w:hAnsi="宋体" w:cs="宋体"/>
                <w:bCs/>
                <w:sz w:val="21"/>
                <w:szCs w:val="21"/>
              </w:rPr>
              <w:t>：面向</w:t>
            </w:r>
            <w:r>
              <w:rPr>
                <w:rFonts w:ascii="宋体" w:hAnsi="宋体" w:cs="宋体"/>
                <w:bCs/>
                <w:sz w:val="21"/>
                <w:szCs w:val="21"/>
              </w:rPr>
              <w:t>普通</w:t>
            </w:r>
            <w:r>
              <w:rPr>
                <w:rFonts w:hint="eastAsia" w:ascii="宋体" w:hAnsi="宋体" w:cs="宋体"/>
                <w:bCs/>
                <w:sz w:val="21"/>
                <w:szCs w:val="21"/>
              </w:rPr>
              <w:t>个人投资者和机构客户发售。</w:t>
            </w:r>
          </w:p>
          <w:p>
            <w:pPr>
              <w:widowControl/>
              <w:spacing w:line="360" w:lineRule="auto"/>
              <w:contextualSpacing/>
              <w:rPr>
                <w:rFonts w:hint="eastAsia" w:ascii="宋体" w:hAnsi="宋体" w:cs="宋体"/>
                <w:bCs/>
                <w:sz w:val="21"/>
                <w:szCs w:val="21"/>
              </w:rPr>
            </w:pPr>
            <w:r>
              <w:rPr>
                <w:rFonts w:hint="eastAsia" w:ascii="宋体" w:hAnsi="宋体" w:cs="宋体"/>
                <w:bCs/>
                <w:sz w:val="21"/>
                <w:szCs w:val="21"/>
                <w:lang w:val="en-US" w:eastAsia="zh-CN"/>
              </w:rPr>
              <w:t>W份额（</w:t>
            </w:r>
            <w:r>
              <w:rPr>
                <w:rFonts w:hint="eastAsia" w:ascii="宋体" w:hAnsi="宋体" w:cs="宋体"/>
                <w:bCs/>
                <w:sz w:val="21"/>
                <w:szCs w:val="21"/>
              </w:rPr>
              <w:t>销售代码</w:t>
            </w:r>
            <w:r>
              <w:rPr>
                <w:rFonts w:hint="eastAsia" w:ascii="宋体" w:hAnsi="宋体" w:cs="宋体"/>
                <w:b w:val="0"/>
                <w:bCs/>
                <w:sz w:val="21"/>
                <w:szCs w:val="21"/>
                <w:highlight w:val="none"/>
              </w:rPr>
              <w:t>〖</w:t>
            </w:r>
            <w:r>
              <w:rPr>
                <w:rFonts w:hint="eastAsia" w:ascii="宋体" w:hAnsi="宋体" w:cs="宋体"/>
                <w:b w:val="0"/>
                <w:bCs/>
                <w:sz w:val="21"/>
                <w:szCs w:val="21"/>
              </w:rPr>
              <w:t>TY</w:t>
            </w:r>
            <w:r>
              <w:rPr>
                <w:rFonts w:ascii="宋体" w:hAnsi="宋体" w:cs="宋体"/>
                <w:b w:val="0"/>
                <w:bCs/>
                <w:sz w:val="21"/>
                <w:szCs w:val="21"/>
              </w:rPr>
              <w:t>G</w:t>
            </w:r>
            <w:r>
              <w:rPr>
                <w:rFonts w:hint="eastAsia" w:ascii="宋体" w:hAnsi="宋体" w:cs="宋体"/>
                <w:b w:val="0"/>
                <w:bCs/>
                <w:sz w:val="21"/>
                <w:szCs w:val="21"/>
                <w:lang w:val="en-US" w:eastAsia="zh-CN"/>
              </w:rPr>
              <w:t>C90D2406W</w:t>
            </w:r>
            <w:r>
              <w:rPr>
                <w:rFonts w:hint="eastAsia" w:ascii="宋体" w:hAnsi="宋体" w:cs="宋体"/>
                <w:b w:val="0"/>
                <w:bCs/>
                <w:sz w:val="21"/>
                <w:szCs w:val="21"/>
                <w:highlight w:val="none"/>
              </w:rPr>
              <w:t>〗</w:t>
            </w:r>
            <w:r>
              <w:rPr>
                <w:rFonts w:hint="eastAsia" w:ascii="宋体" w:hAnsi="宋体" w:cs="宋体"/>
                <w:bCs/>
                <w:sz w:val="21"/>
                <w:szCs w:val="21"/>
                <w:lang w:val="en-US" w:eastAsia="zh-CN"/>
              </w:rPr>
              <w:t>）</w:t>
            </w:r>
            <w:r>
              <w:rPr>
                <w:rFonts w:hint="eastAsia" w:ascii="宋体" w:hAnsi="宋体" w:cs="宋体"/>
                <w:bCs/>
                <w:sz w:val="21"/>
                <w:szCs w:val="21"/>
              </w:rPr>
              <w:t>：面向</w:t>
            </w:r>
            <w:r>
              <w:rPr>
                <w:rFonts w:ascii="宋体" w:hAnsi="宋体" w:cs="宋体"/>
                <w:bCs/>
                <w:sz w:val="21"/>
                <w:szCs w:val="21"/>
              </w:rPr>
              <w:t>普通</w:t>
            </w:r>
            <w:r>
              <w:rPr>
                <w:rFonts w:hint="eastAsia" w:ascii="宋体" w:hAnsi="宋体" w:cs="宋体"/>
                <w:bCs/>
                <w:sz w:val="21"/>
                <w:szCs w:val="21"/>
              </w:rPr>
              <w:t>个人投资者和机构客户发售。</w:t>
            </w:r>
          </w:p>
          <w:p>
            <w:pPr>
              <w:widowControl/>
              <w:spacing w:line="360" w:lineRule="auto"/>
              <w:contextualSpacing/>
              <w:rPr>
                <w:rFonts w:hint="default" w:ascii="宋体" w:hAnsi="宋体" w:cs="宋体"/>
                <w:bCs/>
                <w:sz w:val="21"/>
                <w:szCs w:val="21"/>
                <w:lang w:val="en-US" w:eastAsia="zh-CN"/>
              </w:rPr>
            </w:pPr>
            <w:r>
              <w:rPr>
                <w:rFonts w:hint="eastAsia" w:ascii="宋体" w:hAnsi="宋体" w:cs="宋体"/>
                <w:bCs/>
                <w:sz w:val="21"/>
                <w:szCs w:val="21"/>
                <w:lang w:val="en-US" w:eastAsia="zh-CN"/>
              </w:rPr>
              <w:t>P份额</w:t>
            </w:r>
            <w:r>
              <w:rPr>
                <w:rFonts w:hint="eastAsia" w:ascii="宋体" w:hAnsi="宋体" w:cs="宋体"/>
                <w:sz w:val="21"/>
                <w:szCs w:val="21"/>
                <w:highlight w:val="none"/>
                <w:lang w:val="en-US" w:eastAsia="zh-CN"/>
              </w:rPr>
              <w:t>（芙蓉锦程·优选）</w:t>
            </w:r>
            <w:r>
              <w:rPr>
                <w:rFonts w:hint="eastAsia" w:ascii="宋体" w:hAnsi="宋体" w:cs="宋体"/>
                <w:bCs/>
                <w:sz w:val="21"/>
                <w:szCs w:val="21"/>
                <w:lang w:val="en-US" w:eastAsia="zh-CN"/>
              </w:rPr>
              <w:t>（</w:t>
            </w:r>
            <w:r>
              <w:rPr>
                <w:rFonts w:hint="eastAsia" w:ascii="宋体" w:hAnsi="宋体" w:cs="宋体"/>
                <w:bCs/>
                <w:sz w:val="21"/>
                <w:szCs w:val="21"/>
              </w:rPr>
              <w:t>销售代码</w:t>
            </w:r>
            <w:r>
              <w:rPr>
                <w:rFonts w:hint="eastAsia" w:ascii="宋体" w:hAnsi="宋体" w:cs="宋体"/>
                <w:b w:val="0"/>
                <w:bCs/>
                <w:sz w:val="21"/>
                <w:szCs w:val="21"/>
                <w:highlight w:val="none"/>
              </w:rPr>
              <w:t>〖</w:t>
            </w:r>
            <w:r>
              <w:rPr>
                <w:rFonts w:hint="eastAsia" w:ascii="宋体" w:hAnsi="宋体" w:cs="宋体"/>
                <w:b w:val="0"/>
                <w:bCs/>
                <w:sz w:val="21"/>
                <w:szCs w:val="21"/>
              </w:rPr>
              <w:t>TY</w:t>
            </w:r>
            <w:r>
              <w:rPr>
                <w:rFonts w:ascii="宋体" w:hAnsi="宋体" w:cs="宋体"/>
                <w:b w:val="0"/>
                <w:bCs/>
                <w:sz w:val="21"/>
                <w:szCs w:val="21"/>
              </w:rPr>
              <w:t>G</w:t>
            </w:r>
            <w:r>
              <w:rPr>
                <w:rFonts w:hint="eastAsia" w:ascii="宋体" w:hAnsi="宋体" w:cs="宋体"/>
                <w:b w:val="0"/>
                <w:bCs/>
                <w:sz w:val="21"/>
                <w:szCs w:val="21"/>
                <w:lang w:val="en-US" w:eastAsia="zh-CN"/>
              </w:rPr>
              <w:t>C90D2406P</w:t>
            </w:r>
            <w:r>
              <w:rPr>
                <w:rFonts w:hint="eastAsia" w:ascii="宋体" w:hAnsi="宋体" w:cs="宋体"/>
                <w:b w:val="0"/>
                <w:bCs/>
                <w:sz w:val="21"/>
                <w:szCs w:val="21"/>
                <w:highlight w:val="none"/>
              </w:rPr>
              <w:t>〗</w:t>
            </w:r>
            <w:r>
              <w:rPr>
                <w:rFonts w:hint="eastAsia" w:ascii="宋体" w:hAnsi="宋体" w:cs="宋体"/>
                <w:bCs/>
                <w:sz w:val="21"/>
                <w:szCs w:val="21"/>
                <w:lang w:val="en-US" w:eastAsia="zh-CN"/>
              </w:rPr>
              <w:t>）</w:t>
            </w:r>
            <w:r>
              <w:rPr>
                <w:rFonts w:hint="eastAsia" w:ascii="宋体" w:hAnsi="宋体" w:cs="宋体"/>
                <w:bCs/>
                <w:sz w:val="21"/>
                <w:szCs w:val="21"/>
              </w:rPr>
              <w:t>：面向</w:t>
            </w:r>
            <w:r>
              <w:rPr>
                <w:rFonts w:ascii="宋体" w:hAnsi="宋体" w:cs="宋体"/>
                <w:bCs/>
                <w:sz w:val="21"/>
                <w:szCs w:val="21"/>
              </w:rPr>
              <w:t>普通</w:t>
            </w:r>
            <w:r>
              <w:rPr>
                <w:rFonts w:hint="eastAsia" w:ascii="宋体" w:hAnsi="宋体" w:cs="宋体"/>
                <w:bCs/>
                <w:sz w:val="21"/>
                <w:szCs w:val="21"/>
              </w:rPr>
              <w:t>个人投资者和机构客户发售。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固定收益</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分级产品</w:t>
            </w:r>
          </w:p>
        </w:tc>
        <w:tc>
          <w:tcPr>
            <w:tcW w:w="7185" w:type="dxa"/>
            <w:noWrap w:val="0"/>
            <w:vAlign w:val="center"/>
          </w:tcPr>
          <w:p>
            <w:pPr>
              <w:widowControl/>
              <w:spacing w:line="360" w:lineRule="auto"/>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eastAsia="zh-CN"/>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widowControl/>
              <w:spacing w:line="360" w:lineRule="auto"/>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可通过杭银理财直销渠道</w:t>
            </w:r>
            <w:r>
              <w:rPr>
                <w:rFonts w:hint="eastAsia" w:ascii="宋体" w:hAnsi="宋体" w:cs="宋体"/>
                <w:color w:val="000000"/>
                <w:sz w:val="21"/>
                <w:szCs w:val="21"/>
                <w:highlight w:val="none"/>
                <w:lang w:eastAsia="zh-CN"/>
              </w:rPr>
              <w:t>和代理</w:t>
            </w:r>
            <w:r>
              <w:rPr>
                <w:rFonts w:hint="eastAsia" w:ascii="宋体" w:hAnsi="宋体" w:cs="宋体"/>
                <w:color w:val="000000"/>
                <w:sz w:val="21"/>
                <w:szCs w:val="21"/>
                <w:highlight w:val="none"/>
              </w:rPr>
              <w:t>销售机构的〖营业网点、网上银行、手机银行〗等渠道购买</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200</w:t>
            </w:r>
            <w:r>
              <w:rPr>
                <w:rFonts w:hint="eastAsia" w:ascii="宋体" w:hAnsi="宋体" w:cs="宋体"/>
                <w:color w:val="000000"/>
                <w:sz w:val="21"/>
                <w:szCs w:val="21"/>
                <w:highlight w:val="none"/>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2024</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val="en-US" w:eastAsia="zh-CN"/>
              </w:rPr>
              <w:t>2024</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w:t>
            </w:r>
            <w:r>
              <w:rPr>
                <w:rFonts w:hint="eastAsia" w:ascii="宋体" w:hAnsi="宋体" w:cs="宋体"/>
                <w:color w:val="000000"/>
                <w:sz w:val="21"/>
                <w:szCs w:val="21"/>
                <w:highlight w:val="none"/>
                <w:lang w:eastAsia="zh-CN"/>
              </w:rPr>
              <w:t>1</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00</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2024</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封闭期</w:t>
            </w:r>
          </w:p>
        </w:tc>
        <w:tc>
          <w:tcPr>
            <w:tcW w:w="7185" w:type="dxa"/>
            <w:noWrap w:val="0"/>
            <w:vAlign w:val="center"/>
          </w:tcPr>
          <w:p>
            <w:pPr>
              <w:widowControl/>
              <w:spacing w:line="360" w:lineRule="auto"/>
              <w:contextualSpacing/>
              <w:rPr>
                <w:rFonts w:hint="eastAsia" w:ascii="宋体" w:hAnsi="宋体" w:eastAsia="宋体" w:cs="宋体"/>
                <w:sz w:val="21"/>
                <w:szCs w:val="21"/>
                <w:highlight w:val="none"/>
                <w:lang w:eastAsia="zh-CN"/>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2024</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val="en-US" w:eastAsia="zh-CN"/>
              </w:rPr>
              <w:t>2024</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sz w:val="21"/>
                <w:szCs w:val="21"/>
              </w:rPr>
              <w:t>〖</w:t>
            </w:r>
            <w:r>
              <w:rPr>
                <w:rFonts w:hint="eastAsia" w:ascii="宋体" w:hAnsi="宋体" w:cs="宋体"/>
                <w:bCs/>
                <w:sz w:val="21"/>
                <w:szCs w:val="21"/>
              </w:rPr>
              <w:t>A份额</w:t>
            </w:r>
            <w:r>
              <w:rPr>
                <w:rFonts w:hint="eastAsia" w:ascii="宋体" w:hAnsi="宋体" w:cs="宋体"/>
                <w:sz w:val="21"/>
                <w:szCs w:val="21"/>
              </w:rPr>
              <w:t>〗</w:t>
            </w:r>
            <w:r>
              <w:rPr>
                <w:rFonts w:hint="eastAsia" w:ascii="宋体" w:hAnsi="宋体" w:cs="宋体"/>
                <w:color w:val="000000"/>
                <w:sz w:val="21"/>
                <w:szCs w:val="21"/>
                <w:highlight w:val="none"/>
              </w:rPr>
              <w:t>起点</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元整，超过认购/申购起点部分，应为</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元的整数倍</w:t>
            </w:r>
            <w:r>
              <w:rPr>
                <w:rFonts w:hint="eastAsia" w:ascii="宋体" w:hAnsi="宋体" w:cs="宋体"/>
                <w:color w:val="000000"/>
                <w:sz w:val="21"/>
                <w:szCs w:val="21"/>
                <w:highlight w:val="none"/>
                <w:lang w:eastAsia="zh-CN"/>
              </w:rPr>
              <w:t>；</w:t>
            </w:r>
          </w:p>
          <w:p>
            <w:pPr>
              <w:widowControl/>
              <w:spacing w:line="360" w:lineRule="auto"/>
              <w:contextualSpacing/>
              <w:rPr>
                <w:rFonts w:hint="eastAsia" w:ascii="宋体" w:hAnsi="宋体" w:cs="宋体"/>
                <w:color w:val="000000"/>
                <w:sz w:val="21"/>
                <w:szCs w:val="21"/>
                <w:highlight w:val="none"/>
                <w:lang w:eastAsia="zh-CN"/>
              </w:rPr>
            </w:pPr>
            <w:r>
              <w:rPr>
                <w:rFonts w:hint="eastAsia" w:ascii="宋体" w:hAnsi="宋体" w:cs="宋体"/>
                <w:sz w:val="21"/>
                <w:szCs w:val="21"/>
              </w:rPr>
              <w:t>〖</w:t>
            </w:r>
            <w:r>
              <w:rPr>
                <w:rFonts w:hint="eastAsia" w:ascii="宋体" w:hAnsi="宋体" w:cs="宋体"/>
                <w:sz w:val="21"/>
                <w:szCs w:val="21"/>
                <w:lang w:val="en-US" w:eastAsia="zh-CN"/>
              </w:rPr>
              <w:t>B</w:t>
            </w:r>
            <w:r>
              <w:rPr>
                <w:rFonts w:hint="eastAsia" w:ascii="宋体" w:hAnsi="宋体" w:cs="宋体"/>
                <w:bCs/>
                <w:sz w:val="21"/>
                <w:szCs w:val="21"/>
              </w:rPr>
              <w:t>份额</w:t>
            </w:r>
            <w:r>
              <w:rPr>
                <w:rFonts w:hint="eastAsia" w:ascii="宋体" w:hAnsi="宋体" w:cs="宋体"/>
                <w:sz w:val="21"/>
                <w:szCs w:val="21"/>
              </w:rPr>
              <w:t>〗</w:t>
            </w:r>
            <w:r>
              <w:rPr>
                <w:rFonts w:hint="eastAsia" w:ascii="宋体" w:hAnsi="宋体" w:cs="宋体"/>
                <w:color w:val="000000"/>
                <w:sz w:val="21"/>
                <w:szCs w:val="21"/>
                <w:highlight w:val="none"/>
              </w:rPr>
              <w:t>起点</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元整，超过认购/申购起点部分，应为</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元的整数倍</w:t>
            </w:r>
            <w:r>
              <w:rPr>
                <w:rFonts w:hint="eastAsia" w:ascii="宋体" w:hAnsi="宋体" w:cs="宋体"/>
                <w:color w:val="000000"/>
                <w:sz w:val="21"/>
                <w:szCs w:val="21"/>
                <w:highlight w:val="none"/>
                <w:lang w:eastAsia="zh-CN"/>
              </w:rPr>
              <w:t>；</w:t>
            </w:r>
          </w:p>
          <w:p>
            <w:pPr>
              <w:widowControl/>
              <w:spacing w:line="360" w:lineRule="auto"/>
              <w:contextualSpacing/>
              <w:rPr>
                <w:rFonts w:hint="eastAsia" w:ascii="宋体" w:hAnsi="宋体" w:eastAsia="宋体" w:cs="宋体"/>
                <w:color w:val="000000"/>
                <w:sz w:val="21"/>
                <w:szCs w:val="21"/>
                <w:highlight w:val="none"/>
                <w:lang w:eastAsia="zh-CN"/>
              </w:rPr>
            </w:pPr>
            <w:r>
              <w:rPr>
                <w:rFonts w:hint="eastAsia" w:ascii="宋体" w:hAnsi="宋体" w:cs="宋体"/>
                <w:sz w:val="21"/>
                <w:szCs w:val="21"/>
              </w:rPr>
              <w:t>〖</w:t>
            </w:r>
            <w:r>
              <w:rPr>
                <w:rFonts w:hint="eastAsia" w:ascii="宋体" w:hAnsi="宋体" w:cs="宋体"/>
                <w:sz w:val="21"/>
                <w:szCs w:val="21"/>
                <w:lang w:val="en-US" w:eastAsia="zh-CN"/>
              </w:rPr>
              <w:t>C</w:t>
            </w:r>
            <w:r>
              <w:rPr>
                <w:rFonts w:hint="eastAsia" w:ascii="宋体" w:hAnsi="宋体" w:cs="宋体"/>
                <w:bCs/>
                <w:sz w:val="21"/>
                <w:szCs w:val="21"/>
              </w:rPr>
              <w:t>份额</w:t>
            </w:r>
            <w:r>
              <w:rPr>
                <w:rFonts w:hint="eastAsia" w:ascii="宋体" w:hAnsi="宋体" w:cs="宋体"/>
                <w:sz w:val="21"/>
                <w:szCs w:val="21"/>
              </w:rPr>
              <w:t>〗</w:t>
            </w:r>
            <w:r>
              <w:rPr>
                <w:rFonts w:hint="eastAsia" w:ascii="宋体" w:hAnsi="宋体" w:cs="宋体"/>
                <w:color w:val="000000"/>
                <w:sz w:val="21"/>
                <w:szCs w:val="21"/>
                <w:highlight w:val="none"/>
              </w:rPr>
              <w:t>起点</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元整，超过认购/申购起点部分，应为</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元的整数倍</w:t>
            </w:r>
            <w:r>
              <w:rPr>
                <w:rFonts w:hint="eastAsia" w:ascii="宋体" w:hAnsi="宋体" w:cs="宋体"/>
                <w:color w:val="000000"/>
                <w:sz w:val="21"/>
                <w:szCs w:val="21"/>
                <w:highlight w:val="none"/>
                <w:lang w:eastAsia="zh-CN"/>
              </w:rPr>
              <w:t>。</w:t>
            </w:r>
          </w:p>
          <w:p>
            <w:pPr>
              <w:widowControl/>
              <w:spacing w:line="360" w:lineRule="auto"/>
              <w:contextualSpacing/>
              <w:rPr>
                <w:rFonts w:hint="eastAsia" w:ascii="宋体" w:hAnsi="宋体" w:cs="宋体"/>
                <w:color w:val="000000"/>
                <w:kern w:val="0"/>
                <w:sz w:val="21"/>
                <w:szCs w:val="21"/>
                <w:highlight w:val="none"/>
              </w:rPr>
            </w:pPr>
            <w:r>
              <w:rPr>
                <w:rFonts w:hint="eastAsia" w:ascii="宋体" w:hAnsi="宋体" w:cs="宋体"/>
                <w:sz w:val="21"/>
                <w:szCs w:val="21"/>
              </w:rPr>
              <w:t>〖</w:t>
            </w:r>
            <w:r>
              <w:rPr>
                <w:rFonts w:hint="eastAsia" w:ascii="宋体" w:hAnsi="宋体" w:cs="宋体"/>
                <w:sz w:val="21"/>
                <w:szCs w:val="21"/>
                <w:lang w:val="en-US" w:eastAsia="zh-CN"/>
              </w:rPr>
              <w:t>D</w:t>
            </w:r>
            <w:r>
              <w:rPr>
                <w:rFonts w:hint="eastAsia" w:ascii="宋体" w:hAnsi="宋体" w:cs="宋体"/>
                <w:bCs/>
                <w:sz w:val="21"/>
                <w:szCs w:val="21"/>
              </w:rPr>
              <w:t>份额</w:t>
            </w:r>
            <w:r>
              <w:rPr>
                <w:rFonts w:hint="eastAsia" w:ascii="宋体" w:hAnsi="宋体" w:cs="宋体"/>
                <w:sz w:val="21"/>
                <w:szCs w:val="21"/>
              </w:rPr>
              <w:t>〗</w:t>
            </w:r>
            <w:r>
              <w:rPr>
                <w:rFonts w:hint="eastAsia" w:ascii="宋体" w:hAnsi="宋体" w:cs="宋体"/>
                <w:color w:val="000000"/>
                <w:sz w:val="21"/>
                <w:szCs w:val="21"/>
                <w:highlight w:val="none"/>
              </w:rPr>
              <w:t>起点</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元整，超过认购/申购起点部分，应为</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元的整数倍</w:t>
            </w:r>
            <w:r>
              <w:rPr>
                <w:rFonts w:hint="eastAsia" w:ascii="宋体" w:hAnsi="宋体" w:cs="宋体"/>
                <w:color w:val="000000"/>
                <w:sz w:val="21"/>
                <w:szCs w:val="21"/>
                <w:highlight w:val="none"/>
                <w:lang w:eastAsia="zh-CN"/>
              </w:rPr>
              <w:t>。</w:t>
            </w:r>
          </w:p>
          <w:p>
            <w:pPr>
              <w:widowControl/>
              <w:spacing w:line="360" w:lineRule="auto"/>
              <w:contextualSpacing/>
              <w:rPr>
                <w:rFonts w:hint="eastAsia" w:ascii="宋体" w:hAnsi="宋体" w:cs="宋体"/>
                <w:color w:val="000000"/>
                <w:sz w:val="21"/>
                <w:szCs w:val="21"/>
                <w:highlight w:val="none"/>
                <w:lang w:eastAsia="zh-CN"/>
              </w:rPr>
            </w:pPr>
            <w:r>
              <w:rPr>
                <w:rFonts w:hint="eastAsia" w:ascii="宋体" w:hAnsi="宋体" w:cs="宋体"/>
                <w:sz w:val="21"/>
                <w:szCs w:val="21"/>
              </w:rPr>
              <w:t>〖</w:t>
            </w:r>
            <w:r>
              <w:rPr>
                <w:rFonts w:hint="eastAsia" w:ascii="宋体" w:hAnsi="宋体" w:cs="宋体"/>
                <w:sz w:val="21"/>
                <w:szCs w:val="21"/>
                <w:lang w:val="en-US" w:eastAsia="zh-CN"/>
              </w:rPr>
              <w:t>W</w:t>
            </w:r>
            <w:r>
              <w:rPr>
                <w:rFonts w:hint="eastAsia" w:ascii="宋体" w:hAnsi="宋体" w:cs="宋体"/>
                <w:bCs/>
                <w:sz w:val="21"/>
                <w:szCs w:val="21"/>
              </w:rPr>
              <w:t>份额</w:t>
            </w:r>
            <w:r>
              <w:rPr>
                <w:rFonts w:hint="eastAsia" w:ascii="宋体" w:hAnsi="宋体" w:cs="宋体"/>
                <w:sz w:val="21"/>
                <w:szCs w:val="21"/>
              </w:rPr>
              <w:t>〗</w:t>
            </w:r>
            <w:r>
              <w:rPr>
                <w:rFonts w:hint="eastAsia" w:ascii="宋体" w:hAnsi="宋体" w:cs="宋体"/>
                <w:color w:val="000000"/>
                <w:sz w:val="21"/>
                <w:szCs w:val="21"/>
                <w:highlight w:val="none"/>
              </w:rPr>
              <w:t>起点</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元整，超过认购/申购起点部分，应为</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元的整数倍</w:t>
            </w:r>
            <w:r>
              <w:rPr>
                <w:rFonts w:hint="eastAsia" w:ascii="宋体" w:hAnsi="宋体" w:cs="宋体"/>
                <w:color w:val="000000"/>
                <w:sz w:val="21"/>
                <w:szCs w:val="21"/>
                <w:highlight w:val="none"/>
                <w:lang w:eastAsia="zh-CN"/>
              </w:rPr>
              <w:t>。</w:t>
            </w:r>
          </w:p>
          <w:p>
            <w:pPr>
              <w:widowControl/>
              <w:spacing w:line="360" w:lineRule="auto"/>
              <w:contextualSpacing/>
              <w:rPr>
                <w:rFonts w:hint="eastAsia" w:ascii="宋体" w:hAnsi="宋体" w:cs="宋体"/>
                <w:color w:val="000000"/>
                <w:sz w:val="21"/>
                <w:szCs w:val="21"/>
                <w:highlight w:val="none"/>
                <w:lang w:eastAsia="zh-CN"/>
              </w:rPr>
            </w:pPr>
            <w:r>
              <w:rPr>
                <w:rFonts w:hint="eastAsia" w:ascii="宋体" w:hAnsi="宋体" w:cs="宋体"/>
                <w:sz w:val="21"/>
                <w:szCs w:val="21"/>
              </w:rPr>
              <w:t>〖</w:t>
            </w:r>
            <w:r>
              <w:rPr>
                <w:rFonts w:hint="eastAsia" w:ascii="宋体" w:hAnsi="宋体" w:cs="宋体"/>
                <w:sz w:val="21"/>
                <w:szCs w:val="21"/>
                <w:lang w:val="en-US" w:eastAsia="zh-CN"/>
              </w:rPr>
              <w:t>P</w:t>
            </w:r>
            <w:r>
              <w:rPr>
                <w:rFonts w:hint="eastAsia" w:ascii="宋体" w:hAnsi="宋体" w:cs="宋体"/>
                <w:bCs/>
                <w:sz w:val="21"/>
                <w:szCs w:val="21"/>
              </w:rPr>
              <w:t>份额</w:t>
            </w:r>
            <w:r>
              <w:rPr>
                <w:rFonts w:hint="eastAsia" w:ascii="宋体" w:hAnsi="宋体" w:cs="宋体"/>
                <w:sz w:val="21"/>
                <w:szCs w:val="21"/>
              </w:rPr>
              <w:t>〗</w:t>
            </w:r>
            <w:r>
              <w:rPr>
                <w:rFonts w:hint="eastAsia" w:ascii="宋体" w:hAnsi="宋体" w:cs="宋体"/>
                <w:color w:val="000000"/>
                <w:sz w:val="21"/>
                <w:szCs w:val="21"/>
                <w:highlight w:val="none"/>
              </w:rPr>
              <w:t>起点</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元整，超过认购/申购起点部分，应为</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color w:val="000000"/>
                <w:sz w:val="21"/>
                <w:szCs w:val="21"/>
                <w:highlight w:val="none"/>
              </w:rPr>
              <w:t>元的整数倍</w:t>
            </w:r>
            <w:r>
              <w:rPr>
                <w:rFonts w:hint="eastAsia" w:ascii="宋体" w:hAnsi="宋体" w:cs="宋体"/>
                <w:color w:val="000000"/>
                <w:sz w:val="21"/>
                <w:szCs w:val="21"/>
                <w:highlight w:val="none"/>
                <w:lang w:eastAsia="zh-CN"/>
              </w:rPr>
              <w:t>。</w:t>
            </w:r>
          </w:p>
          <w:p>
            <w:pPr>
              <w:widowControl/>
              <w:spacing w:line="360" w:lineRule="auto"/>
              <w:contextualSpacing/>
              <w:rPr>
                <w:rFonts w:hint="eastAsia" w:ascii="宋体" w:hAnsi="宋体" w:cs="宋体"/>
                <w:bCs/>
                <w:color w:val="FF0000"/>
                <w:sz w:val="21"/>
                <w:szCs w:val="21"/>
                <w:highlight w:val="none"/>
                <w:lang w:val="en-US" w:eastAsia="zh-CN"/>
              </w:rPr>
            </w:pP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sz w:val="21"/>
                <w:szCs w:val="21"/>
                <w:highlight w:val="none"/>
              </w:rPr>
              <w:t>〖</w:t>
            </w:r>
            <w:r>
              <w:rPr>
                <w:rFonts w:hint="eastAsia" w:ascii="宋体" w:hAnsi="宋体" w:cs="宋体"/>
                <w:sz w:val="21"/>
                <w:szCs w:val="21"/>
                <w:highlight w:val="none"/>
                <w:lang w:val="en-US" w:eastAsia="zh-CN"/>
              </w:rPr>
              <w:t>2000</w:t>
            </w:r>
            <w:r>
              <w:rPr>
                <w:rFonts w:hint="eastAsia" w:ascii="宋体" w:hAnsi="宋体" w:cs="宋体"/>
                <w:sz w:val="21"/>
                <w:szCs w:val="21"/>
                <w:highlight w:val="none"/>
              </w:rPr>
              <w:t>〗</w:t>
            </w:r>
            <w:r>
              <w:rPr>
                <w:rFonts w:hint="eastAsia" w:ascii="宋体" w:hAnsi="宋体" w:cs="宋体"/>
                <w:color w:val="000000"/>
                <w:sz w:val="21"/>
                <w:szCs w:val="21"/>
                <w:highlight w:val="none"/>
              </w:rPr>
              <w:t>万元，则管理人可宣布本理财计划不成立并在原定理财计划成立日后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理财计划</w:t>
            </w:r>
            <w:r>
              <w:rPr>
                <w:rFonts w:hint="eastAsia" w:ascii="宋体" w:hAnsi="宋体" w:cs="宋体"/>
                <w:color w:val="000000"/>
                <w:sz w:val="21"/>
                <w:szCs w:val="21"/>
                <w:highlight w:val="none"/>
                <w:lang w:val="en-US" w:eastAsia="zh-CN"/>
              </w:rPr>
              <w:t>的</w:t>
            </w:r>
            <w:r>
              <w:rPr>
                <w:rFonts w:hint="eastAsia" w:ascii="宋体" w:hAnsi="宋体" w:cs="宋体"/>
                <w:color w:val="000000"/>
                <w:sz w:val="21"/>
                <w:szCs w:val="21"/>
                <w:highlight w:val="none"/>
              </w:rPr>
              <w:t>开放期为〖封闭期后的每个交易日〗。如遇特殊情况，则以管理人公告为准。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持有期</w:t>
            </w:r>
          </w:p>
        </w:tc>
        <w:tc>
          <w:tcPr>
            <w:tcW w:w="7185" w:type="dxa"/>
            <w:noWrap w:val="0"/>
            <w:vAlign w:val="center"/>
          </w:tcPr>
          <w:p>
            <w:pPr>
              <w:widowControl/>
              <w:spacing w:line="360" w:lineRule="auto"/>
              <w:contextualSpacing/>
              <w:jc w:val="lef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本理财计划的持有期为</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90</w:t>
            </w:r>
            <w:r>
              <w:rPr>
                <w:rFonts w:hint="eastAsia" w:ascii="宋体" w:hAnsi="宋体" w:cs="宋体"/>
                <w:color w:val="000000"/>
                <w:sz w:val="21"/>
                <w:szCs w:val="21"/>
                <w:highlight w:val="none"/>
                <w:lang w:eastAsia="zh-CN"/>
              </w:rPr>
              <w:t>〗天</w:t>
            </w:r>
            <w:r>
              <w:rPr>
                <w:rFonts w:hint="eastAsia" w:ascii="宋体" w:hAnsi="宋体" w:cs="宋体"/>
                <w:color w:val="000000"/>
                <w:sz w:val="21"/>
                <w:szCs w:val="21"/>
                <w:highlight w:val="none"/>
              </w:rPr>
              <w:t>，投资者认购/申购份额确认成功后，每一笔份额需自产品成立日（含）/确认日（含）起最低持有满</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90</w:t>
            </w:r>
            <w:r>
              <w:rPr>
                <w:rFonts w:hint="eastAsia" w:ascii="宋体" w:hAnsi="宋体" w:cs="宋体"/>
                <w:color w:val="000000"/>
                <w:sz w:val="21"/>
                <w:szCs w:val="21"/>
                <w:highlight w:val="none"/>
                <w:lang w:eastAsia="zh-CN"/>
              </w:rPr>
              <w:t>〗天</w:t>
            </w:r>
            <w:r>
              <w:rPr>
                <w:rFonts w:hint="eastAsia" w:ascii="宋体" w:hAnsi="宋体" w:cs="宋体"/>
                <w:color w:val="000000"/>
                <w:sz w:val="21"/>
                <w:szCs w:val="21"/>
                <w:highlight w:val="none"/>
              </w:rPr>
              <w:t>后方可按规则申请赎回。如投资者多次购买产品，其中持有</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90</w:t>
            </w:r>
            <w:r>
              <w:rPr>
                <w:rFonts w:hint="eastAsia" w:ascii="宋体" w:hAnsi="宋体" w:cs="宋体"/>
                <w:color w:val="000000"/>
                <w:sz w:val="21"/>
                <w:szCs w:val="21"/>
                <w:highlight w:val="none"/>
                <w:lang w:eastAsia="zh-CN"/>
              </w:rPr>
              <w:t>〗天</w:t>
            </w:r>
            <w:r>
              <w:rPr>
                <w:rFonts w:hint="eastAsia" w:ascii="宋体" w:hAnsi="宋体" w:cs="宋体"/>
                <w:color w:val="000000"/>
                <w:sz w:val="21"/>
                <w:szCs w:val="21"/>
                <w:highlight w:val="none"/>
              </w:rPr>
              <w:t>及以上的份额，可申请赎回；持有</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90</w:t>
            </w:r>
            <w:r>
              <w:rPr>
                <w:rFonts w:hint="eastAsia" w:ascii="宋体" w:hAnsi="宋体" w:cs="宋体"/>
                <w:color w:val="000000"/>
                <w:sz w:val="21"/>
                <w:szCs w:val="21"/>
                <w:highlight w:val="none"/>
                <w:lang w:eastAsia="zh-CN"/>
              </w:rPr>
              <w:t>〗天</w:t>
            </w:r>
            <w:r>
              <w:rPr>
                <w:rFonts w:hint="eastAsia" w:ascii="宋体" w:hAnsi="宋体" w:cs="宋体"/>
                <w:color w:val="000000"/>
                <w:sz w:val="21"/>
                <w:szCs w:val="21"/>
                <w:highlight w:val="none"/>
              </w:rPr>
              <w:t>以内的份额，不可申请赎回。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widowControl/>
              <w:spacing w:line="360" w:lineRule="auto"/>
              <w:contextualSpacing/>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1.本理财计划在每个开放期的工作时间均可进行申购</w:t>
            </w:r>
            <w:r>
              <w:rPr>
                <w:rFonts w:hint="eastAsia" w:ascii="宋体" w:hAnsi="宋体" w:cs="宋体"/>
                <w:color w:val="000000"/>
                <w:sz w:val="21"/>
                <w:szCs w:val="21"/>
                <w:highlight w:val="none"/>
                <w:lang w:val="en-US" w:eastAsia="zh-CN"/>
              </w:rPr>
              <w:t>和撤单</w:t>
            </w:r>
            <w:r>
              <w:rPr>
                <w:rFonts w:hint="eastAsia" w:ascii="宋体" w:hAnsi="宋体" w:cs="宋体"/>
                <w:color w:val="000000"/>
                <w:sz w:val="21"/>
                <w:szCs w:val="21"/>
                <w:highlight w:val="none"/>
              </w:rPr>
              <w:t>，申购申请将在申购确认日，即</w:t>
            </w:r>
            <w:r>
              <w:rPr>
                <w:rFonts w:hint="eastAsia" w:ascii="宋体" w:hAnsi="宋体" w:cs="宋体"/>
                <w:color w:val="000000"/>
                <w:sz w:val="21"/>
                <w:szCs w:val="21"/>
                <w:highlight w:val="none"/>
                <w:lang w:val="en-US" w:eastAsia="zh-CN"/>
              </w:rPr>
              <w:t>申购申请日后</w:t>
            </w:r>
            <w:r>
              <w:rPr>
                <w:rFonts w:hint="eastAsia" w:ascii="宋体" w:hAnsi="宋体" w:cs="宋体"/>
                <w:color w:val="000000"/>
                <w:sz w:val="21"/>
                <w:szCs w:val="21"/>
                <w:highlight w:val="none"/>
              </w:rPr>
              <w:t>的第</w:t>
            </w:r>
            <w:r>
              <w:rPr>
                <w:rFonts w:hint="eastAsia" w:ascii="宋体" w:hAnsi="宋体" w:cs="宋体"/>
                <w:sz w:val="21"/>
                <w:szCs w:val="21"/>
                <w:highlight w:val="none"/>
              </w:rPr>
              <w:t>〖1〗个</w:t>
            </w:r>
            <w:r>
              <w:rPr>
                <w:rFonts w:hint="eastAsia" w:ascii="宋体" w:hAnsi="宋体" w:cs="宋体"/>
                <w:sz w:val="21"/>
                <w:szCs w:val="21"/>
                <w:highlight w:val="none"/>
                <w:lang w:val="en-US" w:eastAsia="zh-CN"/>
              </w:rPr>
              <w:t>交易</w:t>
            </w:r>
            <w:r>
              <w:rPr>
                <w:rFonts w:hint="eastAsia" w:ascii="宋体" w:hAnsi="宋体" w:cs="宋体"/>
                <w:bCs/>
                <w:sz w:val="21"/>
                <w:szCs w:val="21"/>
                <w:highlight w:val="none"/>
              </w:rPr>
              <w:t>日进行确认。</w:t>
            </w:r>
            <w:r>
              <w:rPr>
                <w:rFonts w:hint="eastAsia" w:ascii="宋体" w:hAnsi="宋体" w:cs="宋体"/>
                <w:color w:val="000000"/>
                <w:sz w:val="21"/>
                <w:szCs w:val="21"/>
                <w:highlight w:val="none"/>
              </w:rPr>
              <w:t>确认日如遇非</w:t>
            </w:r>
            <w:r>
              <w:rPr>
                <w:rFonts w:hint="eastAsia" w:ascii="宋体" w:hAnsi="宋体" w:cs="宋体"/>
                <w:color w:val="000000"/>
                <w:sz w:val="21"/>
                <w:szCs w:val="21"/>
                <w:highlight w:val="none"/>
                <w:lang w:val="en-US" w:eastAsia="zh-CN"/>
              </w:rPr>
              <w:t>交易</w:t>
            </w:r>
            <w:r>
              <w:rPr>
                <w:rFonts w:hint="eastAsia" w:ascii="宋体" w:hAnsi="宋体" w:cs="宋体"/>
                <w:color w:val="000000"/>
                <w:sz w:val="21"/>
                <w:szCs w:val="21"/>
                <w:highlight w:val="none"/>
              </w:rPr>
              <w:t>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cs="宋体"/>
                <w:color w:val="000000"/>
                <w:sz w:val="21"/>
                <w:szCs w:val="21"/>
                <w:highlight w:val="none"/>
                <w:lang w:val="en-US" w:eastAsia="zh-CN"/>
              </w:rPr>
              <w:t>交易</w:t>
            </w:r>
            <w:r>
              <w:rPr>
                <w:rFonts w:hint="eastAsia" w:ascii="宋体" w:hAnsi="宋体" w:cs="宋体"/>
                <w:color w:val="000000"/>
                <w:sz w:val="21"/>
                <w:szCs w:val="21"/>
                <w:highlight w:val="none"/>
              </w:rPr>
              <w:t>日</w:t>
            </w:r>
            <w:r>
              <w:rPr>
                <w:rFonts w:hint="eastAsia" w:ascii="宋体" w:hAnsi="宋体" w:cs="宋体"/>
                <w:sz w:val="21"/>
                <w:szCs w:val="21"/>
                <w:highlight w:val="none"/>
              </w:rPr>
              <w:t>〗</w:t>
            </w:r>
            <w:r>
              <w:rPr>
                <w:rFonts w:hint="eastAsia" w:ascii="宋体" w:hAnsi="宋体" w:cs="宋体"/>
                <w:color w:val="000000"/>
                <w:sz w:val="21"/>
                <w:szCs w:val="21"/>
                <w:highlight w:val="none"/>
              </w:rPr>
              <w:t>。</w:t>
            </w:r>
          </w:p>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2.满足最低持有期后</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本理财计划在每个开放期的工作时间均可进行赎回</w:t>
            </w:r>
            <w:r>
              <w:rPr>
                <w:rFonts w:hint="eastAsia" w:ascii="宋体" w:hAnsi="宋体" w:cs="宋体"/>
                <w:color w:val="000000"/>
                <w:sz w:val="21"/>
                <w:szCs w:val="21"/>
                <w:highlight w:val="none"/>
                <w:lang w:val="en-US" w:eastAsia="zh-CN"/>
              </w:rPr>
              <w:t>和撤单</w:t>
            </w:r>
            <w:r>
              <w:rPr>
                <w:rFonts w:hint="eastAsia" w:ascii="宋体" w:hAnsi="宋体" w:cs="宋体"/>
                <w:color w:val="000000"/>
                <w:sz w:val="21"/>
                <w:szCs w:val="21"/>
                <w:highlight w:val="none"/>
              </w:rPr>
              <w:t>，赎回申请将在赎回确认日，即</w:t>
            </w:r>
            <w:r>
              <w:rPr>
                <w:rFonts w:hint="eastAsia" w:ascii="宋体" w:hAnsi="宋体" w:cs="宋体"/>
                <w:color w:val="000000"/>
                <w:sz w:val="21"/>
                <w:szCs w:val="21"/>
                <w:highlight w:val="none"/>
                <w:lang w:val="en-US" w:eastAsia="zh-CN"/>
              </w:rPr>
              <w:t>赎回申请日</w:t>
            </w:r>
            <w:r>
              <w:rPr>
                <w:rFonts w:hint="eastAsia" w:ascii="宋体" w:hAnsi="宋体" w:cs="宋体"/>
                <w:color w:val="000000"/>
                <w:sz w:val="21"/>
                <w:szCs w:val="21"/>
                <w:highlight w:val="none"/>
              </w:rPr>
              <w:t>后的第</w:t>
            </w:r>
            <w:r>
              <w:rPr>
                <w:rFonts w:hint="eastAsia" w:ascii="宋体" w:hAnsi="宋体" w:cs="宋体"/>
                <w:sz w:val="21"/>
                <w:szCs w:val="21"/>
                <w:highlight w:val="none"/>
              </w:rPr>
              <w:t>〖1〗个</w:t>
            </w:r>
            <w:r>
              <w:rPr>
                <w:rFonts w:hint="eastAsia" w:ascii="宋体" w:hAnsi="宋体" w:cs="宋体"/>
                <w:sz w:val="21"/>
                <w:szCs w:val="21"/>
                <w:highlight w:val="none"/>
                <w:lang w:val="en-US" w:eastAsia="zh-CN"/>
              </w:rPr>
              <w:t>交易</w:t>
            </w:r>
            <w:r>
              <w:rPr>
                <w:rFonts w:hint="eastAsia" w:ascii="宋体" w:hAnsi="宋体" w:cs="宋体"/>
                <w:bCs/>
                <w:sz w:val="21"/>
                <w:szCs w:val="21"/>
                <w:highlight w:val="none"/>
              </w:rPr>
              <w:t>日进行确认。</w:t>
            </w:r>
            <w:r>
              <w:rPr>
                <w:rFonts w:hint="eastAsia" w:ascii="宋体" w:hAnsi="宋体" w:cs="宋体"/>
                <w:color w:val="000000"/>
                <w:sz w:val="21"/>
                <w:szCs w:val="21"/>
                <w:highlight w:val="none"/>
              </w:rPr>
              <w:t>确认日如遇非</w:t>
            </w:r>
            <w:r>
              <w:rPr>
                <w:rFonts w:hint="eastAsia" w:ascii="宋体" w:hAnsi="宋体" w:cs="宋体"/>
                <w:color w:val="000000"/>
                <w:sz w:val="21"/>
                <w:szCs w:val="21"/>
                <w:highlight w:val="none"/>
                <w:lang w:val="en-US" w:eastAsia="zh-CN"/>
              </w:rPr>
              <w:t>交易</w:t>
            </w:r>
            <w:r>
              <w:rPr>
                <w:rFonts w:hint="eastAsia" w:ascii="宋体" w:hAnsi="宋体" w:cs="宋体"/>
                <w:color w:val="000000"/>
                <w:sz w:val="21"/>
                <w:szCs w:val="21"/>
                <w:highlight w:val="none"/>
              </w:rPr>
              <w:t>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cs="宋体"/>
                <w:color w:val="000000"/>
                <w:sz w:val="21"/>
                <w:szCs w:val="21"/>
                <w:highlight w:val="none"/>
                <w:lang w:val="en-US" w:eastAsia="zh-CN"/>
              </w:rPr>
              <w:t>交易</w:t>
            </w:r>
            <w:r>
              <w:rPr>
                <w:rFonts w:hint="eastAsia" w:ascii="宋体" w:hAnsi="宋体" w:cs="宋体"/>
                <w:color w:val="000000"/>
                <w:sz w:val="21"/>
                <w:szCs w:val="21"/>
                <w:highlight w:val="none"/>
              </w:rPr>
              <w:t>日</w:t>
            </w:r>
            <w:r>
              <w:rPr>
                <w:rFonts w:hint="eastAsia" w:ascii="宋体" w:hAnsi="宋体" w:cs="宋体"/>
                <w:sz w:val="21"/>
                <w:szCs w:val="21"/>
                <w:highlight w:val="none"/>
              </w:rPr>
              <w:t>〗</w:t>
            </w:r>
            <w:r>
              <w:rPr>
                <w:rFonts w:hint="eastAsia" w:ascii="宋体" w:hAnsi="宋体" w:cs="宋体"/>
                <w:color w:val="000000"/>
                <w:sz w:val="21"/>
                <w:szCs w:val="21"/>
                <w:highlight w:val="none"/>
              </w:rPr>
              <w:t>。</w:t>
            </w:r>
          </w:p>
          <w:p>
            <w:pPr>
              <w:widowControl/>
              <w:spacing w:line="360" w:lineRule="auto"/>
              <w:contextualSpacing/>
              <w:rPr>
                <w:rFonts w:hint="eastAsia" w:ascii="宋体" w:hAnsi="宋体" w:cs="宋体"/>
                <w:color w:val="auto"/>
                <w:sz w:val="21"/>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cs="宋体"/>
                <w:color w:val="auto"/>
                <w:kern w:val="2"/>
                <w:sz w:val="21"/>
                <w:szCs w:val="21"/>
                <w:highlight w:val="none"/>
              </w:rPr>
              <w:t>在交易日的</w:t>
            </w: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7:00</w:t>
            </w:r>
            <w:r>
              <w:rPr>
                <w:rFonts w:hint="eastAsia" w:ascii="宋体" w:hAnsi="宋体" w:cs="宋体"/>
                <w:color w:val="auto"/>
                <w:kern w:val="2"/>
                <w:sz w:val="21"/>
                <w:szCs w:val="21"/>
                <w:highlight w:val="none"/>
              </w:rPr>
              <w:t>之前提交的申购和赎回申请，申请日为提出申请当日；在交易日</w:t>
            </w: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7:00</w:t>
            </w:r>
            <w:r>
              <w:rPr>
                <w:rFonts w:hint="eastAsia" w:ascii="宋体" w:hAnsi="宋体" w:cs="宋体"/>
                <w:color w:val="auto"/>
                <w:kern w:val="2"/>
                <w:sz w:val="21"/>
                <w:szCs w:val="21"/>
                <w:highlight w:val="none"/>
              </w:rPr>
              <w:t>之后及非交易日提交的申购和赎回申请，申请日为提出申请日的下一交易日</w:t>
            </w:r>
            <w:r>
              <w:rPr>
                <w:rFonts w:hint="eastAsia" w:ascii="宋体" w:hAnsi="宋体" w:cs="宋体"/>
                <w:color w:val="auto"/>
                <w:kern w:val="2"/>
                <w:sz w:val="21"/>
                <w:szCs w:val="21"/>
                <w:highlight w:val="none"/>
                <w:lang w:eastAsia="zh-CN"/>
              </w:rPr>
              <w:t>。</w:t>
            </w:r>
          </w:p>
          <w:p>
            <w:pPr>
              <w:widowControl/>
              <w:spacing w:line="360" w:lineRule="auto"/>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.工作时间为每个</w:t>
            </w:r>
            <w:r>
              <w:rPr>
                <w:rFonts w:hint="eastAsia" w:ascii="宋体" w:hAnsi="宋体" w:cs="宋体"/>
                <w:color w:val="000000"/>
                <w:sz w:val="21"/>
                <w:szCs w:val="21"/>
                <w:highlight w:val="none"/>
                <w:lang w:val="en-US" w:eastAsia="zh-CN"/>
              </w:rPr>
              <w:t>交易</w:t>
            </w:r>
            <w:r>
              <w:rPr>
                <w:rFonts w:hint="eastAsia" w:ascii="宋体" w:hAnsi="宋体" w:cs="宋体"/>
                <w:color w:val="000000"/>
                <w:sz w:val="21"/>
                <w:szCs w:val="21"/>
                <w:highlight w:val="none"/>
              </w:rPr>
              <w:t>日上午〖9:00〗至下午〖1</w:t>
            </w:r>
            <w:r>
              <w:rPr>
                <w:rFonts w:hint="eastAsia" w:ascii="宋体" w:hAnsi="宋体" w:cs="宋体"/>
                <w:color w:val="000000"/>
                <w:sz w:val="21"/>
                <w:szCs w:val="21"/>
                <w:highlight w:val="none"/>
                <w:lang w:val="en-US" w:eastAsia="zh-CN"/>
              </w:rPr>
              <w:t>7:00</w:t>
            </w:r>
            <w:r>
              <w:rPr>
                <w:rFonts w:hint="eastAsia" w:ascii="宋体" w:hAnsi="宋体" w:cs="宋体"/>
                <w:color w:val="000000"/>
                <w:sz w:val="21"/>
                <w:szCs w:val="21"/>
                <w:highlight w:val="none"/>
              </w:rPr>
              <w:t>〗。确认日如遇非</w:t>
            </w:r>
            <w:r>
              <w:rPr>
                <w:rFonts w:hint="eastAsia" w:ascii="宋体" w:hAnsi="宋体" w:cs="宋体"/>
                <w:color w:val="000000"/>
                <w:sz w:val="21"/>
                <w:szCs w:val="21"/>
                <w:highlight w:val="none"/>
                <w:lang w:val="en-US" w:eastAsia="zh-CN"/>
              </w:rPr>
              <w:t>交易</w:t>
            </w:r>
            <w:r>
              <w:rPr>
                <w:rFonts w:hint="eastAsia" w:ascii="宋体" w:hAnsi="宋体" w:cs="宋体"/>
                <w:color w:val="000000"/>
                <w:sz w:val="21"/>
                <w:szCs w:val="21"/>
                <w:highlight w:val="none"/>
              </w:rPr>
              <w:t>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cs="宋体"/>
                <w:color w:val="000000"/>
                <w:sz w:val="21"/>
                <w:szCs w:val="21"/>
                <w:highlight w:val="none"/>
                <w:lang w:val="en-US" w:eastAsia="zh-CN"/>
              </w:rPr>
              <w:t>交易</w:t>
            </w:r>
            <w:r>
              <w:rPr>
                <w:rFonts w:hint="eastAsia" w:ascii="宋体" w:hAnsi="宋体" w:cs="宋体"/>
                <w:color w:val="000000"/>
                <w:sz w:val="21"/>
                <w:szCs w:val="21"/>
                <w:highlight w:val="none"/>
              </w:rPr>
              <w:t>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widowControl/>
              <w:spacing w:line="360" w:lineRule="auto"/>
              <w:contextualSpacing/>
              <w:rPr>
                <w:rFonts w:hint="default" w:ascii="宋体" w:hAnsi="宋体" w:eastAsia="宋体" w:cs="宋体"/>
                <w:bCs/>
                <w:color w:val="FF0000"/>
                <w:sz w:val="21"/>
                <w:szCs w:val="21"/>
                <w:highlight w:val="none"/>
                <w:lang w:val="en-US" w:eastAsia="zh-CN"/>
              </w:rPr>
            </w:pPr>
            <w:r>
              <w:rPr>
                <w:rFonts w:hint="eastAsia" w:ascii="宋体" w:hAnsi="宋体" w:cs="宋体"/>
                <w:bCs/>
                <w:color w:val="auto"/>
                <w:sz w:val="21"/>
                <w:szCs w:val="21"/>
                <w:highlight w:val="none"/>
                <w:lang w:val="en-US" w:eastAsia="zh-CN"/>
              </w:rPr>
              <w:t>5.上述交易安排如有调整，请以管理人公告为准。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widowControl/>
              <w:spacing w:line="360" w:lineRule="auto"/>
              <w:contextualSpacing/>
              <w:rPr>
                <w:rFonts w:hint="eastAsia" w:ascii="宋体" w:hAnsi="宋体" w:cs="宋体"/>
                <w:sz w:val="21"/>
                <w:szCs w:val="21"/>
                <w:highlight w:val="none"/>
                <w:lang w:val="en-US" w:eastAsia="zh-CN"/>
              </w:rPr>
            </w:pPr>
            <w:r>
              <w:rPr>
                <w:rFonts w:hint="eastAsia" w:ascii="宋体" w:hAnsi="宋体" w:cs="宋体"/>
                <w:sz w:val="21"/>
                <w:szCs w:val="21"/>
              </w:rPr>
              <w:t>〖</w:t>
            </w:r>
            <w:r>
              <w:rPr>
                <w:rFonts w:hint="eastAsia" w:ascii="宋体" w:hAnsi="宋体" w:cs="宋体"/>
                <w:bCs/>
                <w:sz w:val="21"/>
                <w:szCs w:val="21"/>
              </w:rPr>
              <w:t>A份额</w:t>
            </w:r>
            <w:r>
              <w:rPr>
                <w:rFonts w:hint="eastAsia" w:ascii="宋体" w:hAnsi="宋体" w:cs="宋体"/>
                <w:sz w:val="21"/>
                <w:szCs w:val="21"/>
              </w:rPr>
              <w:t>〗</w:t>
            </w:r>
            <w:r>
              <w:rPr>
                <w:rFonts w:hint="eastAsia" w:ascii="宋体" w:hAnsi="宋体" w:cs="宋体"/>
                <w:color w:val="000000"/>
                <w:sz w:val="21"/>
                <w:szCs w:val="21"/>
                <w:highlight w:val="none"/>
                <w:lang w:val="en-US" w:eastAsia="zh-CN"/>
              </w:rPr>
              <w:t>单户持有上限</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5000</w:t>
            </w:r>
            <w:r>
              <w:rPr>
                <w:rFonts w:hint="eastAsia" w:ascii="宋体" w:hAnsi="宋体" w:cs="宋体"/>
                <w:sz w:val="21"/>
                <w:szCs w:val="21"/>
                <w:highlight w:val="none"/>
              </w:rPr>
              <w:t>〗</w:t>
            </w:r>
            <w:r>
              <w:rPr>
                <w:rFonts w:hint="eastAsia" w:ascii="宋体" w:hAnsi="宋体" w:cs="宋体"/>
                <w:sz w:val="21"/>
                <w:szCs w:val="21"/>
                <w:highlight w:val="none"/>
                <w:lang w:val="en-US" w:eastAsia="zh-CN"/>
              </w:rPr>
              <w:t>万元。</w:t>
            </w:r>
          </w:p>
          <w:p>
            <w:pPr>
              <w:widowControl/>
              <w:spacing w:line="360" w:lineRule="auto"/>
              <w:contextualSpacing/>
              <w:rPr>
                <w:rFonts w:hint="eastAsia" w:ascii="宋体" w:hAnsi="宋体" w:cs="宋体"/>
                <w:sz w:val="21"/>
                <w:szCs w:val="21"/>
                <w:highlight w:val="none"/>
                <w:lang w:val="en-US" w:eastAsia="zh-CN"/>
              </w:rPr>
            </w:pPr>
            <w:r>
              <w:rPr>
                <w:rFonts w:hint="eastAsia" w:ascii="宋体" w:hAnsi="宋体" w:cs="宋体"/>
                <w:sz w:val="21"/>
                <w:szCs w:val="21"/>
              </w:rPr>
              <w:t>〖</w:t>
            </w:r>
            <w:r>
              <w:rPr>
                <w:rFonts w:hint="eastAsia" w:ascii="宋体" w:hAnsi="宋体" w:cs="宋体"/>
                <w:sz w:val="21"/>
                <w:szCs w:val="21"/>
                <w:lang w:val="en-US" w:eastAsia="zh-CN"/>
              </w:rPr>
              <w:t>B</w:t>
            </w:r>
            <w:r>
              <w:rPr>
                <w:rFonts w:hint="eastAsia" w:ascii="宋体" w:hAnsi="宋体" w:cs="宋体"/>
                <w:bCs/>
                <w:sz w:val="21"/>
                <w:szCs w:val="21"/>
              </w:rPr>
              <w:t>份额</w:t>
            </w:r>
            <w:r>
              <w:rPr>
                <w:rFonts w:hint="eastAsia" w:ascii="宋体" w:hAnsi="宋体" w:cs="宋体"/>
                <w:sz w:val="21"/>
                <w:szCs w:val="21"/>
              </w:rPr>
              <w:t>〗</w:t>
            </w:r>
            <w:r>
              <w:rPr>
                <w:rFonts w:hint="eastAsia" w:ascii="宋体" w:hAnsi="宋体" w:cs="宋体"/>
                <w:color w:val="000000"/>
                <w:sz w:val="21"/>
                <w:szCs w:val="21"/>
                <w:highlight w:val="none"/>
                <w:lang w:val="en-US" w:eastAsia="zh-CN"/>
              </w:rPr>
              <w:t>单户持有上限</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5000</w:t>
            </w:r>
            <w:r>
              <w:rPr>
                <w:rFonts w:hint="eastAsia" w:ascii="宋体" w:hAnsi="宋体" w:cs="宋体"/>
                <w:sz w:val="21"/>
                <w:szCs w:val="21"/>
                <w:highlight w:val="none"/>
              </w:rPr>
              <w:t>〗</w:t>
            </w:r>
            <w:r>
              <w:rPr>
                <w:rFonts w:hint="eastAsia" w:ascii="宋体" w:hAnsi="宋体" w:cs="宋体"/>
                <w:sz w:val="21"/>
                <w:szCs w:val="21"/>
                <w:highlight w:val="none"/>
                <w:lang w:val="en-US" w:eastAsia="zh-CN"/>
              </w:rPr>
              <w:t>万元。</w:t>
            </w:r>
          </w:p>
          <w:p>
            <w:pPr>
              <w:widowControl/>
              <w:spacing w:line="360" w:lineRule="auto"/>
              <w:contextualSpacing/>
              <w:rPr>
                <w:rFonts w:hint="eastAsia" w:ascii="宋体" w:hAnsi="宋体" w:cs="宋体"/>
                <w:sz w:val="21"/>
                <w:szCs w:val="21"/>
                <w:highlight w:val="none"/>
                <w:lang w:val="en-US" w:eastAsia="zh-CN"/>
              </w:rPr>
            </w:pPr>
            <w:r>
              <w:rPr>
                <w:rFonts w:hint="eastAsia" w:ascii="宋体" w:hAnsi="宋体" w:cs="宋体"/>
                <w:sz w:val="21"/>
                <w:szCs w:val="21"/>
              </w:rPr>
              <w:t>〖</w:t>
            </w:r>
            <w:r>
              <w:rPr>
                <w:rFonts w:hint="eastAsia" w:ascii="宋体" w:hAnsi="宋体" w:cs="宋体"/>
                <w:sz w:val="21"/>
                <w:szCs w:val="21"/>
                <w:lang w:val="en-US" w:eastAsia="zh-CN"/>
              </w:rPr>
              <w:t>C</w:t>
            </w:r>
            <w:r>
              <w:rPr>
                <w:rFonts w:hint="eastAsia" w:ascii="宋体" w:hAnsi="宋体" w:cs="宋体"/>
                <w:bCs/>
                <w:sz w:val="21"/>
                <w:szCs w:val="21"/>
              </w:rPr>
              <w:t>份额</w:t>
            </w:r>
            <w:r>
              <w:rPr>
                <w:rFonts w:hint="eastAsia" w:ascii="宋体" w:hAnsi="宋体" w:cs="宋体"/>
                <w:sz w:val="21"/>
                <w:szCs w:val="21"/>
              </w:rPr>
              <w:t>〗</w:t>
            </w:r>
            <w:r>
              <w:rPr>
                <w:rFonts w:hint="eastAsia" w:ascii="宋体" w:hAnsi="宋体" w:cs="宋体"/>
                <w:color w:val="000000"/>
                <w:sz w:val="21"/>
                <w:szCs w:val="21"/>
                <w:highlight w:val="none"/>
                <w:lang w:val="en-US" w:eastAsia="zh-CN"/>
              </w:rPr>
              <w:t>单户持有上限</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5000</w:t>
            </w:r>
            <w:r>
              <w:rPr>
                <w:rFonts w:hint="eastAsia" w:ascii="宋体" w:hAnsi="宋体" w:cs="宋体"/>
                <w:sz w:val="21"/>
                <w:szCs w:val="21"/>
                <w:highlight w:val="none"/>
              </w:rPr>
              <w:t>〗</w:t>
            </w:r>
            <w:r>
              <w:rPr>
                <w:rFonts w:hint="eastAsia" w:ascii="宋体" w:hAnsi="宋体" w:cs="宋体"/>
                <w:sz w:val="21"/>
                <w:szCs w:val="21"/>
                <w:highlight w:val="none"/>
                <w:lang w:val="en-US" w:eastAsia="zh-CN"/>
              </w:rPr>
              <w:t>万元。</w:t>
            </w:r>
          </w:p>
          <w:p>
            <w:pPr>
              <w:widowControl/>
              <w:spacing w:line="360" w:lineRule="auto"/>
              <w:contextualSpacing/>
              <w:rPr>
                <w:rFonts w:hint="eastAsia" w:ascii="宋体" w:hAnsi="宋体" w:cs="宋体"/>
                <w:sz w:val="21"/>
                <w:szCs w:val="21"/>
                <w:highlight w:val="none"/>
                <w:lang w:val="en-US" w:eastAsia="zh-CN"/>
              </w:rPr>
            </w:pPr>
            <w:r>
              <w:rPr>
                <w:rFonts w:hint="eastAsia" w:ascii="宋体" w:hAnsi="宋体" w:cs="宋体"/>
                <w:sz w:val="21"/>
                <w:szCs w:val="21"/>
              </w:rPr>
              <w:t>〖</w:t>
            </w:r>
            <w:r>
              <w:rPr>
                <w:rFonts w:hint="eastAsia" w:ascii="宋体" w:hAnsi="宋体" w:cs="宋体"/>
                <w:sz w:val="21"/>
                <w:szCs w:val="21"/>
                <w:lang w:val="en-US" w:eastAsia="zh-CN"/>
              </w:rPr>
              <w:t>D</w:t>
            </w:r>
            <w:r>
              <w:rPr>
                <w:rFonts w:hint="eastAsia" w:ascii="宋体" w:hAnsi="宋体" w:cs="宋体"/>
                <w:bCs/>
                <w:sz w:val="21"/>
                <w:szCs w:val="21"/>
              </w:rPr>
              <w:t>份额</w:t>
            </w:r>
            <w:r>
              <w:rPr>
                <w:rFonts w:hint="eastAsia" w:ascii="宋体" w:hAnsi="宋体" w:cs="宋体"/>
                <w:sz w:val="21"/>
                <w:szCs w:val="21"/>
              </w:rPr>
              <w:t>〗</w:t>
            </w:r>
            <w:r>
              <w:rPr>
                <w:rFonts w:hint="eastAsia" w:ascii="宋体" w:hAnsi="宋体" w:cs="宋体"/>
                <w:color w:val="000000"/>
                <w:sz w:val="21"/>
                <w:szCs w:val="21"/>
                <w:highlight w:val="none"/>
                <w:lang w:val="en-US" w:eastAsia="zh-CN"/>
              </w:rPr>
              <w:t>单户持有上限</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5000</w:t>
            </w:r>
            <w:r>
              <w:rPr>
                <w:rFonts w:hint="eastAsia" w:ascii="宋体" w:hAnsi="宋体" w:cs="宋体"/>
                <w:sz w:val="21"/>
                <w:szCs w:val="21"/>
                <w:highlight w:val="none"/>
              </w:rPr>
              <w:t>〗</w:t>
            </w:r>
            <w:r>
              <w:rPr>
                <w:rFonts w:hint="eastAsia" w:ascii="宋体" w:hAnsi="宋体" w:cs="宋体"/>
                <w:sz w:val="21"/>
                <w:szCs w:val="21"/>
                <w:highlight w:val="none"/>
                <w:lang w:val="en-US" w:eastAsia="zh-CN"/>
              </w:rPr>
              <w:t>万元。</w:t>
            </w:r>
          </w:p>
          <w:p>
            <w:pPr>
              <w:widowControl/>
              <w:spacing w:line="360" w:lineRule="auto"/>
              <w:contextualSpacing/>
              <w:rPr>
                <w:rFonts w:hint="eastAsia" w:ascii="宋体" w:hAnsi="宋体" w:cs="宋体"/>
                <w:sz w:val="21"/>
                <w:szCs w:val="21"/>
                <w:highlight w:val="none"/>
                <w:lang w:val="en-US" w:eastAsia="zh-CN"/>
              </w:rPr>
            </w:pPr>
            <w:r>
              <w:rPr>
                <w:rFonts w:hint="eastAsia" w:ascii="宋体" w:hAnsi="宋体" w:cs="宋体"/>
                <w:sz w:val="21"/>
                <w:szCs w:val="21"/>
              </w:rPr>
              <w:t>〖</w:t>
            </w:r>
            <w:r>
              <w:rPr>
                <w:rFonts w:hint="eastAsia" w:ascii="宋体" w:hAnsi="宋体" w:cs="宋体"/>
                <w:sz w:val="21"/>
                <w:szCs w:val="21"/>
                <w:lang w:val="en-US" w:eastAsia="zh-CN"/>
              </w:rPr>
              <w:t>W</w:t>
            </w:r>
            <w:r>
              <w:rPr>
                <w:rFonts w:hint="eastAsia" w:ascii="宋体" w:hAnsi="宋体" w:cs="宋体"/>
                <w:bCs/>
                <w:sz w:val="21"/>
                <w:szCs w:val="21"/>
              </w:rPr>
              <w:t>份额</w:t>
            </w:r>
            <w:r>
              <w:rPr>
                <w:rFonts w:hint="eastAsia" w:ascii="宋体" w:hAnsi="宋体" w:cs="宋体"/>
                <w:sz w:val="21"/>
                <w:szCs w:val="21"/>
              </w:rPr>
              <w:t>〗</w:t>
            </w:r>
            <w:r>
              <w:rPr>
                <w:rFonts w:hint="eastAsia" w:ascii="宋体" w:hAnsi="宋体" w:cs="宋体"/>
                <w:color w:val="000000"/>
                <w:sz w:val="21"/>
                <w:szCs w:val="21"/>
                <w:highlight w:val="none"/>
                <w:lang w:val="en-US" w:eastAsia="zh-CN"/>
              </w:rPr>
              <w:t>单户持有上限</w:t>
            </w: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r>
              <w:rPr>
                <w:rFonts w:hint="eastAsia" w:ascii="宋体" w:hAnsi="宋体" w:cs="宋体"/>
                <w:color w:val="000000"/>
                <w:sz w:val="21"/>
                <w:szCs w:val="21"/>
                <w:highlight w:val="none"/>
                <w:lang w:val="en-US" w:eastAsia="zh-CN"/>
              </w:rPr>
              <w:t>000</w:t>
            </w:r>
            <w:r>
              <w:rPr>
                <w:rFonts w:hint="eastAsia" w:ascii="宋体" w:hAnsi="宋体" w:cs="宋体"/>
                <w:sz w:val="21"/>
                <w:szCs w:val="21"/>
                <w:highlight w:val="none"/>
              </w:rPr>
              <w:t>〗</w:t>
            </w:r>
            <w:r>
              <w:rPr>
                <w:rFonts w:hint="eastAsia" w:ascii="宋体" w:hAnsi="宋体" w:cs="宋体"/>
                <w:sz w:val="21"/>
                <w:szCs w:val="21"/>
                <w:highlight w:val="none"/>
                <w:lang w:val="en-US" w:eastAsia="zh-CN"/>
              </w:rPr>
              <w:t>万元。</w:t>
            </w:r>
          </w:p>
          <w:p>
            <w:pPr>
              <w:widowControl/>
              <w:spacing w:line="360" w:lineRule="auto"/>
              <w:contextualSpacing/>
              <w:rPr>
                <w:rFonts w:hint="default" w:ascii="宋体" w:hAnsi="宋体" w:cs="宋体"/>
                <w:sz w:val="21"/>
                <w:szCs w:val="21"/>
                <w:highlight w:val="none"/>
                <w:lang w:val="en-US" w:eastAsia="zh-CN"/>
              </w:rPr>
            </w:pPr>
            <w:r>
              <w:rPr>
                <w:rFonts w:hint="eastAsia" w:ascii="宋体" w:hAnsi="宋体" w:cs="宋体"/>
                <w:sz w:val="21"/>
                <w:szCs w:val="21"/>
              </w:rPr>
              <w:t>〖</w:t>
            </w:r>
            <w:r>
              <w:rPr>
                <w:rFonts w:hint="eastAsia" w:ascii="宋体" w:hAnsi="宋体" w:cs="宋体"/>
                <w:sz w:val="21"/>
                <w:szCs w:val="21"/>
                <w:lang w:val="en-US" w:eastAsia="zh-CN"/>
              </w:rPr>
              <w:t>P</w:t>
            </w:r>
            <w:r>
              <w:rPr>
                <w:rFonts w:hint="eastAsia" w:ascii="宋体" w:hAnsi="宋体" w:cs="宋体"/>
                <w:bCs/>
                <w:sz w:val="21"/>
                <w:szCs w:val="21"/>
              </w:rPr>
              <w:t>份额</w:t>
            </w:r>
            <w:r>
              <w:rPr>
                <w:rFonts w:hint="eastAsia" w:ascii="宋体" w:hAnsi="宋体" w:cs="宋体"/>
                <w:sz w:val="21"/>
                <w:szCs w:val="21"/>
              </w:rPr>
              <w:t>〗</w:t>
            </w:r>
            <w:r>
              <w:rPr>
                <w:rFonts w:hint="eastAsia" w:ascii="宋体" w:hAnsi="宋体" w:cs="宋体"/>
                <w:color w:val="000000"/>
                <w:sz w:val="21"/>
                <w:szCs w:val="21"/>
                <w:highlight w:val="none"/>
                <w:lang w:val="en-US" w:eastAsia="zh-CN"/>
              </w:rPr>
              <w:t>单户持有上限</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5000</w:t>
            </w:r>
            <w:r>
              <w:rPr>
                <w:rFonts w:hint="eastAsia" w:ascii="宋体" w:hAnsi="宋体" w:cs="宋体"/>
                <w:sz w:val="21"/>
                <w:szCs w:val="21"/>
                <w:highlight w:val="none"/>
              </w:rPr>
              <w:t>〗</w:t>
            </w:r>
            <w:r>
              <w:rPr>
                <w:rFonts w:hint="eastAsia" w:ascii="宋体" w:hAnsi="宋体" w:cs="宋体"/>
                <w:sz w:val="21"/>
                <w:szCs w:val="21"/>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申购份额=申购金额/确认日</w:t>
            </w:r>
            <w:r>
              <w:rPr>
                <w:rFonts w:hint="eastAsia" w:ascii="宋体" w:hAnsi="宋体" w:cs="宋体"/>
                <w:bCs/>
                <w:sz w:val="21"/>
                <w:szCs w:val="21"/>
                <w:highlight w:val="none"/>
                <w:lang w:eastAsia="zh-CN"/>
              </w:rPr>
              <w:t>前一日</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前一日</w:t>
            </w:r>
            <w:r>
              <w:rPr>
                <w:rFonts w:hint="eastAsia" w:ascii="宋体" w:hAnsi="宋体" w:cs="宋体"/>
                <w:bCs/>
                <w:sz w:val="21"/>
                <w:szCs w:val="21"/>
                <w:highlight w:val="none"/>
              </w:rPr>
              <w:t>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单位净值=理财计划估值日理财计划总净值/理财计划总份额，单位净值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w:t>
            </w:r>
            <w:r>
              <w:rPr>
                <w:rFonts w:hint="eastAsia" w:ascii="宋体" w:hAnsi="宋体" w:cs="宋体"/>
                <w:color w:val="000000"/>
                <w:sz w:val="21"/>
                <w:szCs w:val="21"/>
                <w:highlight w:val="none"/>
                <w:lang w:val="en-US" w:eastAsia="zh-CN"/>
              </w:rPr>
              <w:t>六</w:t>
            </w:r>
            <w:r>
              <w:rPr>
                <w:rFonts w:hint="eastAsia" w:ascii="宋体" w:hAnsi="宋体" w:cs="宋体"/>
                <w:color w:val="000000"/>
                <w:sz w:val="21"/>
                <w:szCs w:val="21"/>
                <w:highlight w:val="none"/>
              </w:rPr>
              <w:t>位</w:t>
            </w:r>
            <w:r>
              <w:rPr>
                <w:rFonts w:hint="eastAsia" w:ascii="宋体" w:hAnsi="宋体" w:cs="宋体"/>
                <w:sz w:val="21"/>
                <w:szCs w:val="21"/>
                <w:highlight w:val="none"/>
              </w:rPr>
              <w:t>〗</w:t>
            </w:r>
            <w:r>
              <w:rPr>
                <w:rFonts w:hint="eastAsia" w:ascii="宋体" w:hAnsi="宋体" w:cs="宋体"/>
                <w:sz w:val="21"/>
                <w:szCs w:val="21"/>
                <w:highlight w:val="none"/>
                <w:lang w:eastAsia="zh-CN"/>
              </w:rPr>
              <w:t>，</w:t>
            </w:r>
            <w:r>
              <w:rPr>
                <w:rFonts w:hint="eastAsia" w:ascii="宋体" w:hAnsi="宋体" w:cs="宋体"/>
                <w:color w:val="000000"/>
                <w:sz w:val="21"/>
                <w:szCs w:val="21"/>
                <w:highlight w:val="none"/>
                <w:lang w:val="en-US" w:eastAsia="zh-CN"/>
              </w:rPr>
              <w:t>小数点六位以后去尾。</w:t>
            </w:r>
          </w:p>
          <w:p>
            <w:pPr>
              <w:widowControl/>
              <w:spacing w:line="360" w:lineRule="auto"/>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widowControl/>
              <w:spacing w:line="360" w:lineRule="auto"/>
              <w:contextualSpacing/>
              <w:rPr>
                <w:rFonts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cs="宋体"/>
                <w:color w:val="000000"/>
                <w:sz w:val="21"/>
                <w:szCs w:val="21"/>
                <w:highlight w:val="none"/>
                <w:lang w:val="en-US" w:eastAsia="zh-CN"/>
              </w:rPr>
              <w:t>于确认日当</w:t>
            </w:r>
            <w:r>
              <w:rPr>
                <w:rFonts w:hint="eastAsia" w:ascii="宋体" w:hAnsi="宋体" w:cs="宋体"/>
                <w:color w:val="000000"/>
                <w:sz w:val="21"/>
                <w:szCs w:val="21"/>
                <w:highlight w:val="none"/>
                <w:lang w:eastAsia="zh-CN"/>
              </w:rPr>
              <w:t>日</w:t>
            </w:r>
            <w:r>
              <w:rPr>
                <w:rFonts w:hint="eastAsia" w:ascii="宋体" w:hAnsi="宋体" w:cs="宋体"/>
                <w:color w:val="000000"/>
                <w:sz w:val="21"/>
                <w:szCs w:val="21"/>
                <w:highlight w:val="none"/>
              </w:rPr>
              <w:t>，最晚</w:t>
            </w:r>
            <w:r>
              <w:rPr>
                <w:rFonts w:hint="eastAsia" w:ascii="宋体" w:hAnsi="宋体" w:cs="宋体"/>
                <w:color w:val="000000"/>
                <w:sz w:val="21"/>
                <w:szCs w:val="21"/>
                <w:highlight w:val="none"/>
                <w:lang w:val="en-US" w:eastAsia="zh-CN"/>
              </w:rPr>
              <w:t>于确认日后</w:t>
            </w: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w:t>
            </w:r>
            <w:r>
              <w:rPr>
                <w:rFonts w:hint="eastAsia" w:ascii="宋体" w:hAnsi="宋体" w:cs="宋体"/>
                <w:color w:val="000000"/>
                <w:sz w:val="21"/>
                <w:szCs w:val="21"/>
                <w:highlight w:val="none"/>
              </w:rPr>
              <w:t>个</w:t>
            </w:r>
            <w:r>
              <w:rPr>
                <w:rFonts w:hint="eastAsia" w:ascii="宋体" w:hAnsi="宋体" w:cs="宋体"/>
                <w:color w:val="000000"/>
                <w:sz w:val="21"/>
                <w:szCs w:val="21"/>
                <w:highlight w:val="none"/>
                <w:lang w:eastAsia="zh-CN"/>
              </w:rPr>
              <w:t>交易日</w:t>
            </w:r>
            <w:r>
              <w:rPr>
                <w:rFonts w:hint="eastAsia" w:ascii="宋体" w:hAnsi="宋体" w:cs="宋体"/>
                <w:color w:val="000000"/>
                <w:sz w:val="21"/>
                <w:szCs w:val="21"/>
                <w:highlight w:val="none"/>
              </w:rPr>
              <w:t>内（遇节假日顺延）理财资金与收益一次性支付。如遇资金在途或法定</w:t>
            </w:r>
            <w:r>
              <w:rPr>
                <w:rFonts w:hint="eastAsia" w:ascii="宋体" w:hAnsi="宋体" w:cs="宋体"/>
                <w:color w:val="000000"/>
                <w:sz w:val="21"/>
                <w:szCs w:val="21"/>
                <w:highlight w:val="none"/>
                <w:lang w:val="en-US" w:eastAsia="zh-CN"/>
              </w:rPr>
              <w:t>工作</w:t>
            </w:r>
            <w:r>
              <w:rPr>
                <w:rFonts w:hint="eastAsia" w:ascii="宋体" w:hAnsi="宋体" w:cs="宋体"/>
                <w:color w:val="000000"/>
                <w:sz w:val="21"/>
                <w:szCs w:val="21"/>
                <w:highlight w:val="none"/>
                <w:lang w:eastAsia="zh-CN"/>
              </w:rPr>
              <w:t>日</w:t>
            </w:r>
            <w:r>
              <w:rPr>
                <w:rFonts w:hint="eastAsia" w:ascii="宋体" w:hAnsi="宋体" w:cs="宋体"/>
                <w:color w:val="000000"/>
                <w:sz w:val="21"/>
                <w:szCs w:val="21"/>
                <w:highlight w:val="none"/>
              </w:rPr>
              <w:t>调整，实际资金到账日以公告为准。</w:t>
            </w:r>
            <w:r>
              <w:rPr>
                <w:rFonts w:hint="eastAsia" w:ascii="宋体" w:hAnsi="宋体" w:cs="宋体"/>
                <w:color w:val="000000"/>
                <w:kern w:val="0"/>
                <w:sz w:val="21"/>
                <w:szCs w:val="21"/>
                <w:highlight w:val="none"/>
              </w:rPr>
              <w:t>（具体以销售机构规定为准）</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2.理财计划到期后，最快</w:t>
            </w:r>
            <w:r>
              <w:rPr>
                <w:rFonts w:hint="eastAsia" w:ascii="宋体" w:hAnsi="宋体" w:cs="宋体"/>
                <w:color w:val="000000"/>
                <w:sz w:val="21"/>
                <w:szCs w:val="21"/>
                <w:highlight w:val="none"/>
                <w:lang w:val="en-US" w:eastAsia="zh-CN"/>
              </w:rPr>
              <w:t>于到期日后〖1〗个交易</w:t>
            </w:r>
            <w:r>
              <w:rPr>
                <w:rFonts w:hint="eastAsia" w:ascii="宋体" w:hAnsi="宋体" w:cs="宋体"/>
                <w:color w:val="000000"/>
                <w:sz w:val="21"/>
                <w:szCs w:val="21"/>
                <w:highlight w:val="none"/>
                <w:lang w:eastAsia="zh-CN"/>
              </w:rPr>
              <w:t>日</w:t>
            </w:r>
            <w:r>
              <w:rPr>
                <w:rFonts w:hint="eastAsia" w:ascii="宋体" w:hAnsi="宋体" w:cs="宋体"/>
                <w:color w:val="000000"/>
                <w:sz w:val="21"/>
                <w:szCs w:val="21"/>
                <w:highlight w:val="none"/>
              </w:rPr>
              <w:t>，最晚</w:t>
            </w:r>
            <w:r>
              <w:rPr>
                <w:rFonts w:hint="eastAsia" w:ascii="宋体" w:hAnsi="宋体" w:cs="宋体"/>
                <w:color w:val="000000"/>
                <w:sz w:val="21"/>
                <w:szCs w:val="21"/>
                <w:highlight w:val="none"/>
                <w:lang w:val="en-US" w:eastAsia="zh-CN"/>
              </w:rPr>
              <w:t>于到期日后</w:t>
            </w: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color w:val="000000"/>
                <w:sz w:val="21"/>
                <w:szCs w:val="21"/>
                <w:highlight w:val="none"/>
              </w:rPr>
              <w:t>个</w:t>
            </w:r>
            <w:r>
              <w:rPr>
                <w:rFonts w:hint="eastAsia" w:ascii="宋体" w:hAnsi="宋体" w:cs="宋体"/>
                <w:color w:val="000000"/>
                <w:sz w:val="21"/>
                <w:szCs w:val="21"/>
                <w:highlight w:val="none"/>
                <w:lang w:eastAsia="zh-CN"/>
              </w:rPr>
              <w:t>交易日</w:t>
            </w:r>
            <w:r>
              <w:rPr>
                <w:rFonts w:hint="eastAsia" w:ascii="宋体" w:hAnsi="宋体" w:cs="宋体"/>
                <w:color w:val="000000"/>
                <w:sz w:val="21"/>
                <w:szCs w:val="21"/>
                <w:highlight w:val="none"/>
              </w:rPr>
              <w:t>内（遇节假日顺延）理财资金与收益一次性支付。如遇资金在途或法定工作日调整，实际资金到账日以公告为准。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widowControl/>
              <w:spacing w:line="360" w:lineRule="auto"/>
              <w:contextualSpacing/>
              <w:rPr>
                <w:rFonts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在满足收益分配基准日理财计划份额净值大于1元的情况下，管理人将</w:t>
            </w:r>
            <w:r>
              <w:rPr>
                <w:rFonts w:hint="eastAsia" w:ascii="宋体" w:hAnsi="宋体" w:cs="宋体"/>
                <w:sz w:val="21"/>
                <w:szCs w:val="21"/>
                <w:highlight w:val="none"/>
              </w:rPr>
              <w:t>〖</w:t>
            </w:r>
            <w:r>
              <w:rPr>
                <w:rFonts w:hint="eastAsia" w:ascii="宋体" w:hAnsi="宋体" w:cs="宋体"/>
                <w:sz w:val="21"/>
                <w:szCs w:val="21"/>
                <w:highlight w:val="none"/>
                <w:lang w:val="en-US" w:eastAsia="zh-CN"/>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widowControl/>
              <w:spacing w:line="360" w:lineRule="auto"/>
              <w:contextualSpacing/>
              <w:rPr>
                <w:rFonts w:hint="eastAsia" w:ascii="宋体" w:hAnsi="宋体" w:cs="宋体"/>
                <w:sz w:val="21"/>
                <w:szCs w:val="21"/>
                <w:highlight w:val="none"/>
              </w:rPr>
            </w:pPr>
            <w:r>
              <w:rPr>
                <w:rFonts w:hint="eastAsia" w:ascii="宋体" w:hAnsi="宋体" w:cs="宋体"/>
                <w:sz w:val="21"/>
                <w:szCs w:val="21"/>
                <w:highlight w:val="none"/>
              </w:rPr>
              <w:t>本理财计划</w:t>
            </w:r>
            <w:r>
              <w:rPr>
                <w:rFonts w:hint="eastAsia" w:ascii="宋体" w:hAnsi="宋体" w:cs="宋体"/>
                <w:sz w:val="21"/>
                <w:szCs w:val="21"/>
              </w:rPr>
              <w:t>〖A份额〗</w:t>
            </w:r>
            <w:r>
              <w:rPr>
                <w:rFonts w:hint="eastAsia" w:ascii="宋体" w:hAnsi="宋体" w:cs="宋体"/>
                <w:sz w:val="21"/>
                <w:szCs w:val="21"/>
                <w:highlight w:val="none"/>
              </w:rPr>
              <w:t>业绩比较基准为〖</w:t>
            </w:r>
            <w:r>
              <w:rPr>
                <w:rFonts w:hint="eastAsia" w:ascii="宋体" w:hAnsi="宋体" w:cs="宋体"/>
                <w:sz w:val="21"/>
                <w:szCs w:val="21"/>
                <w:highlight w:val="none"/>
                <w:lang w:val="en-US" w:eastAsia="zh-CN"/>
              </w:rPr>
              <w:t>1.80%-2.70%</w:t>
            </w:r>
            <w:r>
              <w:rPr>
                <w:rFonts w:hint="eastAsia" w:ascii="宋体" w:hAnsi="宋体" w:cs="宋体"/>
                <w:sz w:val="21"/>
                <w:szCs w:val="21"/>
                <w:highlight w:val="none"/>
              </w:rPr>
              <w:t>〗（年化）</w:t>
            </w:r>
          </w:p>
          <w:p>
            <w:pPr>
              <w:widowControl/>
              <w:spacing w:line="360" w:lineRule="auto"/>
              <w:contextualSpacing/>
              <w:rPr>
                <w:rFonts w:hint="eastAsia" w:ascii="宋体" w:hAnsi="宋体" w:cs="宋体"/>
                <w:sz w:val="21"/>
                <w:szCs w:val="21"/>
                <w:highlight w:val="none"/>
              </w:rPr>
            </w:pPr>
            <w:r>
              <w:rPr>
                <w:rFonts w:hint="eastAsia" w:ascii="宋体" w:hAnsi="宋体" w:cs="宋体"/>
                <w:sz w:val="21"/>
                <w:szCs w:val="21"/>
                <w:highlight w:val="none"/>
              </w:rPr>
              <w:t>本理财计划</w:t>
            </w:r>
            <w:r>
              <w:rPr>
                <w:rFonts w:hint="eastAsia" w:ascii="宋体" w:hAnsi="宋体" w:cs="宋体"/>
                <w:sz w:val="21"/>
                <w:szCs w:val="21"/>
              </w:rPr>
              <w:t>〖</w:t>
            </w:r>
            <w:r>
              <w:rPr>
                <w:rFonts w:hint="eastAsia" w:ascii="宋体" w:hAnsi="宋体" w:cs="宋体"/>
                <w:sz w:val="21"/>
                <w:szCs w:val="21"/>
                <w:lang w:val="en-US" w:eastAsia="zh-CN"/>
              </w:rPr>
              <w:t>B</w:t>
            </w:r>
            <w:r>
              <w:rPr>
                <w:rFonts w:hint="eastAsia" w:ascii="宋体" w:hAnsi="宋体" w:cs="宋体"/>
                <w:sz w:val="21"/>
                <w:szCs w:val="21"/>
              </w:rPr>
              <w:t>份额〗</w:t>
            </w:r>
            <w:r>
              <w:rPr>
                <w:rFonts w:hint="eastAsia" w:ascii="宋体" w:hAnsi="宋体" w:cs="宋体"/>
                <w:sz w:val="21"/>
                <w:szCs w:val="21"/>
                <w:highlight w:val="none"/>
              </w:rPr>
              <w:t>业绩比较基准为〖</w:t>
            </w:r>
            <w:r>
              <w:rPr>
                <w:rFonts w:hint="eastAsia" w:ascii="宋体" w:hAnsi="宋体" w:cs="宋体"/>
                <w:sz w:val="21"/>
                <w:szCs w:val="21"/>
                <w:highlight w:val="none"/>
                <w:lang w:val="en-US" w:eastAsia="zh-CN"/>
              </w:rPr>
              <w:t>1.80%-2.70%</w:t>
            </w:r>
            <w:r>
              <w:rPr>
                <w:rFonts w:hint="eastAsia" w:ascii="宋体" w:hAnsi="宋体" w:cs="宋体"/>
                <w:sz w:val="21"/>
                <w:szCs w:val="21"/>
                <w:highlight w:val="none"/>
              </w:rPr>
              <w:t>〗（年化）</w:t>
            </w:r>
          </w:p>
          <w:p>
            <w:pPr>
              <w:widowControl/>
              <w:spacing w:line="360" w:lineRule="auto"/>
              <w:contextualSpacing/>
              <w:rPr>
                <w:rFonts w:hint="eastAsia" w:ascii="宋体" w:hAnsi="宋体" w:cs="宋体"/>
                <w:sz w:val="21"/>
                <w:szCs w:val="21"/>
                <w:highlight w:val="none"/>
              </w:rPr>
            </w:pPr>
            <w:r>
              <w:rPr>
                <w:rFonts w:hint="eastAsia" w:ascii="宋体" w:hAnsi="宋体" w:cs="宋体"/>
                <w:sz w:val="21"/>
                <w:szCs w:val="21"/>
                <w:highlight w:val="none"/>
              </w:rPr>
              <w:t>本理财计划</w:t>
            </w:r>
            <w:r>
              <w:rPr>
                <w:rFonts w:hint="eastAsia" w:ascii="宋体" w:hAnsi="宋体" w:cs="宋体"/>
                <w:sz w:val="21"/>
                <w:szCs w:val="21"/>
              </w:rPr>
              <w:t>〖</w:t>
            </w:r>
            <w:r>
              <w:rPr>
                <w:rFonts w:hint="eastAsia" w:ascii="宋体" w:hAnsi="宋体" w:cs="宋体"/>
                <w:sz w:val="21"/>
                <w:szCs w:val="21"/>
                <w:lang w:val="en-US" w:eastAsia="zh-CN"/>
              </w:rPr>
              <w:t>C</w:t>
            </w:r>
            <w:r>
              <w:rPr>
                <w:rFonts w:hint="eastAsia" w:ascii="宋体" w:hAnsi="宋体" w:cs="宋体"/>
                <w:sz w:val="21"/>
                <w:szCs w:val="21"/>
              </w:rPr>
              <w:t>份额〗</w:t>
            </w:r>
            <w:r>
              <w:rPr>
                <w:rFonts w:hint="eastAsia" w:ascii="宋体" w:hAnsi="宋体" w:cs="宋体"/>
                <w:sz w:val="21"/>
                <w:szCs w:val="21"/>
                <w:highlight w:val="none"/>
              </w:rPr>
              <w:t>业绩比较基准为〖</w:t>
            </w:r>
            <w:r>
              <w:rPr>
                <w:rFonts w:hint="eastAsia" w:ascii="宋体" w:hAnsi="宋体" w:cs="宋体"/>
                <w:sz w:val="21"/>
                <w:szCs w:val="21"/>
                <w:highlight w:val="none"/>
                <w:lang w:val="en-US" w:eastAsia="zh-CN"/>
              </w:rPr>
              <w:t>1.90%-2.80%</w:t>
            </w:r>
            <w:r>
              <w:rPr>
                <w:rFonts w:hint="eastAsia" w:ascii="宋体" w:hAnsi="宋体" w:cs="宋体"/>
                <w:sz w:val="21"/>
                <w:szCs w:val="21"/>
                <w:highlight w:val="none"/>
              </w:rPr>
              <w:t>〗（年化）</w:t>
            </w:r>
          </w:p>
          <w:p>
            <w:pPr>
              <w:widowControl/>
              <w:spacing w:line="360" w:lineRule="auto"/>
              <w:contextualSpacing/>
              <w:rPr>
                <w:rFonts w:hint="eastAsia" w:ascii="宋体" w:hAnsi="宋体" w:cs="宋体"/>
                <w:sz w:val="21"/>
                <w:szCs w:val="21"/>
                <w:highlight w:val="none"/>
              </w:rPr>
            </w:pPr>
            <w:r>
              <w:rPr>
                <w:rFonts w:hint="eastAsia" w:ascii="宋体" w:hAnsi="宋体" w:cs="宋体"/>
                <w:sz w:val="21"/>
                <w:szCs w:val="21"/>
                <w:highlight w:val="none"/>
              </w:rPr>
              <w:t>本理财计划</w:t>
            </w:r>
            <w:r>
              <w:rPr>
                <w:rFonts w:hint="eastAsia" w:ascii="宋体" w:hAnsi="宋体" w:cs="宋体"/>
                <w:sz w:val="21"/>
                <w:szCs w:val="21"/>
              </w:rPr>
              <w:t>〖</w:t>
            </w:r>
            <w:r>
              <w:rPr>
                <w:rFonts w:hint="eastAsia" w:ascii="宋体" w:hAnsi="宋体" w:cs="宋体"/>
                <w:sz w:val="21"/>
                <w:szCs w:val="21"/>
                <w:lang w:val="en-US" w:eastAsia="zh-CN"/>
              </w:rPr>
              <w:t>D</w:t>
            </w:r>
            <w:r>
              <w:rPr>
                <w:rFonts w:hint="eastAsia" w:ascii="宋体" w:hAnsi="宋体" w:cs="宋体"/>
                <w:sz w:val="21"/>
                <w:szCs w:val="21"/>
              </w:rPr>
              <w:t>份额〗</w:t>
            </w:r>
            <w:r>
              <w:rPr>
                <w:rFonts w:hint="eastAsia" w:ascii="宋体" w:hAnsi="宋体" w:cs="宋体"/>
                <w:sz w:val="21"/>
                <w:szCs w:val="21"/>
                <w:highlight w:val="none"/>
              </w:rPr>
              <w:t>业绩比较基准为〖</w:t>
            </w:r>
            <w:r>
              <w:rPr>
                <w:rFonts w:hint="eastAsia" w:ascii="宋体" w:hAnsi="宋体" w:cs="宋体"/>
                <w:sz w:val="21"/>
                <w:szCs w:val="21"/>
                <w:highlight w:val="none"/>
                <w:lang w:val="en-US" w:eastAsia="zh-CN"/>
              </w:rPr>
              <w:t>1.80%-2.70%</w:t>
            </w:r>
            <w:r>
              <w:rPr>
                <w:rFonts w:hint="eastAsia" w:ascii="宋体" w:hAnsi="宋体" w:cs="宋体"/>
                <w:sz w:val="21"/>
                <w:szCs w:val="21"/>
                <w:highlight w:val="none"/>
              </w:rPr>
              <w:t>〗（年化）</w:t>
            </w:r>
          </w:p>
          <w:p>
            <w:pPr>
              <w:widowControl/>
              <w:spacing w:line="360" w:lineRule="auto"/>
              <w:contextualSpacing/>
              <w:rPr>
                <w:rFonts w:hint="eastAsia" w:ascii="宋体" w:hAnsi="宋体" w:cs="宋体"/>
                <w:sz w:val="21"/>
                <w:szCs w:val="21"/>
                <w:highlight w:val="none"/>
              </w:rPr>
            </w:pPr>
            <w:r>
              <w:rPr>
                <w:rFonts w:hint="eastAsia" w:ascii="宋体" w:hAnsi="宋体" w:cs="宋体"/>
                <w:sz w:val="21"/>
                <w:szCs w:val="21"/>
                <w:highlight w:val="none"/>
              </w:rPr>
              <w:t>本理财计划</w:t>
            </w:r>
            <w:r>
              <w:rPr>
                <w:rFonts w:hint="eastAsia" w:ascii="宋体" w:hAnsi="宋体" w:cs="宋体"/>
                <w:sz w:val="21"/>
                <w:szCs w:val="21"/>
              </w:rPr>
              <w:t>〖</w:t>
            </w:r>
            <w:r>
              <w:rPr>
                <w:rFonts w:hint="eastAsia" w:ascii="宋体" w:hAnsi="宋体" w:cs="宋体"/>
                <w:sz w:val="21"/>
                <w:szCs w:val="21"/>
                <w:lang w:val="en-US" w:eastAsia="zh-CN"/>
              </w:rPr>
              <w:t>W</w:t>
            </w:r>
            <w:r>
              <w:rPr>
                <w:rFonts w:hint="eastAsia" w:ascii="宋体" w:hAnsi="宋体" w:cs="宋体"/>
                <w:sz w:val="21"/>
                <w:szCs w:val="21"/>
              </w:rPr>
              <w:t>份额〗</w:t>
            </w:r>
            <w:r>
              <w:rPr>
                <w:rFonts w:hint="eastAsia" w:ascii="宋体" w:hAnsi="宋体" w:cs="宋体"/>
                <w:sz w:val="21"/>
                <w:szCs w:val="21"/>
                <w:highlight w:val="none"/>
              </w:rPr>
              <w:t>业绩比较基准为〖</w:t>
            </w:r>
            <w:r>
              <w:rPr>
                <w:rFonts w:hint="eastAsia" w:ascii="宋体" w:hAnsi="宋体" w:cs="宋体"/>
                <w:sz w:val="21"/>
                <w:szCs w:val="21"/>
                <w:highlight w:val="none"/>
                <w:lang w:val="en-US" w:eastAsia="zh-CN"/>
              </w:rPr>
              <w:t>1.70%-2.60%</w:t>
            </w:r>
            <w:r>
              <w:rPr>
                <w:rFonts w:hint="eastAsia" w:ascii="宋体" w:hAnsi="宋体" w:cs="宋体"/>
                <w:sz w:val="21"/>
                <w:szCs w:val="21"/>
                <w:highlight w:val="none"/>
              </w:rPr>
              <w:t>〗（年化）</w:t>
            </w:r>
          </w:p>
          <w:p>
            <w:pPr>
              <w:widowControl/>
              <w:spacing w:line="360" w:lineRule="auto"/>
              <w:contextualSpacing/>
              <w:rPr>
                <w:rFonts w:hint="eastAsia" w:ascii="宋体" w:hAnsi="宋体" w:cs="宋体"/>
                <w:sz w:val="21"/>
                <w:szCs w:val="21"/>
                <w:highlight w:val="none"/>
              </w:rPr>
            </w:pPr>
            <w:r>
              <w:rPr>
                <w:rFonts w:hint="eastAsia" w:ascii="宋体" w:hAnsi="宋体" w:cs="宋体"/>
                <w:sz w:val="21"/>
                <w:szCs w:val="21"/>
                <w:highlight w:val="none"/>
              </w:rPr>
              <w:t>本理财计划</w:t>
            </w:r>
            <w:r>
              <w:rPr>
                <w:rFonts w:hint="eastAsia" w:ascii="宋体" w:hAnsi="宋体" w:cs="宋体"/>
                <w:sz w:val="21"/>
                <w:szCs w:val="21"/>
              </w:rPr>
              <w:t>〖</w:t>
            </w:r>
            <w:r>
              <w:rPr>
                <w:rFonts w:hint="eastAsia" w:ascii="宋体" w:hAnsi="宋体" w:cs="宋体"/>
                <w:sz w:val="21"/>
                <w:szCs w:val="21"/>
                <w:lang w:val="en-US" w:eastAsia="zh-CN"/>
              </w:rPr>
              <w:t>P</w:t>
            </w:r>
            <w:r>
              <w:rPr>
                <w:rFonts w:hint="eastAsia" w:ascii="宋体" w:hAnsi="宋体" w:cs="宋体"/>
                <w:sz w:val="21"/>
                <w:szCs w:val="21"/>
              </w:rPr>
              <w:t>份额〗</w:t>
            </w:r>
            <w:r>
              <w:rPr>
                <w:rFonts w:hint="eastAsia" w:ascii="宋体" w:hAnsi="宋体" w:cs="宋体"/>
                <w:sz w:val="21"/>
                <w:szCs w:val="21"/>
                <w:highlight w:val="none"/>
              </w:rPr>
              <w:t>业绩比较基准为〖</w:t>
            </w:r>
            <w:r>
              <w:rPr>
                <w:rFonts w:hint="eastAsia" w:ascii="宋体" w:hAnsi="宋体" w:cs="宋体"/>
                <w:sz w:val="21"/>
                <w:szCs w:val="21"/>
                <w:highlight w:val="none"/>
                <w:lang w:val="en-US" w:eastAsia="zh-CN"/>
              </w:rPr>
              <w:t>1.80%-2.70%</w:t>
            </w:r>
            <w:r>
              <w:rPr>
                <w:rFonts w:hint="eastAsia" w:ascii="宋体" w:hAnsi="宋体" w:cs="宋体"/>
                <w:sz w:val="21"/>
                <w:szCs w:val="21"/>
                <w:highlight w:val="none"/>
              </w:rPr>
              <w:t>〗（年化）</w:t>
            </w:r>
          </w:p>
          <w:p>
            <w:pPr>
              <w:widowControl/>
              <w:spacing w:line="360" w:lineRule="auto"/>
              <w:jc w:val="left"/>
              <w:rPr>
                <w:rFonts w:hint="eastAsia" w:ascii="宋体" w:hAnsi="宋体" w:cs="宋体"/>
                <w:b/>
                <w:bCs/>
                <w:sz w:val="21"/>
                <w:szCs w:val="21"/>
                <w:highlight w:val="none"/>
              </w:rPr>
            </w:pPr>
            <w:r>
              <w:rPr>
                <w:rFonts w:hint="eastAsia" w:ascii="宋体" w:hAnsi="宋体" w:cs="宋体"/>
                <w:b/>
                <w:bCs/>
                <w:sz w:val="21"/>
                <w:szCs w:val="21"/>
                <w:highlight w:val="none"/>
              </w:rPr>
              <w:t>业绩基准测算依据：本理财计划</w:t>
            </w:r>
            <w:r>
              <w:rPr>
                <w:rFonts w:hint="eastAsia" w:ascii="宋体" w:hAnsi="宋体" w:cs="宋体"/>
                <w:b/>
                <w:bCs/>
                <w:sz w:val="21"/>
                <w:szCs w:val="21"/>
                <w:highlight w:val="none"/>
                <w:lang w:val="en-US" w:eastAsia="zh-CN"/>
              </w:rPr>
              <w:t>重点</w:t>
            </w:r>
            <w:r>
              <w:rPr>
                <w:rFonts w:hint="eastAsia" w:ascii="宋体" w:hAnsi="宋体" w:cs="宋体"/>
                <w:b/>
                <w:bCs/>
                <w:sz w:val="21"/>
                <w:szCs w:val="21"/>
                <w:highlight w:val="none"/>
              </w:rPr>
              <w:t>投资于</w:t>
            </w:r>
            <w:r>
              <w:rPr>
                <w:rFonts w:hint="eastAsia" w:ascii="宋体" w:hAnsi="宋体" w:cs="宋体"/>
                <w:b/>
                <w:bCs/>
                <w:sz w:val="21"/>
                <w:szCs w:val="21"/>
                <w:highlight w:val="none"/>
                <w:lang w:val="en-US" w:eastAsia="zh-CN"/>
              </w:rPr>
              <w:t>同业存单、存款、信用债等资产，根据当前市场环境，拟投资产收益率在1.40%-2.90%左右，同时根据流动性管理需要和监管要求配置不低于5%的高流动性资产。综合来看，扣除相关税费成本后，</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A份额</w:t>
            </w:r>
            <w:r>
              <w:rPr>
                <w:rFonts w:hint="eastAsia" w:ascii="宋体" w:hAnsi="宋体" w:cs="宋体"/>
                <w:b/>
                <w:bCs/>
                <w:sz w:val="21"/>
                <w:szCs w:val="21"/>
                <w:highlight w:val="none"/>
              </w:rPr>
              <w:t>〗</w:t>
            </w:r>
            <w:r>
              <w:rPr>
                <w:rFonts w:hint="eastAsia" w:ascii="宋体" w:hAnsi="宋体" w:cs="宋体"/>
                <w:b/>
                <w:bCs/>
                <w:sz w:val="21"/>
                <w:szCs w:val="21"/>
                <w:highlight w:val="none"/>
                <w:lang w:eastAsia="zh-CN"/>
              </w:rPr>
              <w:t>、</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B</w:t>
            </w:r>
            <w:r>
              <w:rPr>
                <w:rFonts w:hint="eastAsia" w:ascii="宋体" w:hAnsi="宋体" w:cs="宋体"/>
                <w:b/>
                <w:bCs/>
                <w:sz w:val="21"/>
                <w:szCs w:val="21"/>
                <w:highlight w:val="none"/>
              </w:rPr>
              <w:t>份额〗</w:t>
            </w:r>
            <w:r>
              <w:rPr>
                <w:rFonts w:hint="eastAsia" w:ascii="宋体" w:hAnsi="宋体" w:cs="宋体"/>
                <w:b/>
                <w:bCs/>
                <w:sz w:val="21"/>
                <w:szCs w:val="21"/>
                <w:highlight w:val="none"/>
                <w:lang w:eastAsia="zh-CN"/>
              </w:rPr>
              <w:t>、</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D</w:t>
            </w:r>
            <w:r>
              <w:rPr>
                <w:rFonts w:hint="eastAsia" w:ascii="宋体" w:hAnsi="宋体" w:cs="宋体"/>
                <w:b/>
                <w:bCs/>
                <w:sz w:val="21"/>
                <w:szCs w:val="21"/>
                <w:highlight w:val="none"/>
              </w:rPr>
              <w:t>份额〗</w:t>
            </w:r>
            <w:r>
              <w:rPr>
                <w:rFonts w:hint="eastAsia" w:ascii="宋体" w:hAnsi="宋体" w:cs="宋体"/>
                <w:b/>
                <w:bCs/>
                <w:sz w:val="21"/>
                <w:szCs w:val="21"/>
                <w:highlight w:val="none"/>
                <w:lang w:val="en-US" w:eastAsia="zh-CN"/>
              </w:rPr>
              <w:t>和</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P</w:t>
            </w:r>
            <w:r>
              <w:rPr>
                <w:rFonts w:hint="eastAsia" w:ascii="宋体" w:hAnsi="宋体" w:cs="宋体"/>
                <w:b/>
                <w:bCs/>
                <w:sz w:val="21"/>
                <w:szCs w:val="21"/>
                <w:highlight w:val="none"/>
              </w:rPr>
              <w:t>份额〗</w:t>
            </w:r>
            <w:r>
              <w:rPr>
                <w:rFonts w:hint="eastAsia" w:ascii="宋体" w:hAnsi="宋体" w:cs="宋体"/>
                <w:b/>
                <w:bCs/>
                <w:sz w:val="21"/>
                <w:szCs w:val="21"/>
                <w:highlight w:val="none"/>
                <w:lang w:eastAsia="zh-CN"/>
              </w:rPr>
              <w:t>投资者可获得收益率的中枢</w:t>
            </w:r>
            <w:r>
              <w:rPr>
                <w:rFonts w:hint="eastAsia" w:ascii="宋体" w:hAnsi="宋体" w:cs="宋体"/>
                <w:b/>
                <w:bCs/>
                <w:sz w:val="21"/>
                <w:szCs w:val="21"/>
                <w:highlight w:val="none"/>
                <w:lang w:val="en-US" w:eastAsia="zh-CN"/>
              </w:rPr>
              <w:t>预计在</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1.80%</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左右；</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C份额</w:t>
            </w:r>
            <w:r>
              <w:rPr>
                <w:rFonts w:hint="eastAsia" w:ascii="宋体" w:hAnsi="宋体" w:cs="宋体"/>
                <w:b/>
                <w:bCs/>
                <w:sz w:val="21"/>
                <w:szCs w:val="21"/>
                <w:highlight w:val="none"/>
              </w:rPr>
              <w:t>〗</w:t>
            </w:r>
            <w:r>
              <w:rPr>
                <w:rFonts w:hint="eastAsia" w:ascii="宋体" w:hAnsi="宋体" w:cs="宋体"/>
                <w:b/>
                <w:bCs/>
                <w:sz w:val="21"/>
                <w:szCs w:val="21"/>
                <w:highlight w:val="none"/>
                <w:lang w:eastAsia="zh-CN"/>
              </w:rPr>
              <w:t>投资者可获得收益率的中枢</w:t>
            </w:r>
            <w:r>
              <w:rPr>
                <w:rFonts w:hint="eastAsia" w:ascii="宋体" w:hAnsi="宋体" w:cs="宋体"/>
                <w:b/>
                <w:bCs/>
                <w:sz w:val="21"/>
                <w:szCs w:val="21"/>
                <w:highlight w:val="none"/>
                <w:lang w:val="en-US" w:eastAsia="zh-CN"/>
              </w:rPr>
              <w:t>预计在</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1.90%</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左右；</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W份额</w:t>
            </w:r>
            <w:r>
              <w:rPr>
                <w:rFonts w:hint="eastAsia" w:ascii="宋体" w:hAnsi="宋体" w:cs="宋体"/>
                <w:b/>
                <w:bCs/>
                <w:sz w:val="21"/>
                <w:szCs w:val="21"/>
                <w:highlight w:val="none"/>
              </w:rPr>
              <w:t>〗</w:t>
            </w:r>
            <w:r>
              <w:rPr>
                <w:rFonts w:hint="eastAsia" w:ascii="宋体" w:hAnsi="宋体" w:cs="宋体"/>
                <w:b/>
                <w:bCs/>
                <w:sz w:val="21"/>
                <w:szCs w:val="21"/>
                <w:highlight w:val="none"/>
                <w:lang w:eastAsia="zh-CN"/>
              </w:rPr>
              <w:t>投资者可获得收益率的中枢</w:t>
            </w:r>
            <w:r>
              <w:rPr>
                <w:rFonts w:hint="eastAsia" w:ascii="宋体" w:hAnsi="宋体" w:cs="宋体"/>
                <w:b/>
                <w:bCs/>
                <w:sz w:val="21"/>
                <w:szCs w:val="21"/>
                <w:highlight w:val="none"/>
                <w:lang w:val="en-US" w:eastAsia="zh-CN"/>
              </w:rPr>
              <w:t>预计在</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1.70%</w:t>
            </w: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左右</w:t>
            </w:r>
            <w:r>
              <w:rPr>
                <w:rFonts w:hint="eastAsia" w:ascii="宋体" w:hAnsi="宋体" w:cs="宋体"/>
                <w:b/>
                <w:bCs/>
                <w:sz w:val="21"/>
                <w:szCs w:val="21"/>
                <w:highlight w:val="none"/>
              </w:rPr>
              <w:t>。</w:t>
            </w:r>
          </w:p>
          <w:p>
            <w:pPr>
              <w:widowControl/>
              <w:spacing w:line="360" w:lineRule="auto"/>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本理财计划为净值型理财产品，其业绩表现将随市场波动具有不确定性。本公司提醒投资者关注，业绩比较基准</w:t>
            </w:r>
            <w:r>
              <w:rPr>
                <w:rFonts w:hint="eastAsia" w:ascii="宋体" w:hAnsi="宋体" w:cs="宋体"/>
                <w:b/>
                <w:sz w:val="21"/>
                <w:szCs w:val="21"/>
                <w:highlight w:val="none"/>
                <w:lang w:val="en-US" w:eastAsia="zh-CN"/>
              </w:rPr>
              <w:t>不是预期收益率，并</w:t>
            </w:r>
            <w:r>
              <w:rPr>
                <w:rFonts w:hint="eastAsia" w:ascii="宋体" w:hAnsi="宋体" w:cs="宋体"/>
                <w:b/>
                <w:sz w:val="21"/>
                <w:szCs w:val="21"/>
                <w:highlight w:val="none"/>
              </w:rPr>
              <w:t>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widowControl/>
              <w:spacing w:line="360" w:lineRule="auto"/>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cs="宋体"/>
                <w:sz w:val="21"/>
                <w:szCs w:val="21"/>
              </w:rPr>
              <w:t>〖A份额〗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0.30%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r>
              <w:rPr>
                <w:rFonts w:hint="eastAsia" w:ascii="宋体" w:hAnsi="宋体" w:cs="宋体"/>
                <w:sz w:val="21"/>
                <w:szCs w:val="21"/>
              </w:rPr>
              <w:t>〖</w:t>
            </w:r>
            <w:r>
              <w:rPr>
                <w:rFonts w:hint="eastAsia" w:ascii="宋体" w:hAnsi="宋体" w:cs="宋体"/>
                <w:sz w:val="21"/>
                <w:szCs w:val="21"/>
                <w:lang w:val="en-US" w:eastAsia="zh-CN"/>
              </w:rPr>
              <w:t>B</w:t>
            </w:r>
            <w:r>
              <w:rPr>
                <w:rFonts w:hint="eastAsia" w:ascii="宋体" w:hAnsi="宋体" w:cs="宋体"/>
                <w:sz w:val="21"/>
                <w:szCs w:val="21"/>
              </w:rPr>
              <w:t>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0.20%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r>
              <w:rPr>
                <w:rFonts w:hint="eastAsia" w:ascii="宋体" w:hAnsi="宋体" w:cs="宋体"/>
                <w:sz w:val="21"/>
                <w:szCs w:val="21"/>
              </w:rPr>
              <w:t>〖</w:t>
            </w:r>
            <w:r>
              <w:rPr>
                <w:rFonts w:hint="eastAsia" w:ascii="宋体" w:hAnsi="宋体" w:cs="宋体"/>
                <w:sz w:val="21"/>
                <w:szCs w:val="21"/>
                <w:lang w:val="en-US" w:eastAsia="zh-CN"/>
              </w:rPr>
              <w:t>C</w:t>
            </w:r>
            <w:r>
              <w:rPr>
                <w:rFonts w:hint="eastAsia" w:ascii="宋体" w:hAnsi="宋体" w:cs="宋体"/>
                <w:sz w:val="21"/>
                <w:szCs w:val="21"/>
              </w:rPr>
              <w:t>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0.20%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r>
              <w:rPr>
                <w:rFonts w:hint="eastAsia" w:ascii="宋体" w:hAnsi="宋体" w:cs="宋体"/>
                <w:sz w:val="21"/>
                <w:szCs w:val="21"/>
              </w:rPr>
              <w:t>〖</w:t>
            </w:r>
            <w:r>
              <w:rPr>
                <w:rFonts w:hint="eastAsia" w:ascii="宋体" w:hAnsi="宋体" w:cs="宋体"/>
                <w:sz w:val="21"/>
                <w:szCs w:val="21"/>
                <w:lang w:val="en-US" w:eastAsia="zh-CN"/>
              </w:rPr>
              <w:t>D</w:t>
            </w:r>
            <w:r>
              <w:rPr>
                <w:rFonts w:hint="eastAsia" w:ascii="宋体" w:hAnsi="宋体" w:cs="宋体"/>
                <w:sz w:val="21"/>
                <w:szCs w:val="21"/>
              </w:rPr>
              <w:t>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0.10%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r>
              <w:rPr>
                <w:rFonts w:hint="eastAsia" w:ascii="宋体" w:hAnsi="宋体" w:cs="宋体"/>
                <w:sz w:val="21"/>
                <w:szCs w:val="21"/>
              </w:rPr>
              <w:t>〖</w:t>
            </w:r>
            <w:r>
              <w:rPr>
                <w:rFonts w:hint="eastAsia" w:ascii="宋体" w:hAnsi="宋体" w:cs="宋体"/>
                <w:sz w:val="21"/>
                <w:szCs w:val="21"/>
                <w:lang w:val="en-US" w:eastAsia="zh-CN"/>
              </w:rPr>
              <w:t>W</w:t>
            </w:r>
            <w:r>
              <w:rPr>
                <w:rFonts w:hint="eastAsia" w:ascii="宋体" w:hAnsi="宋体" w:cs="宋体"/>
                <w:sz w:val="21"/>
                <w:szCs w:val="21"/>
              </w:rPr>
              <w:t>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0.40%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r>
              <w:rPr>
                <w:rFonts w:hint="eastAsia" w:ascii="宋体" w:hAnsi="宋体" w:cs="宋体"/>
                <w:sz w:val="21"/>
                <w:szCs w:val="21"/>
              </w:rPr>
              <w:t>〖</w:t>
            </w:r>
            <w:r>
              <w:rPr>
                <w:rFonts w:hint="eastAsia" w:ascii="宋体" w:hAnsi="宋体" w:cs="宋体"/>
                <w:sz w:val="21"/>
                <w:szCs w:val="21"/>
                <w:lang w:val="en-US" w:eastAsia="zh-CN"/>
              </w:rPr>
              <w:t>P</w:t>
            </w:r>
            <w:r>
              <w:rPr>
                <w:rFonts w:hint="eastAsia" w:ascii="宋体" w:hAnsi="宋体" w:cs="宋体"/>
                <w:sz w:val="21"/>
                <w:szCs w:val="21"/>
              </w:rPr>
              <w:t>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0.20%</w:t>
            </w:r>
            <w:r>
              <w:rPr>
                <w:rFonts w:hint="eastAsia" w:ascii="宋体" w:hAnsi="宋体" w:cs="宋体"/>
                <w:sz w:val="21"/>
                <w:szCs w:val="21"/>
                <w:highlight w:val="none"/>
              </w:rPr>
              <w:t>〗</w:t>
            </w:r>
            <w:r>
              <w:rPr>
                <w:rFonts w:hint="eastAsia" w:ascii="宋体" w:hAnsi="宋体" w:cs="宋体"/>
                <w:color w:val="000000"/>
                <w:sz w:val="21"/>
                <w:szCs w:val="21"/>
                <w:highlight w:val="none"/>
              </w:rPr>
              <w:t>的</w:t>
            </w:r>
            <w:r>
              <w:rPr>
                <w:rFonts w:hint="eastAsia" w:ascii="宋体" w:hAnsi="宋体" w:cs="宋体"/>
                <w:color w:val="000000"/>
                <w:sz w:val="21"/>
                <w:szCs w:val="21"/>
                <w:highlight w:val="none"/>
                <w:lang w:eastAsia="zh-CN"/>
              </w:rPr>
              <w:t>销售服务费。</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0.025</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widowControl/>
              <w:spacing w:line="360" w:lineRule="auto"/>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cs="宋体"/>
                <w:sz w:val="21"/>
                <w:szCs w:val="21"/>
              </w:rPr>
              <w:t>〖A份额〗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0.20%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r>
              <w:rPr>
                <w:rFonts w:hint="eastAsia" w:ascii="宋体" w:hAnsi="宋体" w:cs="宋体"/>
                <w:color w:val="000000"/>
                <w:sz w:val="21"/>
                <w:szCs w:val="21"/>
                <w:highlight w:val="none"/>
                <w:lang w:eastAsia="zh-CN"/>
              </w:rPr>
              <w:t>；</w:t>
            </w:r>
            <w:r>
              <w:rPr>
                <w:rFonts w:hint="eastAsia" w:ascii="宋体" w:hAnsi="宋体" w:cs="宋体"/>
                <w:sz w:val="21"/>
                <w:szCs w:val="21"/>
              </w:rPr>
              <w:t>〖</w:t>
            </w:r>
            <w:r>
              <w:rPr>
                <w:rFonts w:hint="eastAsia" w:ascii="宋体" w:hAnsi="宋体" w:cs="宋体"/>
                <w:sz w:val="21"/>
                <w:szCs w:val="21"/>
                <w:lang w:val="en-US" w:eastAsia="zh-CN"/>
              </w:rPr>
              <w:t>B</w:t>
            </w:r>
            <w:r>
              <w:rPr>
                <w:rFonts w:hint="eastAsia" w:ascii="宋体" w:hAnsi="宋体" w:cs="宋体"/>
                <w:sz w:val="21"/>
                <w:szCs w:val="21"/>
              </w:rPr>
              <w:t>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0.30%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r>
              <w:rPr>
                <w:rFonts w:hint="eastAsia" w:ascii="宋体" w:hAnsi="宋体" w:cs="宋体"/>
                <w:color w:val="000000"/>
                <w:sz w:val="21"/>
                <w:szCs w:val="21"/>
                <w:highlight w:val="none"/>
                <w:lang w:eastAsia="zh-CN"/>
              </w:rPr>
              <w:t>；</w:t>
            </w:r>
            <w:r>
              <w:rPr>
                <w:rFonts w:hint="eastAsia" w:ascii="宋体" w:hAnsi="宋体" w:cs="宋体"/>
                <w:sz w:val="21"/>
                <w:szCs w:val="21"/>
              </w:rPr>
              <w:t>〖</w:t>
            </w:r>
            <w:r>
              <w:rPr>
                <w:rFonts w:hint="eastAsia" w:ascii="宋体" w:hAnsi="宋体" w:cs="宋体"/>
                <w:sz w:val="21"/>
                <w:szCs w:val="21"/>
                <w:lang w:val="en-US" w:eastAsia="zh-CN"/>
              </w:rPr>
              <w:t>C</w:t>
            </w:r>
            <w:r>
              <w:rPr>
                <w:rFonts w:hint="eastAsia" w:ascii="宋体" w:hAnsi="宋体" w:cs="宋体"/>
                <w:sz w:val="21"/>
                <w:szCs w:val="21"/>
              </w:rPr>
              <w:t>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0.20%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r>
              <w:rPr>
                <w:rFonts w:hint="eastAsia" w:ascii="宋体" w:hAnsi="宋体" w:cs="宋体"/>
                <w:color w:val="000000"/>
                <w:sz w:val="21"/>
                <w:szCs w:val="21"/>
                <w:highlight w:val="none"/>
                <w:lang w:eastAsia="zh-CN"/>
              </w:rPr>
              <w:t>；</w:t>
            </w:r>
            <w:r>
              <w:rPr>
                <w:rFonts w:hint="eastAsia" w:ascii="宋体" w:hAnsi="宋体" w:cs="宋体"/>
                <w:sz w:val="21"/>
                <w:szCs w:val="21"/>
              </w:rPr>
              <w:t>〖</w:t>
            </w:r>
            <w:r>
              <w:rPr>
                <w:rFonts w:hint="eastAsia" w:ascii="宋体" w:hAnsi="宋体" w:cs="宋体"/>
                <w:sz w:val="21"/>
                <w:szCs w:val="21"/>
                <w:lang w:val="en-US" w:eastAsia="zh-CN"/>
              </w:rPr>
              <w:t>D</w:t>
            </w:r>
            <w:r>
              <w:rPr>
                <w:rFonts w:hint="eastAsia" w:ascii="宋体" w:hAnsi="宋体" w:cs="宋体"/>
                <w:sz w:val="21"/>
                <w:szCs w:val="21"/>
              </w:rPr>
              <w:t>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0.40%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r>
              <w:rPr>
                <w:rFonts w:hint="eastAsia" w:ascii="宋体" w:hAnsi="宋体" w:cs="宋体"/>
                <w:color w:val="000000"/>
                <w:sz w:val="21"/>
                <w:szCs w:val="21"/>
                <w:highlight w:val="none"/>
                <w:lang w:eastAsia="zh-CN"/>
              </w:rPr>
              <w:t>；</w:t>
            </w:r>
            <w:r>
              <w:rPr>
                <w:rFonts w:hint="eastAsia" w:ascii="宋体" w:hAnsi="宋体" w:cs="宋体"/>
                <w:sz w:val="21"/>
                <w:szCs w:val="21"/>
              </w:rPr>
              <w:t>〖</w:t>
            </w:r>
            <w:r>
              <w:rPr>
                <w:rFonts w:hint="eastAsia" w:ascii="宋体" w:hAnsi="宋体" w:cs="宋体"/>
                <w:sz w:val="21"/>
                <w:szCs w:val="21"/>
                <w:lang w:val="en-US" w:eastAsia="zh-CN"/>
              </w:rPr>
              <w:t>W</w:t>
            </w:r>
            <w:r>
              <w:rPr>
                <w:rFonts w:hint="eastAsia" w:ascii="宋体" w:hAnsi="宋体" w:cs="宋体"/>
                <w:sz w:val="21"/>
                <w:szCs w:val="21"/>
              </w:rPr>
              <w:t>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0.20%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r>
              <w:rPr>
                <w:rFonts w:hint="eastAsia" w:ascii="宋体" w:hAnsi="宋体" w:cs="宋体"/>
                <w:color w:val="000000"/>
                <w:sz w:val="21"/>
                <w:szCs w:val="21"/>
                <w:highlight w:val="none"/>
                <w:lang w:eastAsia="zh-CN"/>
              </w:rPr>
              <w:t>；</w:t>
            </w:r>
            <w:r>
              <w:rPr>
                <w:rFonts w:hint="eastAsia" w:ascii="宋体" w:hAnsi="宋体" w:cs="宋体"/>
                <w:sz w:val="21"/>
                <w:szCs w:val="21"/>
              </w:rPr>
              <w:t>〖</w:t>
            </w:r>
            <w:r>
              <w:rPr>
                <w:rFonts w:hint="eastAsia" w:ascii="宋体" w:hAnsi="宋体" w:cs="宋体"/>
                <w:sz w:val="21"/>
                <w:szCs w:val="21"/>
                <w:lang w:val="en-US" w:eastAsia="zh-CN"/>
              </w:rPr>
              <w:t>P</w:t>
            </w:r>
            <w:r>
              <w:rPr>
                <w:rFonts w:hint="eastAsia" w:ascii="宋体" w:hAnsi="宋体" w:cs="宋体"/>
                <w:sz w:val="21"/>
                <w:szCs w:val="21"/>
              </w:rPr>
              <w:t>份额〗</w:t>
            </w:r>
            <w:r>
              <w:rPr>
                <w:rFonts w:hint="eastAsia" w:ascii="宋体" w:hAnsi="宋体" w:cs="宋体"/>
                <w:color w:val="000000"/>
                <w:sz w:val="21"/>
                <w:szCs w:val="21"/>
                <w:highlight w:val="none"/>
              </w:rPr>
              <w:t>收取年化</w:t>
            </w:r>
            <w:r>
              <w:rPr>
                <w:rFonts w:hint="eastAsia" w:ascii="宋体" w:hAnsi="宋体" w:cs="宋体"/>
                <w:sz w:val="21"/>
                <w:szCs w:val="21"/>
                <w:highlight w:val="none"/>
              </w:rPr>
              <w:t>〖</w:t>
            </w:r>
            <w:r>
              <w:rPr>
                <w:rFonts w:hint="eastAsia" w:ascii="宋体" w:hAnsi="宋体" w:cs="宋体"/>
                <w:sz w:val="21"/>
                <w:szCs w:val="21"/>
                <w:highlight w:val="none"/>
                <w:lang w:val="en-US" w:eastAsia="zh-CN"/>
              </w:rPr>
              <w:t>0.30%</w:t>
            </w:r>
            <w:r>
              <w:rPr>
                <w:rFonts w:hint="eastAsia" w:ascii="宋体" w:hAnsi="宋体" w:cs="宋体"/>
                <w:sz w:val="21"/>
                <w:szCs w:val="21"/>
                <w:highlight w:val="none"/>
              </w:rPr>
              <w:t>〗</w:t>
            </w:r>
            <w:r>
              <w:rPr>
                <w:rFonts w:hint="eastAsia" w:ascii="宋体" w:hAnsi="宋体" w:cs="宋体"/>
                <w:color w:val="000000"/>
                <w:sz w:val="21"/>
                <w:szCs w:val="21"/>
                <w:highlight w:val="none"/>
              </w:rPr>
              <w:t>的固定管理费。</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4.认购费：本理财计划免除认购费。</w:t>
            </w:r>
          </w:p>
          <w:p>
            <w:pPr>
              <w:widowControl/>
              <w:spacing w:line="360" w:lineRule="auto"/>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widowControl/>
              <w:spacing w:line="360" w:lineRule="auto"/>
              <w:contextualSpacing/>
              <w:rPr>
                <w:rFonts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widowControl/>
              <w:spacing w:line="360" w:lineRule="auto"/>
              <w:contextualSpacing/>
              <w:rPr>
                <w:rFonts w:hint="eastAsia" w:ascii="宋体" w:hAnsi="宋体" w:eastAsia="宋体" w:cs="宋体"/>
                <w:bCs/>
                <w:color w:val="FF0000"/>
                <w:sz w:val="21"/>
                <w:szCs w:val="21"/>
                <w:highlight w:val="none"/>
                <w:lang w:eastAsia="zh-CN"/>
              </w:rPr>
            </w:pPr>
            <w:r>
              <w:rPr>
                <w:rFonts w:hint="eastAsia" w:ascii="宋体" w:hAnsi="宋体" w:cs="宋体"/>
                <w:color w:val="000000"/>
                <w:sz w:val="21"/>
                <w:szCs w:val="21"/>
                <w:highlight w:val="none"/>
              </w:rPr>
              <w:t>7.浮动管理费。本理财计划免除</w:t>
            </w:r>
            <w:r>
              <w:rPr>
                <w:rFonts w:hint="eastAsia" w:ascii="宋体" w:hAnsi="宋体" w:cs="宋体"/>
                <w:color w:val="000000"/>
                <w:sz w:val="21"/>
                <w:szCs w:val="21"/>
                <w:highlight w:val="none"/>
                <w:lang w:val="en-US" w:eastAsia="zh-CN"/>
              </w:rPr>
              <w:t>浮动管理</w:t>
            </w:r>
            <w:r>
              <w:rPr>
                <w:rFonts w:hint="eastAsia" w:ascii="宋体" w:hAnsi="宋体" w:cs="宋体"/>
                <w:color w:val="000000"/>
                <w:sz w:val="21"/>
                <w:szCs w:val="21"/>
                <w:highlight w:val="none"/>
              </w:rPr>
              <w:t>费</w:t>
            </w:r>
            <w:r>
              <w:rPr>
                <w:rFonts w:hint="eastAsia" w:ascii="宋体" w:hAnsi="宋体" w:cs="宋体"/>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widowControl/>
              <w:spacing w:line="360" w:lineRule="auto"/>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spacing w:line="360" w:lineRule="auto"/>
              <w:outlineLvl w:val="0"/>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spacing w:line="360" w:lineRule="auto"/>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w:t>
            </w:r>
            <w:r>
              <w:rPr>
                <w:rFonts w:hint="eastAsia" w:ascii="宋体" w:hAnsi="宋体" w:cs="宋体"/>
                <w:b/>
                <w:color w:val="00000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spacing w:line="360" w:lineRule="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ind w:firstLine="482" w:firstLineChars="200"/>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numPr>
          <w:ilvl w:val="0"/>
          <w:numId w:val="2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固定收益类资产：包括但不限于各类债券、存款、货币市场金融工具、债券基金、质押式及买断式回购，其他符合监管要求的固定收益类资产及资产管理产品。</w:t>
      </w:r>
    </w:p>
    <w:p>
      <w:pPr>
        <w:numPr>
          <w:ilvl w:val="0"/>
          <w:numId w:val="2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权益类资产：包括国内发行上市优先股</w:t>
      </w:r>
      <w:r>
        <w:rPr>
          <w:rFonts w:hint="eastAsia" w:ascii="宋体" w:hAnsi="宋体" w:cs="宋体"/>
          <w:bCs/>
          <w:sz w:val="24"/>
          <w:highlight w:val="none"/>
          <w:lang w:eastAsia="zh-CN"/>
        </w:rPr>
        <w:t>及相关资产的资产管理产品。</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val="en-US" w:eastAsia="zh-CN"/>
        </w:rPr>
        <w:t>总</w:t>
      </w:r>
      <w:r>
        <w:rPr>
          <w:rFonts w:hint="eastAsia" w:ascii="宋体" w:hAnsi="宋体" w:cs="宋体"/>
          <w:bCs/>
          <w:sz w:val="24"/>
          <w:highlight w:val="none"/>
        </w:rPr>
        <w:t>资产的配置比例如下：</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474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noWrap w:val="0"/>
            <w:vAlign w:val="top"/>
          </w:tcPr>
          <w:p>
            <w:pPr>
              <w:spacing w:line="360" w:lineRule="auto"/>
              <w:rPr>
                <w:rFonts w:ascii="宋体" w:hAnsi="宋体" w:cs="宋体"/>
                <w:bCs/>
                <w:szCs w:val="21"/>
                <w:highlight w:val="none"/>
              </w:rPr>
            </w:pPr>
          </w:p>
        </w:tc>
        <w:tc>
          <w:tcPr>
            <w:tcW w:w="4740"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投资资产</w:t>
            </w:r>
          </w:p>
        </w:tc>
        <w:tc>
          <w:tcPr>
            <w:tcW w:w="1996"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restart"/>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大类资产类型</w:t>
            </w:r>
          </w:p>
        </w:tc>
        <w:tc>
          <w:tcPr>
            <w:tcW w:w="4740"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固定收益类资产</w:t>
            </w:r>
          </w:p>
        </w:tc>
        <w:tc>
          <w:tcPr>
            <w:tcW w:w="1996" w:type="dxa"/>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lang w:val="en-US" w:eastAsia="zh-CN"/>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continue"/>
            <w:noWrap w:val="0"/>
            <w:vAlign w:val="center"/>
          </w:tcPr>
          <w:p>
            <w:pPr>
              <w:spacing w:line="360" w:lineRule="auto"/>
              <w:jc w:val="left"/>
              <w:rPr>
                <w:rFonts w:ascii="宋体" w:hAnsi="宋体" w:cs="宋体"/>
                <w:bCs/>
                <w:szCs w:val="21"/>
                <w:highlight w:val="none"/>
              </w:rPr>
            </w:pPr>
          </w:p>
        </w:tc>
        <w:tc>
          <w:tcPr>
            <w:tcW w:w="4740" w:type="dxa"/>
            <w:noWrap w:val="0"/>
            <w:vAlign w:val="top"/>
          </w:tcPr>
          <w:p>
            <w:pPr>
              <w:spacing w:line="360" w:lineRule="auto"/>
              <w:jc w:val="center"/>
              <w:rPr>
                <w:rFonts w:ascii="宋体" w:hAnsi="宋体" w:cs="宋体"/>
                <w:bCs/>
                <w:szCs w:val="21"/>
                <w:highlight w:val="none"/>
              </w:rPr>
            </w:pPr>
            <w:r>
              <w:rPr>
                <w:rFonts w:hint="eastAsia" w:ascii="宋体" w:hAnsi="宋体" w:cs="宋体"/>
                <w:bCs/>
                <w:szCs w:val="21"/>
                <w:highlight w:val="none"/>
              </w:rPr>
              <w:t>权益类资产</w:t>
            </w:r>
          </w:p>
        </w:tc>
        <w:tc>
          <w:tcPr>
            <w:tcW w:w="1996" w:type="dxa"/>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Merge w:val="continue"/>
            <w:noWrap w:val="0"/>
            <w:vAlign w:val="center"/>
          </w:tcPr>
          <w:p>
            <w:pPr>
              <w:spacing w:line="360" w:lineRule="auto"/>
              <w:jc w:val="left"/>
              <w:rPr>
                <w:rFonts w:ascii="宋体" w:hAnsi="宋体" w:cs="宋体"/>
                <w:bCs/>
                <w:szCs w:val="21"/>
                <w:highlight w:val="none"/>
              </w:rPr>
            </w:pPr>
          </w:p>
        </w:tc>
        <w:tc>
          <w:tcPr>
            <w:tcW w:w="4740" w:type="dxa"/>
            <w:noWrap w:val="0"/>
            <w:vAlign w:val="top"/>
          </w:tcPr>
          <w:p>
            <w:pPr>
              <w:spacing w:line="360" w:lineRule="auto"/>
              <w:jc w:val="center"/>
              <w:rPr>
                <w:rFonts w:hint="eastAsia" w:ascii="宋体" w:hAnsi="宋体" w:cs="宋体"/>
                <w:bCs/>
                <w:szCs w:val="21"/>
                <w:highlight w:val="none"/>
              </w:rPr>
            </w:pPr>
            <w:r>
              <w:rPr>
                <w:rFonts w:hint="eastAsia" w:ascii="宋体" w:hAnsi="宋体" w:cs="宋体"/>
                <w:bCs/>
                <w:szCs w:val="21"/>
                <w:highlight w:val="none"/>
                <w:lang w:val="en-US" w:eastAsia="zh-CN"/>
              </w:rPr>
              <w:t>其他符合监管要求</w:t>
            </w:r>
            <w:r>
              <w:rPr>
                <w:rFonts w:hint="eastAsia" w:ascii="宋体" w:hAnsi="宋体" w:cs="宋体"/>
                <w:bCs/>
                <w:szCs w:val="21"/>
                <w:highlight w:val="none"/>
              </w:rPr>
              <w:t>资产</w:t>
            </w:r>
          </w:p>
        </w:tc>
        <w:tc>
          <w:tcPr>
            <w:tcW w:w="1996" w:type="dxa"/>
            <w:noWrap w:val="0"/>
            <w:vAlign w:val="center"/>
          </w:tcPr>
          <w:p>
            <w:pPr>
              <w:spacing w:line="360" w:lineRule="auto"/>
              <w:jc w:val="center"/>
              <w:rPr>
                <w:rFonts w:hint="eastAsia" w:ascii="宋体" w:hAnsi="宋体" w:cs="宋体"/>
                <w:bCs/>
                <w:szCs w:val="21"/>
                <w:highlight w:val="none"/>
              </w:rPr>
            </w:pPr>
            <w:r>
              <w:rPr>
                <w:rFonts w:hint="eastAsia" w:ascii="宋体" w:hAnsi="宋体" w:cs="宋体"/>
                <w:bCs/>
                <w:szCs w:val="21"/>
                <w:highlight w:val="none"/>
                <w:lang w:val="en-US" w:eastAsia="zh-CN"/>
              </w:rPr>
              <w:t>0-20%</w:t>
            </w:r>
          </w:p>
        </w:tc>
      </w:tr>
    </w:tbl>
    <w:p>
      <w:pPr>
        <w:pStyle w:val="1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bCs/>
          <w:color w:val="auto"/>
          <w:kern w:val="2"/>
          <w:highlight w:val="none"/>
        </w:rPr>
      </w:pPr>
      <w:r>
        <w:rPr>
          <w:rFonts w:hint="eastAsia" w:ascii="宋体" w:hAnsi="宋体" w:cs="宋体"/>
          <w:bCs/>
          <w:color w:val="auto"/>
          <w:kern w:val="2"/>
          <w:highlight w:val="none"/>
        </w:rPr>
        <w:t>本理财计划自成立日起</w:t>
      </w:r>
      <w:r>
        <w:rPr>
          <w:rFonts w:hint="eastAsia" w:ascii="宋体" w:hAnsi="宋体" w:cs="宋体"/>
          <w:highlight w:val="none"/>
        </w:rPr>
        <w:t>〖</w:t>
      </w:r>
      <w:r>
        <w:rPr>
          <w:rFonts w:hint="eastAsia" w:ascii="宋体" w:hAnsi="宋体" w:cs="宋体"/>
          <w:highlight w:val="none"/>
          <w:lang w:val="en-US" w:eastAsia="zh-CN"/>
        </w:rPr>
        <w:t>1</w:t>
      </w:r>
      <w:r>
        <w:rPr>
          <w:rFonts w:hint="eastAsia" w:ascii="宋体" w:hAnsi="宋体" w:cs="宋体"/>
          <w:highlight w:val="none"/>
        </w:rPr>
        <w:t>〗</w:t>
      </w:r>
      <w:r>
        <w:rPr>
          <w:rFonts w:hint="eastAsia" w:ascii="宋体" w:hAnsi="宋体" w:cs="宋体"/>
          <w:bCs/>
          <w:color w:val="auto"/>
          <w:kern w:val="2"/>
          <w:highlight w:val="none"/>
        </w:rPr>
        <w:t>个月为建仓期，管理人应当在建仓期结束前使各项投资比例符合约定。在理财计划存续期间如遇市场变化导致各类投资品投资比例暂时超出以上范围，为保护投资者利益，管理人将在流动性受限资产可出售、可转让或者恢复交易的15个交易日内调整至上述比例范围。</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22"/>
        </w:numPr>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lang w:val="en-US" w:eastAsia="zh-CN"/>
        </w:rPr>
        <w:t>大类</w:t>
      </w:r>
      <w:r>
        <w:rPr>
          <w:rFonts w:hint="eastAsia" w:ascii="宋体" w:hAnsi="宋体" w:cs="宋体"/>
          <w:bCs/>
          <w:color w:val="auto"/>
          <w:kern w:val="2"/>
          <w:highlight w:val="none"/>
        </w:rPr>
        <w:t>资产配置策略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管理人通过对宏观经济运行状况、国家政策、货币政策、产业政策、市场资金环境及证券市场环境的分析来判断经济周期的阶段和位置，通过定量和定性相结合的方式进行</w:t>
      </w:r>
      <w:r>
        <w:rPr>
          <w:rFonts w:hint="eastAsia" w:ascii="宋体" w:hAnsi="宋体" w:cs="宋体"/>
          <w:bCs/>
          <w:color w:val="auto"/>
          <w:kern w:val="2"/>
          <w:highlight w:val="none"/>
          <w:lang w:val="en-US" w:eastAsia="zh-CN"/>
        </w:rPr>
        <w:t>大类</w:t>
      </w:r>
      <w:r>
        <w:rPr>
          <w:rFonts w:hint="eastAsia" w:ascii="宋体" w:hAnsi="宋体" w:cs="宋体"/>
          <w:bCs/>
          <w:color w:val="auto"/>
          <w:kern w:val="2"/>
          <w:highlight w:val="none"/>
        </w:rPr>
        <w:t>资产管理</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主动判断市场时机进行资产配置，确定在</w:t>
      </w:r>
      <w:r>
        <w:rPr>
          <w:rFonts w:hint="eastAsia"/>
          <w:highlight w:val="none"/>
          <w:lang w:val="en-US" w:eastAsia="zh-CN"/>
        </w:rPr>
        <w:t>存款、存单、</w:t>
      </w:r>
      <w:r>
        <w:rPr>
          <w:rFonts w:hint="eastAsia" w:ascii="宋体" w:hAnsi="宋体" w:cs="宋体"/>
          <w:bCs/>
          <w:color w:val="auto"/>
          <w:kern w:val="2"/>
          <w:highlight w:val="none"/>
        </w:rPr>
        <w:t>债券</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优先股</w:t>
      </w:r>
      <w:r>
        <w:rPr>
          <w:rFonts w:hint="eastAsia" w:ascii="宋体" w:hAnsi="宋体" w:cs="宋体"/>
          <w:bCs/>
          <w:color w:val="auto"/>
          <w:kern w:val="2"/>
          <w:highlight w:val="none"/>
        </w:rPr>
        <w:t>等各类资产上的投资比例。</w:t>
      </w:r>
    </w:p>
    <w:p>
      <w:pPr>
        <w:numPr>
          <w:ilvl w:val="0"/>
          <w:numId w:val="23"/>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债券投资策略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管理人本着稳健投资的理念，基于宏观经济形势、货币政策、固定收益资产价格走势，采用安全性和流动性优先、优选投资品种，</w:t>
      </w:r>
      <w:r>
        <w:rPr>
          <w:rFonts w:hint="eastAsia" w:ascii="宋体" w:hAnsi="宋体" w:cs="宋体"/>
          <w:bCs/>
          <w:color w:val="auto"/>
          <w:kern w:val="2"/>
          <w:highlight w:val="none"/>
          <w:lang w:val="en-US" w:eastAsia="zh-CN"/>
        </w:rPr>
        <w:t>综合运用信用策略、久期策略、杠杆策略、曲线策略、交易策略等</w:t>
      </w:r>
      <w:r>
        <w:rPr>
          <w:rFonts w:hint="eastAsia" w:ascii="宋体" w:hAnsi="宋体" w:cs="宋体"/>
          <w:bCs/>
          <w:color w:val="auto"/>
          <w:kern w:val="2"/>
          <w:highlight w:val="none"/>
        </w:rPr>
        <w:t>。</w:t>
      </w:r>
    </w:p>
    <w:p>
      <w:pPr>
        <w:numPr>
          <w:ilvl w:val="0"/>
          <w:numId w:val="23"/>
        </w:numPr>
        <w:spacing w:line="360" w:lineRule="auto"/>
        <w:jc w:val="left"/>
        <w:rPr>
          <w:rFonts w:ascii="宋体" w:hAnsi="宋体" w:cs="宋体"/>
          <w:bCs/>
          <w:sz w:val="24"/>
          <w:highlight w:val="none"/>
        </w:rPr>
      </w:pPr>
      <w:r>
        <w:rPr>
          <w:rFonts w:hint="eastAsia" w:ascii="宋体" w:hAnsi="宋体" w:cs="宋体"/>
          <w:bCs/>
          <w:sz w:val="24"/>
          <w:highlight w:val="none"/>
        </w:rPr>
        <w:t>权益</w:t>
      </w:r>
      <w:r>
        <w:rPr>
          <w:rFonts w:hint="eastAsia" w:ascii="宋体" w:hAnsi="宋体" w:cs="宋体"/>
          <w:bCs/>
          <w:sz w:val="24"/>
          <w:highlight w:val="none"/>
          <w:lang w:val="en-US" w:eastAsia="zh-CN"/>
        </w:rPr>
        <w:t>类</w:t>
      </w:r>
      <w:r>
        <w:rPr>
          <w:rFonts w:hint="eastAsia" w:ascii="宋体" w:hAnsi="宋体" w:cs="宋体"/>
          <w:bCs/>
          <w:sz w:val="24"/>
          <w:highlight w:val="none"/>
        </w:rPr>
        <w:t>资产策略</w:t>
      </w:r>
    </w:p>
    <w:p>
      <w:pPr>
        <w:pStyle w:val="17"/>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sz w:val="24"/>
          <w:highlight w:val="none"/>
        </w:rPr>
        <w:t>管理人</w:t>
      </w:r>
      <w:r>
        <w:rPr>
          <w:rFonts w:hint="eastAsia" w:ascii="宋体" w:hAnsi="宋体" w:cs="宋体"/>
          <w:bCs/>
          <w:color w:val="auto"/>
          <w:kern w:val="2"/>
          <w:sz w:val="24"/>
          <w:highlight w:val="none"/>
          <w:u w:val="none"/>
          <w:lang w:val="en-US" w:eastAsia="zh-CN"/>
        </w:rPr>
        <w:t>结合产品流动性和市场情况，择机在组合中配置优先股权益类资产</w:t>
      </w:r>
      <w:r>
        <w:rPr>
          <w:rFonts w:hint="eastAsia" w:ascii="宋体" w:hAnsi="宋体" w:cs="宋体"/>
          <w:bCs/>
          <w:color w:val="auto"/>
          <w:kern w:val="2"/>
          <w:sz w:val="24"/>
          <w:highlight w:val="none"/>
        </w:rPr>
        <w:t>。</w:t>
      </w:r>
    </w:p>
    <w:p>
      <w:pPr>
        <w:numPr>
          <w:ilvl w:val="0"/>
          <w:numId w:val="2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2"/>
        <w:rPr>
          <w:rFonts w:hint="eastAsia" w:ascii="宋体" w:hAnsi="宋体" w:cs="宋体"/>
          <w:b/>
          <w:sz w:val="24"/>
          <w:highlight w:val="none"/>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5"/>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highlight w:val="none"/>
        </w:rPr>
        <w:t>管理人发行的全部开放式公募理财计划投资单一上市公司发行的股票,不得超过该上市公司可流通股票的15%。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26"/>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本理财计划直接投资于流动性受限资产的市值在开放日不得超过该理财计划资产净值的15%。</w:t>
      </w:r>
    </w:p>
    <w:p>
      <w:pPr>
        <w:numPr>
          <w:ilvl w:val="0"/>
          <w:numId w:val="26"/>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本理财计划如定期开放周期不低于90天，应当在开放日及开放日前7个工作日内持有不低于该理财计划资产净值5%的现金或者到期日在一年以内的国债、中央银行票据和政策性金融债券；如定期开放周期低于90天，</w:t>
      </w:r>
      <w:r>
        <w:rPr>
          <w:rFonts w:hint="eastAsia" w:ascii="宋体" w:hAnsi="宋体" w:cs="宋体"/>
          <w:bCs/>
          <w:sz w:val="24"/>
          <w:highlight w:val="none"/>
        </w:rPr>
        <w:t>应当持有不低于该理财产品资产净值5%的现金或者到期日在一年以内的国债、中央银行票据和政策性金融债券。</w:t>
      </w:r>
    </w:p>
    <w:p>
      <w:pPr>
        <w:numPr>
          <w:ilvl w:val="0"/>
          <w:numId w:val="26"/>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6"/>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本理财计划如定期开放周期低于90天，计划投资不存在活跃交易市场，并且需要采用估值技术确定公允价值的资产比例不得超过理财产品净资产50%以上。</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ind w:left="0" w:leftChars="0" w:firstLine="482" w:firstLineChars="200"/>
        <w:jc w:val="left"/>
        <w:outlineLvl w:val="2"/>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资产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9"/>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11"/>
        <w:tblW w:w="781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6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托管人名称</w:t>
            </w:r>
          </w:p>
        </w:tc>
        <w:tc>
          <w:tcPr>
            <w:tcW w:w="6070" w:type="dxa"/>
            <w:noWrap w:val="0"/>
            <w:vAlign w:val="top"/>
          </w:tcPr>
          <w:p>
            <w:pPr>
              <w:spacing w:line="360" w:lineRule="auto"/>
              <w:jc w:val="left"/>
              <w:rPr>
                <w:rFonts w:ascii="宋体" w:hAnsi="宋体" w:cs="宋体"/>
                <w:bCs/>
                <w:szCs w:val="21"/>
                <w:highlight w:val="none"/>
              </w:rPr>
            </w:pPr>
            <w:r>
              <w:rPr>
                <w:rFonts w:hint="eastAsia" w:ascii="宋体" w:hAnsi="宋体" w:cs="宋体"/>
                <w:bCs/>
                <w:szCs w:val="21"/>
                <w:highlight w:val="none"/>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托管人住所</w:t>
            </w:r>
          </w:p>
        </w:tc>
        <w:tc>
          <w:tcPr>
            <w:tcW w:w="6070" w:type="dxa"/>
            <w:noWrap w:val="0"/>
            <w:vAlign w:val="top"/>
          </w:tcPr>
          <w:p>
            <w:pPr>
              <w:spacing w:line="360" w:lineRule="auto"/>
              <w:jc w:val="left"/>
              <w:rPr>
                <w:rFonts w:hint="eastAsia" w:ascii="宋体" w:hAnsi="宋体" w:eastAsia="宋体" w:cs="宋体"/>
                <w:bCs/>
                <w:szCs w:val="21"/>
                <w:highlight w:val="none"/>
                <w:lang w:eastAsia="zh-CN"/>
              </w:rPr>
            </w:pPr>
            <w:r>
              <w:rPr>
                <w:rFonts w:hint="eastAsia" w:ascii="宋体" w:hAnsi="宋体" w:cs="宋体"/>
                <w:bCs/>
                <w:szCs w:val="21"/>
                <w:highlight w:val="none"/>
                <w:lang w:eastAsia="zh-CN"/>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托管人职责</w:t>
            </w:r>
          </w:p>
        </w:tc>
        <w:tc>
          <w:tcPr>
            <w:tcW w:w="6070" w:type="dxa"/>
            <w:noWrap w:val="0"/>
            <w:vAlign w:val="top"/>
          </w:tcPr>
          <w:p>
            <w:pPr>
              <w:spacing w:line="360" w:lineRule="auto"/>
              <w:jc w:val="left"/>
              <w:rPr>
                <w:rFonts w:hint="eastAsia" w:ascii="宋体" w:hAnsi="宋体" w:cs="宋体"/>
                <w:bCs/>
                <w:szCs w:val="21"/>
                <w:highlight w:val="none"/>
              </w:rPr>
            </w:pPr>
            <w:r>
              <w:rPr>
                <w:rFonts w:hint="eastAsia" w:ascii="宋体" w:hAnsi="宋体" w:cs="宋体"/>
                <w:bCs/>
                <w:szCs w:val="21"/>
                <w:highlight w:val="none"/>
              </w:rPr>
              <w:t>主要提供包括账户开立、资金保管、资金结算、估值核对等理财产品托管服务。</w:t>
            </w:r>
          </w:p>
        </w:tc>
      </w:tr>
    </w:tbl>
    <w:p>
      <w:pPr>
        <w:numPr>
          <w:ilvl w:val="0"/>
          <w:numId w:val="30"/>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11"/>
        <w:tblW w:w="7802"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618"/>
        <w:gridCol w:w="1180"/>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restart"/>
            <w:noWrap w:val="0"/>
            <w:vAlign w:val="center"/>
          </w:tcPr>
          <w:p>
            <w:pPr>
              <w:spacing w:line="360" w:lineRule="auto"/>
              <w:jc w:val="center"/>
              <w:rPr>
                <w:rFonts w:hint="eastAsia" w:ascii="宋体" w:hAnsi="宋体" w:cs="宋体"/>
                <w:bCs/>
                <w:sz w:val="21"/>
                <w:szCs w:val="21"/>
                <w:highlight w:val="none"/>
              </w:rPr>
            </w:pPr>
          </w:p>
          <w:p>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销售机构信息</w:t>
            </w:r>
          </w:p>
        </w:tc>
        <w:tc>
          <w:tcPr>
            <w:tcW w:w="2618" w:type="dxa"/>
            <w:vMerge w:val="restart"/>
            <w:noWrap w:val="0"/>
            <w:vAlign w:val="center"/>
          </w:tcPr>
          <w:p>
            <w:pPr>
              <w:spacing w:line="360" w:lineRule="auto"/>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rPr>
              <w:t>杭州银行股份有限公司</w:t>
            </w:r>
          </w:p>
        </w:tc>
        <w:tc>
          <w:tcPr>
            <w:tcW w:w="1180" w:type="dxa"/>
            <w:noWrap w:val="0"/>
            <w:vAlign w:val="center"/>
          </w:tcPr>
          <w:p>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住所</w:t>
            </w:r>
          </w:p>
        </w:tc>
        <w:tc>
          <w:tcPr>
            <w:tcW w:w="3042" w:type="dxa"/>
            <w:noWrap w:val="0"/>
            <w:vAlign w:val="center"/>
          </w:tcPr>
          <w:p>
            <w:pPr>
              <w:spacing w:line="360" w:lineRule="auto"/>
              <w:jc w:val="center"/>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eastAsia="zh-CN"/>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noWrap w:val="0"/>
            <w:vAlign w:val="top"/>
          </w:tcPr>
          <w:p>
            <w:pPr>
              <w:spacing w:line="360" w:lineRule="auto"/>
              <w:jc w:val="left"/>
              <w:rPr>
                <w:rFonts w:hint="eastAsia" w:ascii="宋体" w:hAnsi="宋体" w:cs="宋体"/>
                <w:bCs/>
                <w:sz w:val="21"/>
                <w:szCs w:val="21"/>
                <w:highlight w:val="none"/>
              </w:rPr>
            </w:pPr>
          </w:p>
        </w:tc>
        <w:tc>
          <w:tcPr>
            <w:tcW w:w="2618" w:type="dxa"/>
            <w:vMerge w:val="continue"/>
            <w:noWrap w:val="0"/>
            <w:vAlign w:val="center"/>
          </w:tcPr>
          <w:p>
            <w:pPr>
              <w:spacing w:line="360" w:lineRule="auto"/>
              <w:jc w:val="center"/>
              <w:rPr>
                <w:rFonts w:hint="eastAsia" w:ascii="宋体" w:hAnsi="宋体" w:cs="宋体"/>
                <w:bCs/>
                <w:sz w:val="21"/>
                <w:szCs w:val="21"/>
                <w:highlight w:val="none"/>
              </w:rPr>
            </w:pPr>
          </w:p>
        </w:tc>
        <w:tc>
          <w:tcPr>
            <w:tcW w:w="1180" w:type="dxa"/>
            <w:noWrap w:val="0"/>
            <w:vAlign w:val="center"/>
          </w:tcPr>
          <w:p>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客服热线</w:t>
            </w:r>
          </w:p>
        </w:tc>
        <w:tc>
          <w:tcPr>
            <w:tcW w:w="3042" w:type="dxa"/>
            <w:noWrap w:val="0"/>
            <w:vAlign w:val="center"/>
          </w:tcPr>
          <w:p>
            <w:pPr>
              <w:spacing w:line="360" w:lineRule="auto"/>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noWrap w:val="0"/>
            <w:vAlign w:val="top"/>
          </w:tcPr>
          <w:p>
            <w:pPr>
              <w:spacing w:line="360" w:lineRule="auto"/>
              <w:jc w:val="left"/>
              <w:rPr>
                <w:rFonts w:hint="eastAsia" w:ascii="宋体" w:hAnsi="宋体" w:cs="宋体"/>
                <w:bCs/>
                <w:sz w:val="21"/>
                <w:szCs w:val="21"/>
                <w:highlight w:val="none"/>
              </w:rPr>
            </w:pPr>
          </w:p>
        </w:tc>
        <w:tc>
          <w:tcPr>
            <w:tcW w:w="2618" w:type="dxa"/>
            <w:vMerge w:val="restart"/>
            <w:noWrap w:val="0"/>
            <w:vAlign w:val="center"/>
          </w:tcPr>
          <w:p>
            <w:pPr>
              <w:keepNext w:val="0"/>
              <w:keepLines w:val="0"/>
              <w:widowControl/>
              <w:suppressLineNumbers w:val="0"/>
              <w:spacing w:line="360" w:lineRule="auto"/>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i w:val="0"/>
                <w:color w:val="auto"/>
                <w:kern w:val="2"/>
                <w:sz w:val="21"/>
                <w:szCs w:val="21"/>
                <w:highlight w:val="none"/>
                <w:u w:val="none"/>
                <w:lang w:val="en-US" w:eastAsia="zh-CN" w:bidi="ar"/>
              </w:rPr>
              <w:t>杭银理财有限责任公司</w:t>
            </w:r>
          </w:p>
        </w:tc>
        <w:tc>
          <w:tcPr>
            <w:tcW w:w="1180" w:type="dxa"/>
            <w:noWrap w:val="0"/>
            <w:vAlign w:val="center"/>
          </w:tcPr>
          <w:p>
            <w:pPr>
              <w:keepNext w:val="0"/>
              <w:keepLines w:val="0"/>
              <w:widowControl/>
              <w:suppressLineNumbers w:val="0"/>
              <w:spacing w:line="360" w:lineRule="auto"/>
              <w:jc w:val="center"/>
              <w:textAlignment w:val="auto"/>
              <w:rPr>
                <w:rFonts w:hint="eastAsia" w:ascii="宋体" w:hAnsi="宋体" w:cs="宋体"/>
                <w:bCs/>
                <w:sz w:val="21"/>
                <w:szCs w:val="21"/>
                <w:highlight w:val="none"/>
              </w:rPr>
            </w:pPr>
            <w:r>
              <w:rPr>
                <w:rFonts w:hint="eastAsia" w:ascii="宋体" w:hAnsi="宋体" w:eastAsia="宋体" w:cs="宋体"/>
                <w:bCs/>
                <w:i w:val="0"/>
                <w:color w:val="auto"/>
                <w:kern w:val="2"/>
                <w:sz w:val="21"/>
                <w:szCs w:val="21"/>
                <w:highlight w:val="none"/>
                <w:u w:val="none"/>
                <w:lang w:val="en-US" w:eastAsia="zh-CN" w:bidi="ar"/>
              </w:rPr>
              <w:t>住所</w:t>
            </w:r>
          </w:p>
        </w:tc>
        <w:tc>
          <w:tcPr>
            <w:tcW w:w="3042" w:type="dxa"/>
            <w:noWrap w:val="0"/>
            <w:vAlign w:val="center"/>
          </w:tcPr>
          <w:p>
            <w:pPr>
              <w:keepNext w:val="0"/>
              <w:keepLines w:val="0"/>
              <w:widowControl/>
              <w:suppressLineNumbers w:val="0"/>
              <w:spacing w:line="360" w:lineRule="auto"/>
              <w:jc w:val="center"/>
              <w:textAlignment w:val="auto"/>
              <w:rPr>
                <w:rFonts w:hint="eastAsia" w:ascii="宋体" w:hAnsi="宋体" w:cs="宋体"/>
                <w:bCs/>
                <w:sz w:val="21"/>
                <w:szCs w:val="21"/>
                <w:highlight w:val="none"/>
              </w:rPr>
            </w:pPr>
            <w:r>
              <w:rPr>
                <w:rFonts w:hint="eastAsia" w:ascii="宋体" w:hAnsi="宋体" w:eastAsia="宋体" w:cs="宋体"/>
                <w:bCs/>
                <w:i w:val="0"/>
                <w:color w:val="auto"/>
                <w:kern w:val="2"/>
                <w:sz w:val="21"/>
                <w:szCs w:val="21"/>
                <w:highlight w:val="none"/>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noWrap w:val="0"/>
            <w:vAlign w:val="top"/>
          </w:tcPr>
          <w:p>
            <w:pPr>
              <w:spacing w:line="360" w:lineRule="auto"/>
              <w:jc w:val="left"/>
              <w:rPr>
                <w:rFonts w:hint="eastAsia" w:ascii="宋体" w:hAnsi="宋体" w:cs="宋体"/>
                <w:bCs/>
                <w:sz w:val="21"/>
                <w:szCs w:val="21"/>
                <w:highlight w:val="none"/>
              </w:rPr>
            </w:pPr>
          </w:p>
        </w:tc>
        <w:tc>
          <w:tcPr>
            <w:tcW w:w="2618" w:type="dxa"/>
            <w:vMerge w:val="continue"/>
            <w:noWrap w:val="0"/>
            <w:vAlign w:val="center"/>
          </w:tcPr>
          <w:p>
            <w:pPr>
              <w:spacing w:line="360" w:lineRule="auto"/>
              <w:jc w:val="center"/>
              <w:rPr>
                <w:rFonts w:hint="eastAsia" w:ascii="宋体" w:hAnsi="宋体" w:cs="宋体"/>
                <w:bCs/>
                <w:sz w:val="21"/>
                <w:szCs w:val="21"/>
                <w:highlight w:val="none"/>
              </w:rPr>
            </w:pPr>
          </w:p>
        </w:tc>
        <w:tc>
          <w:tcPr>
            <w:tcW w:w="1180" w:type="dxa"/>
            <w:noWrap w:val="0"/>
            <w:vAlign w:val="center"/>
          </w:tcPr>
          <w:p>
            <w:pPr>
              <w:keepNext w:val="0"/>
              <w:keepLines w:val="0"/>
              <w:widowControl/>
              <w:suppressLineNumbers w:val="0"/>
              <w:spacing w:line="360" w:lineRule="auto"/>
              <w:jc w:val="center"/>
              <w:textAlignment w:val="auto"/>
              <w:rPr>
                <w:rFonts w:hint="eastAsia" w:ascii="宋体" w:hAnsi="宋体" w:cs="宋体"/>
                <w:bCs/>
                <w:sz w:val="21"/>
                <w:szCs w:val="21"/>
                <w:highlight w:val="none"/>
              </w:rPr>
            </w:pPr>
            <w:r>
              <w:rPr>
                <w:rFonts w:hint="eastAsia" w:ascii="宋体" w:hAnsi="宋体" w:eastAsia="宋体" w:cs="宋体"/>
                <w:bCs/>
                <w:i w:val="0"/>
                <w:color w:val="auto"/>
                <w:kern w:val="2"/>
                <w:sz w:val="21"/>
                <w:szCs w:val="21"/>
                <w:highlight w:val="none"/>
                <w:u w:val="none"/>
                <w:lang w:val="en-US" w:eastAsia="zh-CN" w:bidi="ar"/>
              </w:rPr>
              <w:t>客服热线</w:t>
            </w:r>
          </w:p>
        </w:tc>
        <w:tc>
          <w:tcPr>
            <w:tcW w:w="3042" w:type="dxa"/>
            <w:noWrap w:val="0"/>
            <w:vAlign w:val="center"/>
          </w:tcPr>
          <w:p>
            <w:pPr>
              <w:keepNext w:val="0"/>
              <w:keepLines w:val="0"/>
              <w:widowControl/>
              <w:suppressLineNumbers w:val="0"/>
              <w:spacing w:line="360" w:lineRule="auto"/>
              <w:jc w:val="center"/>
              <w:textAlignment w:val="auto"/>
              <w:rPr>
                <w:rFonts w:hint="eastAsia" w:ascii="宋体" w:hAnsi="宋体" w:cs="宋体"/>
                <w:bCs/>
                <w:sz w:val="21"/>
                <w:szCs w:val="21"/>
                <w:highlight w:val="none"/>
              </w:rPr>
            </w:pPr>
            <w:r>
              <w:rPr>
                <w:rFonts w:hint="eastAsia" w:ascii="宋体" w:hAnsi="宋体" w:eastAsia="宋体" w:cs="宋体"/>
                <w:bCs/>
                <w:i w:val="0"/>
                <w:color w:val="auto"/>
                <w:kern w:val="2"/>
                <w:sz w:val="21"/>
                <w:szCs w:val="21"/>
                <w:highlight w:val="none"/>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noWrap w:val="0"/>
            <w:vAlign w:val="top"/>
          </w:tcPr>
          <w:p>
            <w:pPr>
              <w:spacing w:line="360" w:lineRule="auto"/>
              <w:jc w:val="left"/>
              <w:rPr>
                <w:rFonts w:hint="eastAsia" w:ascii="宋体" w:hAnsi="宋体" w:cs="宋体"/>
                <w:bCs/>
                <w:sz w:val="21"/>
                <w:szCs w:val="21"/>
                <w:highlight w:val="none"/>
              </w:rPr>
            </w:pPr>
          </w:p>
        </w:tc>
        <w:tc>
          <w:tcPr>
            <w:tcW w:w="2618" w:type="dxa"/>
            <w:vMerge w:val="restart"/>
            <w:noWrap w:val="0"/>
            <w:vAlign w:val="center"/>
          </w:tcPr>
          <w:p>
            <w:pPr>
              <w:widowControl/>
              <w:spacing w:line="360" w:lineRule="auto"/>
              <w:jc w:val="center"/>
              <w:rPr>
                <w:rFonts w:hint="eastAsia" w:ascii="宋体" w:hAnsi="宋体" w:cs="宋体"/>
                <w:bCs/>
                <w:color w:val="auto"/>
                <w:sz w:val="21"/>
                <w:szCs w:val="21"/>
                <w:highlight w:val="none"/>
                <w:u w:val="none"/>
                <w:lang w:bidi="ar"/>
              </w:rPr>
            </w:pPr>
            <w:r>
              <w:rPr>
                <w:rFonts w:hint="eastAsia" w:ascii="宋体" w:hAnsi="宋体" w:cs="宋体"/>
                <w:bCs/>
                <w:color w:val="auto"/>
                <w:kern w:val="2"/>
                <w:sz w:val="21"/>
                <w:szCs w:val="21"/>
                <w:highlight w:val="none"/>
                <w:u w:val="none"/>
                <w:lang w:bidi="ar"/>
              </w:rPr>
              <w:t>兴业银行股份有限公司</w:t>
            </w:r>
          </w:p>
        </w:tc>
        <w:tc>
          <w:tcPr>
            <w:tcW w:w="1180" w:type="dxa"/>
            <w:noWrap w:val="0"/>
            <w:vAlign w:val="center"/>
          </w:tcPr>
          <w:p>
            <w:pPr>
              <w:keepNext w:val="0"/>
              <w:keepLines w:val="0"/>
              <w:widowControl/>
              <w:suppressLineNumbers w:val="0"/>
              <w:spacing w:line="360" w:lineRule="auto"/>
              <w:jc w:val="center"/>
              <w:textAlignment w:val="auto"/>
              <w:rPr>
                <w:rFonts w:hint="eastAsia" w:ascii="宋体" w:hAnsi="宋体" w:eastAsia="宋体" w:cs="宋体"/>
                <w:bCs/>
                <w:i w:val="0"/>
                <w:color w:val="auto"/>
                <w:kern w:val="2"/>
                <w:sz w:val="21"/>
                <w:szCs w:val="21"/>
                <w:highlight w:val="none"/>
                <w:u w:val="none"/>
                <w:lang w:val="en-US" w:eastAsia="zh-CN" w:bidi="ar"/>
              </w:rPr>
            </w:pPr>
            <w:r>
              <w:rPr>
                <w:rFonts w:hint="eastAsia" w:ascii="宋体" w:hAnsi="宋体" w:eastAsia="宋体" w:cs="宋体"/>
                <w:bCs/>
                <w:i w:val="0"/>
                <w:color w:val="auto"/>
                <w:kern w:val="2"/>
                <w:sz w:val="21"/>
                <w:szCs w:val="21"/>
                <w:highlight w:val="none"/>
                <w:u w:val="none"/>
                <w:lang w:val="en-US" w:eastAsia="zh-CN" w:bidi="ar"/>
              </w:rPr>
              <w:t>住所</w:t>
            </w:r>
          </w:p>
        </w:tc>
        <w:tc>
          <w:tcPr>
            <w:tcW w:w="3042" w:type="dxa"/>
            <w:noWrap w:val="0"/>
            <w:vAlign w:val="center"/>
          </w:tcPr>
          <w:p>
            <w:pPr>
              <w:widowControl/>
              <w:spacing w:line="360" w:lineRule="auto"/>
              <w:jc w:val="center"/>
              <w:rPr>
                <w:rFonts w:hint="eastAsia" w:ascii="宋体" w:hAnsi="宋体" w:eastAsia="宋体" w:cs="宋体"/>
                <w:bCs/>
                <w:i w:val="0"/>
                <w:color w:val="auto"/>
                <w:kern w:val="2"/>
                <w:sz w:val="21"/>
                <w:szCs w:val="21"/>
                <w:highlight w:val="none"/>
                <w:u w:val="none"/>
                <w:lang w:val="en-US" w:eastAsia="zh-CN" w:bidi="ar"/>
              </w:rPr>
            </w:pPr>
            <w:r>
              <w:rPr>
                <w:rFonts w:hint="eastAsia" w:ascii="宋体" w:hAnsi="宋体" w:cs="宋体"/>
                <w:bCs/>
                <w:color w:val="auto"/>
                <w:kern w:val="2"/>
                <w:sz w:val="21"/>
                <w:szCs w:val="21"/>
                <w:highlight w:val="none"/>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noWrap w:val="0"/>
            <w:vAlign w:val="top"/>
          </w:tcPr>
          <w:p>
            <w:pPr>
              <w:spacing w:line="360" w:lineRule="auto"/>
              <w:jc w:val="left"/>
              <w:rPr>
                <w:rFonts w:hint="eastAsia" w:ascii="宋体" w:hAnsi="宋体" w:cs="宋体"/>
                <w:bCs/>
                <w:sz w:val="21"/>
                <w:szCs w:val="21"/>
                <w:highlight w:val="none"/>
              </w:rPr>
            </w:pPr>
          </w:p>
        </w:tc>
        <w:tc>
          <w:tcPr>
            <w:tcW w:w="2618" w:type="dxa"/>
            <w:vMerge w:val="continue"/>
            <w:noWrap w:val="0"/>
            <w:vAlign w:val="center"/>
          </w:tcPr>
          <w:p>
            <w:pPr>
              <w:widowControl/>
              <w:spacing w:line="360" w:lineRule="auto"/>
              <w:jc w:val="center"/>
              <w:rPr>
                <w:rFonts w:hint="eastAsia" w:ascii="宋体" w:hAnsi="宋体" w:cs="宋体"/>
                <w:bCs/>
                <w:color w:val="auto"/>
                <w:sz w:val="21"/>
                <w:szCs w:val="21"/>
                <w:highlight w:val="none"/>
                <w:u w:val="none"/>
                <w:lang w:bidi="ar"/>
              </w:rPr>
            </w:pPr>
          </w:p>
        </w:tc>
        <w:tc>
          <w:tcPr>
            <w:tcW w:w="1180" w:type="dxa"/>
            <w:noWrap w:val="0"/>
            <w:vAlign w:val="center"/>
          </w:tcPr>
          <w:p>
            <w:pPr>
              <w:keepNext w:val="0"/>
              <w:keepLines w:val="0"/>
              <w:widowControl/>
              <w:suppressLineNumbers w:val="0"/>
              <w:spacing w:line="360" w:lineRule="auto"/>
              <w:jc w:val="center"/>
              <w:textAlignment w:val="auto"/>
              <w:rPr>
                <w:rFonts w:hint="eastAsia" w:ascii="宋体" w:hAnsi="宋体" w:eastAsia="宋体" w:cs="宋体"/>
                <w:bCs/>
                <w:i w:val="0"/>
                <w:color w:val="auto"/>
                <w:kern w:val="2"/>
                <w:sz w:val="21"/>
                <w:szCs w:val="21"/>
                <w:highlight w:val="none"/>
                <w:u w:val="none"/>
                <w:lang w:val="en-US" w:eastAsia="zh-CN" w:bidi="ar"/>
              </w:rPr>
            </w:pPr>
            <w:r>
              <w:rPr>
                <w:rFonts w:hint="eastAsia" w:ascii="宋体" w:hAnsi="宋体" w:eastAsia="宋体" w:cs="宋体"/>
                <w:bCs/>
                <w:i w:val="0"/>
                <w:color w:val="auto"/>
                <w:kern w:val="2"/>
                <w:sz w:val="21"/>
                <w:szCs w:val="21"/>
                <w:highlight w:val="none"/>
                <w:u w:val="none"/>
                <w:lang w:val="en-US" w:eastAsia="zh-CN" w:bidi="ar"/>
              </w:rPr>
              <w:t>客服热线</w:t>
            </w:r>
          </w:p>
        </w:tc>
        <w:tc>
          <w:tcPr>
            <w:tcW w:w="3042" w:type="dxa"/>
            <w:noWrap w:val="0"/>
            <w:vAlign w:val="center"/>
          </w:tcPr>
          <w:p>
            <w:pPr>
              <w:widowControl/>
              <w:spacing w:line="360" w:lineRule="auto"/>
              <w:jc w:val="center"/>
              <w:rPr>
                <w:rFonts w:hint="eastAsia" w:ascii="宋体" w:hAnsi="宋体" w:eastAsia="宋体" w:cs="宋体"/>
                <w:bCs/>
                <w:i w:val="0"/>
                <w:color w:val="auto"/>
                <w:kern w:val="2"/>
                <w:sz w:val="21"/>
                <w:szCs w:val="21"/>
                <w:highlight w:val="none"/>
                <w:u w:val="none"/>
                <w:lang w:val="en-US" w:eastAsia="zh-CN" w:bidi="ar"/>
              </w:rPr>
            </w:pPr>
            <w:r>
              <w:rPr>
                <w:rFonts w:hint="eastAsia" w:ascii="宋体" w:hAnsi="宋体" w:cs="宋体"/>
                <w:bCs/>
                <w:color w:val="auto"/>
                <w:kern w:val="2"/>
                <w:sz w:val="21"/>
                <w:szCs w:val="21"/>
                <w:highlight w:val="none"/>
                <w:u w:val="none"/>
                <w:lang w:bidi="ar"/>
              </w:rPr>
              <w:t>0591-87844196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noWrap w:val="0"/>
            <w:vAlign w:val="center"/>
          </w:tcPr>
          <w:p>
            <w:pPr>
              <w:spacing w:line="360" w:lineRule="auto"/>
              <w:jc w:val="center"/>
              <w:rPr>
                <w:rFonts w:ascii="宋体" w:hAnsi="宋体" w:cs="宋体"/>
                <w:bCs/>
                <w:sz w:val="21"/>
                <w:szCs w:val="21"/>
                <w:highlight w:val="none"/>
              </w:rPr>
            </w:pPr>
            <w:r>
              <w:rPr>
                <w:rFonts w:hint="eastAsia" w:ascii="宋体" w:hAnsi="宋体" w:cs="宋体"/>
                <w:bCs/>
                <w:sz w:val="21"/>
                <w:szCs w:val="21"/>
                <w:highlight w:val="none"/>
              </w:rPr>
              <w:t>销售机构职责</w:t>
            </w:r>
          </w:p>
        </w:tc>
        <w:tc>
          <w:tcPr>
            <w:tcW w:w="6840" w:type="dxa"/>
            <w:gridSpan w:val="3"/>
            <w:noWrap w:val="0"/>
            <w:vAlign w:val="top"/>
          </w:tcPr>
          <w:p>
            <w:pPr>
              <w:spacing w:line="360" w:lineRule="auto"/>
              <w:jc w:val="left"/>
              <w:rPr>
                <w:rFonts w:hint="eastAsia" w:ascii="宋体" w:hAnsi="宋体" w:cs="宋体"/>
                <w:bCs/>
                <w:sz w:val="21"/>
                <w:szCs w:val="21"/>
                <w:highlight w:val="none"/>
              </w:rPr>
            </w:pPr>
            <w:r>
              <w:rPr>
                <w:rFonts w:hint="eastAsia" w:ascii="宋体" w:hAnsi="宋体" w:cs="宋体"/>
                <w:bCs/>
                <w:sz w:val="21"/>
                <w:szCs w:val="21"/>
                <w:highlight w:val="none"/>
              </w:rPr>
              <w:t>主要负责理财计划推广、投资者风险承受能力评估、投资者适当性管理、理财计划份额认购、申购及赎回办理。</w:t>
            </w:r>
          </w:p>
          <w:p>
            <w:pPr>
              <w:spacing w:line="360" w:lineRule="auto"/>
              <w:jc w:val="left"/>
              <w:rPr>
                <w:rFonts w:ascii="宋体" w:hAnsi="宋体" w:cs="宋体"/>
                <w:bCs/>
                <w:sz w:val="21"/>
                <w:szCs w:val="21"/>
                <w:highlight w:val="none"/>
              </w:rPr>
            </w:pPr>
            <w:r>
              <w:rPr>
                <w:rFonts w:hint="eastAsia" w:ascii="宋体" w:hAnsi="宋体" w:cs="宋体"/>
                <w:bCs/>
                <w:sz w:val="21"/>
                <w:szCs w:val="21"/>
                <w:highlight w:val="none"/>
              </w:rPr>
              <w:t>协助管理人负责与投资者签订理财计划合同、与投资者沟通及进行信息披露、接受投资者咨询和维护等销售服务。</w:t>
            </w:r>
          </w:p>
        </w:tc>
      </w:tr>
    </w:tbl>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在本理财发行后</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如</w:t>
      </w:r>
      <w:r>
        <w:rPr>
          <w:rFonts w:hint="eastAsia" w:ascii="宋体" w:hAnsi="宋体" w:cs="宋体"/>
          <w:bCs/>
          <w:color w:val="000000"/>
          <w:sz w:val="24"/>
          <w:highlight w:val="none"/>
        </w:rPr>
        <w:t>新增</w:t>
      </w:r>
      <w:r>
        <w:rPr>
          <w:rFonts w:hint="eastAsia" w:ascii="宋体" w:hAnsi="宋体" w:cs="宋体"/>
          <w:bCs/>
          <w:color w:val="000000"/>
          <w:sz w:val="24"/>
          <w:highlight w:val="none"/>
          <w:lang w:val="en-US" w:eastAsia="zh-CN"/>
        </w:rPr>
        <w:t>/减少</w:t>
      </w:r>
      <w:r>
        <w:rPr>
          <w:rFonts w:hint="eastAsia" w:ascii="宋体" w:hAnsi="宋体" w:cs="宋体"/>
          <w:bCs/>
          <w:color w:val="000000"/>
          <w:sz w:val="24"/>
          <w:highlight w:val="none"/>
        </w:rPr>
        <w:t>销售机构</w:t>
      </w:r>
      <w:r>
        <w:rPr>
          <w:rFonts w:hint="eastAsia" w:ascii="宋体" w:hAnsi="宋体" w:cs="宋体"/>
          <w:bCs/>
          <w:color w:val="000000"/>
          <w:sz w:val="24"/>
          <w:highlight w:val="none"/>
          <w:lang w:val="en-US" w:eastAsia="zh-CN"/>
        </w:rPr>
        <w:t>或销售机构信息变更，请</w:t>
      </w:r>
      <w:r>
        <w:rPr>
          <w:rFonts w:hint="eastAsia" w:ascii="宋体" w:hAnsi="宋体" w:cs="宋体"/>
          <w:bCs/>
          <w:color w:val="000000"/>
          <w:sz w:val="24"/>
          <w:highlight w:val="none"/>
        </w:rPr>
        <w:t>以管理人</w:t>
      </w:r>
      <w:r>
        <w:rPr>
          <w:rFonts w:hint="eastAsia" w:ascii="宋体" w:hAnsi="宋体" w:cs="宋体"/>
          <w:bCs/>
          <w:color w:val="000000"/>
          <w:sz w:val="24"/>
          <w:highlight w:val="none"/>
          <w:lang w:val="en-US" w:eastAsia="zh-CN"/>
        </w:rPr>
        <w:t>最新</w:t>
      </w:r>
      <w:r>
        <w:rPr>
          <w:rFonts w:hint="eastAsia" w:ascii="宋体" w:hAnsi="宋体" w:cs="宋体"/>
          <w:bCs/>
          <w:color w:val="000000"/>
          <w:sz w:val="24"/>
          <w:highlight w:val="none"/>
        </w:rPr>
        <w:t>公告为准。</w:t>
      </w:r>
    </w:p>
    <w:p>
      <w:pPr>
        <w:spacing w:line="360" w:lineRule="auto"/>
        <w:jc w:val="left"/>
        <w:rPr>
          <w:rFonts w:ascii="宋体" w:hAnsi="宋体" w:cs="宋体"/>
          <w:bCs/>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val="en-US" w:eastAsia="zh-CN"/>
        </w:rPr>
        <w:t>工作</w:t>
      </w:r>
      <w:r>
        <w:rPr>
          <w:rFonts w:hint="eastAsia" w:ascii="宋体" w:hAnsi="宋体" w:cs="宋体"/>
          <w:bCs/>
          <w:color w:val="000000"/>
          <w:sz w:val="24"/>
          <w:highlight w:val="none"/>
          <w:lang w:eastAsia="zh-CN"/>
        </w:rPr>
        <w:t>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3"/>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3"/>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33"/>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34"/>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3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6"/>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w:t>
      </w:r>
      <w:r>
        <w:rPr>
          <w:rFonts w:hint="eastAsia" w:ascii="宋体" w:hAnsi="宋体" w:cs="宋体"/>
          <w:bCs/>
          <w:color w:val="000000"/>
          <w:sz w:val="24"/>
          <w:highlight w:val="none"/>
          <w:lang w:val="en-US" w:eastAsia="zh-CN"/>
        </w:rPr>
        <w:t>的</w:t>
      </w:r>
      <w:r>
        <w:rPr>
          <w:rFonts w:hint="eastAsia" w:ascii="宋体" w:hAnsi="宋体" w:cs="宋体"/>
          <w:bCs/>
        </w:rPr>
        <w:t>〖A份额〗</w:t>
      </w:r>
      <w:r>
        <w:rPr>
          <w:rFonts w:hint="eastAsia" w:ascii="宋体" w:hAnsi="宋体" w:cs="宋体"/>
          <w:bCs/>
          <w:color w:val="000000"/>
          <w:sz w:val="24"/>
          <w:highlight w:val="none"/>
        </w:rPr>
        <w:t>年化</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率为</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szCs w:val="21"/>
          <w:highlight w:val="none"/>
        </w:rPr>
        <w:t>〗</w:t>
      </w:r>
      <w:r>
        <w:rPr>
          <w:rFonts w:hint="eastAsia" w:ascii="宋体" w:hAnsi="宋体" w:cs="宋体"/>
          <w:bCs/>
          <w:color w:val="000000"/>
          <w:sz w:val="24"/>
          <w:highlight w:val="none"/>
        </w:rPr>
        <w:t>，</w:t>
      </w:r>
      <w:r>
        <w:rPr>
          <w:rFonts w:hint="eastAsia" w:ascii="宋体" w:hAnsi="宋体" w:cs="宋体"/>
          <w:bCs/>
        </w:rPr>
        <w:t>〖</w:t>
      </w:r>
      <w:r>
        <w:rPr>
          <w:rFonts w:hint="eastAsia" w:ascii="宋体" w:hAnsi="宋体" w:cs="宋体"/>
          <w:bCs/>
          <w:lang w:val="en-US" w:eastAsia="zh-CN"/>
        </w:rPr>
        <w:t>B</w:t>
      </w:r>
      <w:r>
        <w:rPr>
          <w:rFonts w:hint="eastAsia" w:ascii="宋体" w:hAnsi="宋体" w:cs="宋体"/>
          <w:bCs/>
        </w:rPr>
        <w:t>份额〗</w:t>
      </w:r>
      <w:r>
        <w:rPr>
          <w:rFonts w:hint="eastAsia" w:ascii="宋体" w:hAnsi="宋体" w:cs="宋体"/>
          <w:bCs/>
          <w:color w:val="000000"/>
          <w:sz w:val="24"/>
          <w:highlight w:val="none"/>
        </w:rPr>
        <w:t>年化</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率为</w:t>
      </w:r>
      <w:r>
        <w:rPr>
          <w:rFonts w:hint="eastAsia" w:ascii="宋体" w:hAnsi="宋体" w:cs="宋体"/>
          <w:szCs w:val="21"/>
          <w:highlight w:val="none"/>
        </w:rPr>
        <w:t>〖</w:t>
      </w:r>
      <w:r>
        <w:rPr>
          <w:rFonts w:hint="eastAsia" w:ascii="宋体" w:hAnsi="宋体" w:cs="宋体"/>
          <w:szCs w:val="21"/>
          <w:highlight w:val="none"/>
          <w:lang w:val="en-US" w:eastAsia="zh-CN"/>
        </w:rPr>
        <w:t>0.20%</w:t>
      </w:r>
      <w:r>
        <w:rPr>
          <w:rFonts w:hint="eastAsia" w:ascii="宋体" w:hAnsi="宋体" w:cs="宋体"/>
          <w:szCs w:val="21"/>
          <w:highlight w:val="none"/>
        </w:rPr>
        <w:t>〗</w:t>
      </w:r>
      <w:r>
        <w:rPr>
          <w:rFonts w:hint="eastAsia" w:ascii="宋体" w:hAnsi="宋体" w:cs="宋体"/>
          <w:bCs/>
          <w:color w:val="000000"/>
          <w:sz w:val="24"/>
          <w:highlight w:val="none"/>
        </w:rPr>
        <w:t>，</w:t>
      </w:r>
      <w:r>
        <w:rPr>
          <w:rFonts w:hint="eastAsia" w:ascii="宋体" w:hAnsi="宋体" w:cs="宋体"/>
          <w:bCs/>
        </w:rPr>
        <w:t>〖</w:t>
      </w:r>
      <w:r>
        <w:rPr>
          <w:rFonts w:hint="eastAsia" w:ascii="宋体" w:hAnsi="宋体" w:cs="宋体"/>
          <w:bCs/>
          <w:lang w:val="en-US" w:eastAsia="zh-CN"/>
        </w:rPr>
        <w:t>C</w:t>
      </w:r>
      <w:r>
        <w:rPr>
          <w:rFonts w:hint="eastAsia" w:ascii="宋体" w:hAnsi="宋体" w:cs="宋体"/>
          <w:bCs/>
        </w:rPr>
        <w:t>份额〗</w:t>
      </w:r>
      <w:r>
        <w:rPr>
          <w:rFonts w:hint="eastAsia" w:ascii="宋体" w:hAnsi="宋体" w:cs="宋体"/>
          <w:bCs/>
          <w:color w:val="000000"/>
          <w:sz w:val="24"/>
          <w:highlight w:val="none"/>
        </w:rPr>
        <w:t>年化</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率为</w:t>
      </w:r>
      <w:r>
        <w:rPr>
          <w:rFonts w:hint="eastAsia" w:ascii="宋体" w:hAnsi="宋体" w:cs="宋体"/>
          <w:szCs w:val="21"/>
          <w:highlight w:val="none"/>
        </w:rPr>
        <w:t>〖</w:t>
      </w:r>
      <w:r>
        <w:rPr>
          <w:rFonts w:hint="eastAsia" w:ascii="宋体" w:hAnsi="宋体" w:cs="宋体"/>
          <w:szCs w:val="21"/>
          <w:highlight w:val="none"/>
          <w:lang w:val="en-US" w:eastAsia="zh-CN"/>
        </w:rPr>
        <w:t>0.20%</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rPr>
        <w:t>〖</w:t>
      </w:r>
      <w:r>
        <w:rPr>
          <w:rFonts w:hint="eastAsia" w:ascii="宋体" w:hAnsi="宋体" w:cs="宋体"/>
          <w:bCs/>
          <w:lang w:val="en-US" w:eastAsia="zh-CN"/>
        </w:rPr>
        <w:t>D</w:t>
      </w:r>
      <w:r>
        <w:rPr>
          <w:rFonts w:hint="eastAsia" w:ascii="宋体" w:hAnsi="宋体" w:cs="宋体"/>
          <w:bCs/>
        </w:rPr>
        <w:t>份额〗</w:t>
      </w:r>
      <w:r>
        <w:rPr>
          <w:rFonts w:hint="eastAsia" w:ascii="宋体" w:hAnsi="宋体" w:cs="宋体"/>
          <w:bCs/>
          <w:color w:val="000000"/>
          <w:sz w:val="24"/>
          <w:highlight w:val="none"/>
        </w:rPr>
        <w:t>年化</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率为</w:t>
      </w:r>
      <w:r>
        <w:rPr>
          <w:rFonts w:hint="eastAsia" w:ascii="宋体" w:hAnsi="宋体" w:cs="宋体"/>
          <w:szCs w:val="21"/>
          <w:highlight w:val="none"/>
        </w:rPr>
        <w:t>〖</w:t>
      </w:r>
      <w:r>
        <w:rPr>
          <w:rFonts w:hint="eastAsia" w:ascii="宋体" w:hAnsi="宋体" w:cs="宋体"/>
          <w:szCs w:val="21"/>
          <w:highlight w:val="none"/>
          <w:lang w:val="en-US" w:eastAsia="zh-CN"/>
        </w:rPr>
        <w:t>0.10%</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rPr>
        <w:t>〖</w:t>
      </w:r>
      <w:r>
        <w:rPr>
          <w:rFonts w:hint="eastAsia" w:ascii="宋体" w:hAnsi="宋体" w:cs="宋体"/>
          <w:bCs/>
          <w:lang w:val="en-US" w:eastAsia="zh-CN"/>
        </w:rPr>
        <w:t>W</w:t>
      </w:r>
      <w:r>
        <w:rPr>
          <w:rFonts w:hint="eastAsia" w:ascii="宋体" w:hAnsi="宋体" w:cs="宋体"/>
          <w:bCs/>
        </w:rPr>
        <w:t>份额〗</w:t>
      </w:r>
      <w:r>
        <w:rPr>
          <w:rFonts w:hint="eastAsia" w:ascii="宋体" w:hAnsi="宋体" w:cs="宋体"/>
          <w:bCs/>
          <w:color w:val="000000"/>
          <w:sz w:val="24"/>
          <w:highlight w:val="none"/>
        </w:rPr>
        <w:t>年化</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率为</w:t>
      </w:r>
      <w:r>
        <w:rPr>
          <w:rFonts w:hint="eastAsia" w:ascii="宋体" w:hAnsi="宋体" w:cs="宋体"/>
          <w:szCs w:val="21"/>
          <w:highlight w:val="none"/>
        </w:rPr>
        <w:t>〖</w:t>
      </w:r>
      <w:r>
        <w:rPr>
          <w:rFonts w:hint="eastAsia" w:ascii="宋体" w:hAnsi="宋体" w:cs="宋体"/>
          <w:szCs w:val="21"/>
          <w:highlight w:val="none"/>
          <w:lang w:val="en-US" w:eastAsia="zh-CN"/>
        </w:rPr>
        <w:t>0.40%</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rPr>
        <w:t>〖</w:t>
      </w:r>
      <w:r>
        <w:rPr>
          <w:rFonts w:hint="eastAsia" w:ascii="宋体" w:hAnsi="宋体" w:cs="宋体"/>
          <w:bCs/>
          <w:lang w:val="en-US" w:eastAsia="zh-CN"/>
        </w:rPr>
        <w:t>P</w:t>
      </w:r>
      <w:r>
        <w:rPr>
          <w:rFonts w:hint="eastAsia" w:ascii="宋体" w:hAnsi="宋体" w:cs="宋体"/>
          <w:bCs/>
        </w:rPr>
        <w:t>份额〗</w:t>
      </w:r>
      <w:r>
        <w:rPr>
          <w:rFonts w:hint="eastAsia" w:ascii="宋体" w:hAnsi="宋体" w:cs="宋体"/>
          <w:bCs/>
          <w:color w:val="000000"/>
          <w:sz w:val="24"/>
          <w:highlight w:val="none"/>
        </w:rPr>
        <w:t>年化</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率为</w:t>
      </w:r>
      <w:r>
        <w:rPr>
          <w:rFonts w:hint="eastAsia" w:ascii="宋体" w:hAnsi="宋体" w:cs="宋体"/>
          <w:szCs w:val="21"/>
          <w:highlight w:val="none"/>
        </w:rPr>
        <w:t>〖</w:t>
      </w:r>
      <w:r>
        <w:rPr>
          <w:rFonts w:hint="eastAsia" w:ascii="宋体" w:hAnsi="宋体" w:cs="宋体"/>
          <w:szCs w:val="21"/>
          <w:highlight w:val="none"/>
          <w:lang w:val="en-US" w:eastAsia="zh-CN"/>
        </w:rPr>
        <w:t>0.20%</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rPr>
        <w:t>以〖A份额〗为例，</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销售服务费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E为前一日资产净值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原则上按日计提。</w:t>
      </w:r>
    </w:p>
    <w:p>
      <w:pPr>
        <w:numPr>
          <w:ilvl w:val="0"/>
          <w:numId w:val="36"/>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szCs w:val="21"/>
          <w:highlight w:val="none"/>
        </w:rPr>
        <w:t>〖</w:t>
      </w:r>
      <w:r>
        <w:rPr>
          <w:rFonts w:hint="eastAsia" w:ascii="宋体" w:hAnsi="宋体" w:cs="宋体"/>
          <w:szCs w:val="21"/>
          <w:highlight w:val="none"/>
          <w:lang w:val="en-US" w:eastAsia="zh-CN"/>
        </w:rPr>
        <w:t>0.025</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szCs w:val="21"/>
          <w:highlight w:val="none"/>
          <w:lang w:val="en-US" w:eastAsia="zh-CN"/>
        </w:rPr>
        <w:t>0.025</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w:t>
      </w:r>
      <w:r>
        <w:rPr>
          <w:rFonts w:hint="eastAsia" w:ascii="宋体" w:hAnsi="宋体" w:cs="宋体"/>
          <w:bCs/>
          <w:color w:val="000000"/>
          <w:sz w:val="24"/>
          <w:highlight w:val="none"/>
          <w:lang w:val="en-US" w:eastAsia="zh-CN"/>
        </w:rPr>
        <w:t>本理财计划</w:t>
      </w:r>
      <w:r>
        <w:rPr>
          <w:rFonts w:hint="eastAsia" w:ascii="宋体" w:hAnsi="宋体" w:cs="宋体"/>
          <w:bCs/>
          <w:color w:val="000000"/>
          <w:sz w:val="24"/>
          <w:highlight w:val="none"/>
        </w:rPr>
        <w:t>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6"/>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w:t>
      </w:r>
      <w:r>
        <w:rPr>
          <w:rFonts w:hint="eastAsia" w:ascii="宋体" w:hAnsi="宋体" w:cs="宋体"/>
          <w:bCs/>
          <w:color w:val="000000"/>
          <w:sz w:val="24"/>
          <w:highlight w:val="none"/>
          <w:lang w:val="en-US" w:eastAsia="zh-CN"/>
        </w:rPr>
        <w:t>的</w:t>
      </w:r>
      <w:r>
        <w:rPr>
          <w:rFonts w:hint="eastAsia" w:ascii="宋体" w:hAnsi="宋体" w:cs="宋体"/>
          <w:bCs/>
        </w:rPr>
        <w:t>〖A份额〗</w:t>
      </w:r>
      <w:r>
        <w:rPr>
          <w:rFonts w:hint="eastAsia" w:ascii="宋体" w:hAnsi="宋体" w:cs="宋体"/>
          <w:bCs/>
          <w:color w:val="000000"/>
          <w:sz w:val="24"/>
          <w:highlight w:val="none"/>
        </w:rPr>
        <w:t>年化固定管理费率为</w:t>
      </w:r>
      <w:r>
        <w:rPr>
          <w:rFonts w:hint="eastAsia" w:ascii="宋体" w:hAnsi="宋体" w:cs="宋体"/>
          <w:szCs w:val="21"/>
          <w:highlight w:val="none"/>
        </w:rPr>
        <w:t>〖</w:t>
      </w:r>
      <w:r>
        <w:rPr>
          <w:rFonts w:hint="eastAsia" w:ascii="宋体" w:hAnsi="宋体" w:cs="宋体"/>
          <w:szCs w:val="21"/>
          <w:highlight w:val="none"/>
          <w:lang w:val="en-US" w:eastAsia="zh-CN"/>
        </w:rPr>
        <w:t>0.20%</w:t>
      </w:r>
      <w:r>
        <w:rPr>
          <w:rFonts w:hint="eastAsia" w:ascii="宋体" w:hAnsi="宋体" w:cs="宋体"/>
          <w:szCs w:val="21"/>
          <w:highlight w:val="none"/>
        </w:rPr>
        <w:t>〗</w:t>
      </w:r>
      <w:r>
        <w:rPr>
          <w:rFonts w:hint="eastAsia" w:ascii="宋体" w:hAnsi="宋体" w:cs="宋体"/>
          <w:bCs/>
          <w:color w:val="000000"/>
          <w:sz w:val="24"/>
          <w:highlight w:val="none"/>
        </w:rPr>
        <w:t>，</w:t>
      </w:r>
      <w:r>
        <w:rPr>
          <w:rFonts w:hint="eastAsia" w:ascii="宋体" w:hAnsi="宋体" w:cs="宋体"/>
          <w:bCs/>
        </w:rPr>
        <w:t>〖</w:t>
      </w:r>
      <w:r>
        <w:rPr>
          <w:rFonts w:hint="eastAsia" w:ascii="宋体" w:hAnsi="宋体" w:cs="宋体"/>
          <w:bCs/>
          <w:lang w:val="en-US" w:eastAsia="zh-CN"/>
        </w:rPr>
        <w:t>B</w:t>
      </w:r>
      <w:r>
        <w:rPr>
          <w:rFonts w:hint="eastAsia" w:ascii="宋体" w:hAnsi="宋体" w:cs="宋体"/>
          <w:bCs/>
        </w:rPr>
        <w:t>份额〗</w:t>
      </w:r>
      <w:r>
        <w:rPr>
          <w:rFonts w:hint="eastAsia" w:ascii="宋体" w:hAnsi="宋体" w:cs="宋体"/>
          <w:bCs/>
          <w:color w:val="000000"/>
          <w:sz w:val="24"/>
          <w:highlight w:val="none"/>
        </w:rPr>
        <w:t>年化固定管理费率为</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rPr>
        <w:t>〖</w:t>
      </w:r>
      <w:r>
        <w:rPr>
          <w:rFonts w:hint="eastAsia" w:ascii="宋体" w:hAnsi="宋体" w:cs="宋体"/>
          <w:bCs/>
          <w:lang w:val="en-US" w:eastAsia="zh-CN"/>
        </w:rPr>
        <w:t>C</w:t>
      </w:r>
      <w:r>
        <w:rPr>
          <w:rFonts w:hint="eastAsia" w:ascii="宋体" w:hAnsi="宋体" w:cs="宋体"/>
          <w:bCs/>
        </w:rPr>
        <w:t>份额〗</w:t>
      </w:r>
      <w:r>
        <w:rPr>
          <w:rFonts w:hint="eastAsia" w:ascii="宋体" w:hAnsi="宋体" w:cs="宋体"/>
          <w:bCs/>
          <w:color w:val="000000"/>
          <w:sz w:val="24"/>
          <w:highlight w:val="none"/>
        </w:rPr>
        <w:t>年化固定管理费率为</w:t>
      </w:r>
      <w:r>
        <w:rPr>
          <w:rFonts w:hint="eastAsia" w:ascii="宋体" w:hAnsi="宋体" w:cs="宋体"/>
          <w:szCs w:val="21"/>
          <w:highlight w:val="none"/>
        </w:rPr>
        <w:t>〖</w:t>
      </w:r>
      <w:r>
        <w:rPr>
          <w:rFonts w:hint="eastAsia" w:ascii="宋体" w:hAnsi="宋体" w:cs="宋体"/>
          <w:szCs w:val="21"/>
          <w:highlight w:val="none"/>
          <w:lang w:val="en-US" w:eastAsia="zh-CN"/>
        </w:rPr>
        <w:t>0.20%</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rPr>
        <w:t>〖</w:t>
      </w:r>
      <w:r>
        <w:rPr>
          <w:rFonts w:hint="eastAsia" w:ascii="宋体" w:hAnsi="宋体" w:cs="宋体"/>
          <w:bCs/>
          <w:lang w:val="en-US" w:eastAsia="zh-CN"/>
        </w:rPr>
        <w:t>D</w:t>
      </w:r>
      <w:r>
        <w:rPr>
          <w:rFonts w:hint="eastAsia" w:ascii="宋体" w:hAnsi="宋体" w:cs="宋体"/>
          <w:bCs/>
        </w:rPr>
        <w:t>份额〗</w:t>
      </w:r>
      <w:r>
        <w:rPr>
          <w:rFonts w:hint="eastAsia" w:ascii="宋体" w:hAnsi="宋体" w:cs="宋体"/>
          <w:bCs/>
          <w:color w:val="000000"/>
          <w:sz w:val="24"/>
          <w:highlight w:val="none"/>
        </w:rPr>
        <w:t>年化固定管理费率为</w:t>
      </w:r>
      <w:r>
        <w:rPr>
          <w:rFonts w:hint="eastAsia" w:ascii="宋体" w:hAnsi="宋体" w:cs="宋体"/>
          <w:szCs w:val="21"/>
          <w:highlight w:val="none"/>
        </w:rPr>
        <w:t>〖</w:t>
      </w:r>
      <w:r>
        <w:rPr>
          <w:rFonts w:hint="eastAsia" w:ascii="宋体" w:hAnsi="宋体" w:cs="宋体"/>
          <w:szCs w:val="21"/>
          <w:highlight w:val="none"/>
          <w:lang w:val="en-US" w:eastAsia="zh-CN"/>
        </w:rPr>
        <w:t>0.40%</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rPr>
        <w:t>〖</w:t>
      </w:r>
      <w:r>
        <w:rPr>
          <w:rFonts w:hint="eastAsia" w:ascii="宋体" w:hAnsi="宋体" w:cs="宋体"/>
          <w:bCs/>
          <w:lang w:val="en-US" w:eastAsia="zh-CN"/>
        </w:rPr>
        <w:t>W</w:t>
      </w:r>
      <w:r>
        <w:rPr>
          <w:rFonts w:hint="eastAsia" w:ascii="宋体" w:hAnsi="宋体" w:cs="宋体"/>
          <w:bCs/>
        </w:rPr>
        <w:t>份额〗</w:t>
      </w:r>
      <w:r>
        <w:rPr>
          <w:rFonts w:hint="eastAsia" w:ascii="宋体" w:hAnsi="宋体" w:cs="宋体"/>
          <w:bCs/>
          <w:color w:val="000000"/>
          <w:sz w:val="24"/>
          <w:highlight w:val="none"/>
        </w:rPr>
        <w:t>年化固定管理费率为</w:t>
      </w:r>
      <w:r>
        <w:rPr>
          <w:rFonts w:hint="eastAsia" w:ascii="宋体" w:hAnsi="宋体" w:cs="宋体"/>
          <w:szCs w:val="21"/>
          <w:highlight w:val="none"/>
        </w:rPr>
        <w:t>〖</w:t>
      </w:r>
      <w:r>
        <w:rPr>
          <w:rFonts w:hint="eastAsia" w:ascii="宋体" w:hAnsi="宋体" w:cs="宋体"/>
          <w:szCs w:val="21"/>
          <w:highlight w:val="none"/>
          <w:lang w:val="en-US" w:eastAsia="zh-CN"/>
        </w:rPr>
        <w:t>0.20%</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rPr>
        <w:t>〖</w:t>
      </w:r>
      <w:r>
        <w:rPr>
          <w:rFonts w:hint="eastAsia" w:ascii="宋体" w:hAnsi="宋体" w:cs="宋体"/>
          <w:bCs/>
          <w:lang w:val="en-US" w:eastAsia="zh-CN"/>
        </w:rPr>
        <w:t>P</w:t>
      </w:r>
      <w:r>
        <w:rPr>
          <w:rFonts w:hint="eastAsia" w:ascii="宋体" w:hAnsi="宋体" w:cs="宋体"/>
          <w:bCs/>
        </w:rPr>
        <w:t>份额〗</w:t>
      </w:r>
      <w:r>
        <w:rPr>
          <w:rFonts w:hint="eastAsia" w:ascii="宋体" w:hAnsi="宋体" w:cs="宋体"/>
          <w:bCs/>
          <w:color w:val="000000"/>
          <w:sz w:val="24"/>
          <w:highlight w:val="none"/>
        </w:rPr>
        <w:t>年化固定管理费率为</w:t>
      </w:r>
      <w:r>
        <w:rPr>
          <w:rFonts w:hint="eastAsia" w:ascii="宋体" w:hAnsi="宋体" w:cs="宋体"/>
          <w:szCs w:val="21"/>
          <w:highlight w:val="none"/>
        </w:rPr>
        <w:t>〖</w:t>
      </w:r>
      <w:r>
        <w:rPr>
          <w:rFonts w:hint="eastAsia" w:ascii="宋体" w:hAnsi="宋体" w:cs="宋体"/>
          <w:szCs w:val="21"/>
          <w:highlight w:val="none"/>
          <w:lang w:val="en-US" w:eastAsia="zh-CN"/>
        </w:rPr>
        <w:t>0.30%</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bCs/>
        </w:rPr>
        <w:t>以〖A份额〗为例，</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szCs w:val="21"/>
          <w:highlight w:val="none"/>
          <w:lang w:val="en-US" w:eastAsia="zh-CN"/>
        </w:rPr>
        <w:t>0.20%</w:t>
      </w:r>
      <w:r>
        <w:rPr>
          <w:rFonts w:hint="eastAsia" w:ascii="宋体" w:hAnsi="宋体" w:cs="宋体"/>
          <w:szCs w:val="21"/>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，如理财计划实际运作结果不达业绩比较基准时，管理人有权减免固定管理费。</w:t>
      </w:r>
    </w:p>
    <w:p>
      <w:pPr>
        <w:numPr>
          <w:ilvl w:val="0"/>
          <w:numId w:val="36"/>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3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本理财计划免除申购费。</w:t>
      </w:r>
    </w:p>
    <w:p>
      <w:pPr>
        <w:numPr>
          <w:ilvl w:val="0"/>
          <w:numId w:val="37"/>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本理财计划免除赎回费。</w:t>
      </w:r>
    </w:p>
    <w:p>
      <w:pPr>
        <w:numPr>
          <w:ilvl w:val="0"/>
          <w:numId w:val="3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本理财计划免除</w:t>
      </w:r>
      <w:r>
        <w:rPr>
          <w:rFonts w:hint="eastAsia" w:ascii="宋体" w:hAnsi="宋体" w:cs="宋体"/>
          <w:bCs/>
          <w:color w:val="000000"/>
          <w:sz w:val="24"/>
          <w:highlight w:val="none"/>
          <w:lang w:val="en-US" w:eastAsia="zh-CN"/>
        </w:rPr>
        <w:t>浮动管理费。</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4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42"/>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2"/>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42"/>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4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单位净值为提取相关费用及税费后的单位理财计划份额净值。</w:t>
      </w:r>
    </w:p>
    <w:p>
      <w:pPr>
        <w:numPr>
          <w:ilvl w:val="0"/>
          <w:numId w:val="43"/>
        </w:numPr>
        <w:spacing w:line="360" w:lineRule="auto"/>
        <w:jc w:val="left"/>
        <w:outlineLvl w:val="2"/>
        <w:rPr>
          <w:rFonts w:hint="eastAsia" w:ascii="宋体" w:hAnsi="宋体" w:cs="宋体"/>
          <w:bCs/>
          <w:color w:val="000000"/>
          <w:sz w:val="24"/>
          <w:highlight w:val="none"/>
        </w:rPr>
      </w:pPr>
      <w:r>
        <w:rPr>
          <w:rFonts w:hint="eastAsia" w:ascii="宋体" w:hAnsi="宋体" w:cs="宋体"/>
          <w:b/>
          <w:sz w:val="24"/>
          <w:highlight w:val="none"/>
        </w:rPr>
        <w:t>示例说明</w:t>
      </w:r>
    </w:p>
    <w:p>
      <w:pPr>
        <w:numPr>
          <w:ilvl w:val="0"/>
          <w:numId w:val="44"/>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示例</w:t>
      </w:r>
      <w:r>
        <w:rPr>
          <w:rFonts w:hint="eastAsia" w:ascii="宋体" w:hAnsi="宋体" w:cs="宋体"/>
          <w:b/>
          <w:sz w:val="24"/>
          <w:highlight w:val="none"/>
          <w:lang w:eastAsia="zh-CN"/>
        </w:rPr>
        <w:t>一</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w:t>
      </w:r>
      <w:r>
        <w:rPr>
          <w:rFonts w:hint="eastAsia" w:ascii="宋体" w:hAnsi="宋体" w:cs="宋体"/>
          <w:b/>
          <w:color w:val="000000"/>
          <w:sz w:val="24"/>
          <w:highlight w:val="none"/>
          <w:lang w:val="en-US" w:eastAsia="zh-CN"/>
        </w:rPr>
        <w:t>产生盈利</w:t>
      </w:r>
      <w:r>
        <w:rPr>
          <w:rFonts w:hint="eastAsia" w:ascii="宋体" w:hAnsi="宋体" w:cs="宋体"/>
          <w:b/>
          <w:color w:val="000000"/>
          <w:sz w:val="24"/>
          <w:highlight w:val="none"/>
        </w:rPr>
        <w:t>。</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w:t>
      </w:r>
      <w:r>
        <w:rPr>
          <w:rFonts w:hint="eastAsia" w:ascii="宋体" w:hAnsi="宋体" w:cs="宋体"/>
          <w:bCs/>
          <w:color w:val="000000"/>
          <w:sz w:val="24"/>
          <w:highlight w:val="none"/>
          <w:lang w:val="en-US" w:eastAsia="zh-CN"/>
        </w:rPr>
        <w:t>本产品</w:t>
      </w:r>
      <w:r>
        <w:rPr>
          <w:rFonts w:hint="eastAsia" w:ascii="宋体" w:hAnsi="宋体" w:cs="宋体"/>
          <w:bCs/>
          <w:color w:val="000000"/>
          <w:sz w:val="24"/>
          <w:highlight w:val="none"/>
        </w:rPr>
        <w:t>为例，假设购买时理财计划净值为1.00元，折算份额为100,000.00份，假设投资理财计划362天。到期时扣除托管费、固定管理费、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（如有）后，如理财计划净值为1.0426</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期间无分红，</w:t>
      </w:r>
      <w:r>
        <w:rPr>
          <w:rFonts w:hint="eastAsia" w:ascii="宋体" w:hAnsi="宋体" w:cs="宋体"/>
          <w:bCs/>
          <w:color w:val="000000"/>
          <w:sz w:val="24"/>
          <w:highlight w:val="none"/>
        </w:rPr>
        <w:t>此时，(1.0426</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/1.00-1)×365/362=4.30%，即投资</w:t>
      </w:r>
      <w:r>
        <w:rPr>
          <w:rFonts w:hint="eastAsia" w:ascii="宋体" w:hAnsi="宋体" w:cs="宋体"/>
          <w:bCs/>
          <w:color w:val="000000"/>
          <w:sz w:val="24"/>
          <w:highlight w:val="none"/>
          <w:lang w:val="en-US" w:eastAsia="zh-CN"/>
        </w:rPr>
        <w:t>收益达到年化</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4.30%</w:t>
      </w:r>
      <w:r>
        <w:rPr>
          <w:rFonts w:hint="eastAsia" w:ascii="宋体" w:hAnsi="宋体" w:cs="宋体"/>
          <w:bCs/>
          <w:color w:val="000000"/>
          <w:sz w:val="24"/>
          <w:highlight w:val="none"/>
        </w:rPr>
        <w:t>〗，投资者最终收益为：100,000.00×(1.0426</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-1.00）=4,260.00（元）</w:t>
      </w:r>
    </w:p>
    <w:p>
      <w:pPr>
        <w:numPr>
          <w:ilvl w:val="0"/>
          <w:numId w:val="44"/>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示例</w:t>
      </w:r>
      <w:r>
        <w:rPr>
          <w:rFonts w:hint="eastAsia" w:ascii="宋体" w:hAnsi="宋体" w:cs="宋体"/>
          <w:b/>
          <w:sz w:val="24"/>
          <w:highlight w:val="none"/>
          <w:lang w:val="en-US" w:eastAsia="zh-CN"/>
        </w:rPr>
        <w:t>二</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扣除托管费、固定管理费、</w:t>
      </w:r>
      <w:r>
        <w:rPr>
          <w:rFonts w:hint="eastAsia" w:ascii="宋体" w:hAnsi="宋体" w:cs="宋体"/>
          <w:b/>
          <w:color w:val="000000"/>
          <w:sz w:val="24"/>
          <w:highlight w:val="none"/>
          <w:lang w:eastAsia="zh-CN"/>
        </w:rPr>
        <w:t>销售服务费</w:t>
      </w:r>
      <w:r>
        <w:rPr>
          <w:rFonts w:hint="eastAsia" w:ascii="宋体" w:hAnsi="宋体" w:cs="宋体"/>
          <w:b/>
          <w:color w:val="000000"/>
          <w:sz w:val="24"/>
          <w:highlight w:val="none"/>
        </w:rPr>
        <w:t>（如有）后，投资发生亏损。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w:t>
      </w:r>
      <w:r>
        <w:rPr>
          <w:rFonts w:hint="eastAsia" w:ascii="宋体" w:hAnsi="宋体" w:cs="宋体"/>
          <w:bCs/>
          <w:color w:val="000000"/>
          <w:sz w:val="24"/>
          <w:highlight w:val="none"/>
          <w:lang w:val="en-US" w:eastAsia="zh-CN"/>
        </w:rPr>
        <w:t>本产品</w:t>
      </w:r>
      <w:r>
        <w:rPr>
          <w:rFonts w:hint="eastAsia" w:ascii="宋体" w:hAnsi="宋体" w:cs="宋体"/>
          <w:bCs/>
          <w:color w:val="000000"/>
          <w:sz w:val="24"/>
          <w:highlight w:val="none"/>
        </w:rPr>
        <w:t>为例，假设购买时理财计划净值为1.00元，折算份额为100,000.00份，假设投资理财计划362天。到期时扣除托管费、固定管理费、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（如有）后，如理财计划净值为0.9975</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期间无分红，</w:t>
      </w:r>
      <w:r>
        <w:rPr>
          <w:rFonts w:hint="eastAsia" w:ascii="宋体" w:hAnsi="宋体" w:cs="宋体"/>
          <w:bCs/>
          <w:color w:val="000000"/>
          <w:sz w:val="24"/>
          <w:highlight w:val="none"/>
        </w:rPr>
        <w:t>投资者最终收益为：100,000.00×（0.9975</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-1.00）=-250.00（元）。</w:t>
      </w:r>
    </w:p>
    <w:p>
      <w:pPr>
        <w:numPr>
          <w:ilvl w:val="0"/>
          <w:numId w:val="43"/>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46"/>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6"/>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6"/>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50％，管理人将不再接受超出部分的认购申请。非因投资管理人主观因素导致突破前款规定比例限制的，在单一投资者持有比例降至50％以下之前，管理人将不再接受该投资者对该理财产品的认购申请。投资者持有份额的计算以管理人登记为准。</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7"/>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申购及赎回</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49"/>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本理财计划在每个开放期</w:t>
      </w:r>
      <w:r>
        <w:rPr>
          <w:rFonts w:hint="eastAsia" w:ascii="宋体" w:hAnsi="宋体" w:cs="宋体"/>
          <w:bCs/>
          <w:sz w:val="24"/>
          <w:highlight w:val="none"/>
          <w:lang w:val="en-US" w:eastAsia="zh-CN"/>
        </w:rPr>
        <w:t>的</w:t>
      </w:r>
      <w:r>
        <w:rPr>
          <w:rFonts w:hint="eastAsia" w:ascii="宋体" w:hAnsi="宋体" w:cs="宋体"/>
          <w:bCs/>
          <w:sz w:val="24"/>
          <w:highlight w:val="none"/>
        </w:rPr>
        <w:t>工作时间可进行申购</w:t>
      </w:r>
      <w:r>
        <w:rPr>
          <w:rFonts w:hint="eastAsia" w:ascii="宋体" w:hAnsi="宋体" w:cs="宋体"/>
          <w:bCs/>
          <w:sz w:val="24"/>
          <w:highlight w:val="none"/>
          <w:lang w:val="en-US" w:eastAsia="zh-CN"/>
        </w:rPr>
        <w:t>和撤单</w:t>
      </w:r>
      <w:r>
        <w:rPr>
          <w:rFonts w:hint="eastAsia" w:ascii="宋体" w:hAnsi="宋体" w:cs="宋体"/>
          <w:bCs/>
          <w:sz w:val="24"/>
          <w:highlight w:val="none"/>
        </w:rPr>
        <w:t>，申购申请将在确认日进行确认，即申购</w:t>
      </w:r>
      <w:r>
        <w:rPr>
          <w:rFonts w:hint="eastAsia" w:ascii="宋体" w:hAnsi="宋体" w:cs="宋体"/>
          <w:bCs/>
          <w:sz w:val="24"/>
          <w:highlight w:val="none"/>
          <w:lang w:val="en-US" w:eastAsia="zh-CN"/>
        </w:rPr>
        <w:t>申请日</w:t>
      </w:r>
      <w:r>
        <w:rPr>
          <w:rFonts w:hint="eastAsia" w:ascii="宋体" w:hAnsi="宋体" w:cs="宋体"/>
          <w:bCs/>
          <w:sz w:val="24"/>
          <w:highlight w:val="none"/>
        </w:rPr>
        <w:t>后的第〖1〗个</w:t>
      </w:r>
      <w:r>
        <w:rPr>
          <w:rFonts w:hint="eastAsia" w:ascii="宋体" w:hAnsi="宋体" w:cs="宋体"/>
          <w:bCs/>
          <w:sz w:val="24"/>
          <w:highlight w:val="none"/>
          <w:lang w:val="en-US" w:eastAsia="zh-CN"/>
        </w:rPr>
        <w:t>交易</w:t>
      </w:r>
      <w:r>
        <w:rPr>
          <w:rFonts w:hint="eastAsia" w:ascii="宋体" w:hAnsi="宋体" w:cs="宋体"/>
          <w:bCs/>
          <w:sz w:val="24"/>
          <w:highlight w:val="none"/>
        </w:rPr>
        <w:t>日进行确认。</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满足最低持有期后，</w:t>
      </w:r>
      <w:r>
        <w:rPr>
          <w:rFonts w:hint="eastAsia" w:ascii="宋体" w:hAnsi="宋体" w:cs="宋体"/>
          <w:bCs/>
          <w:sz w:val="24"/>
          <w:highlight w:val="none"/>
        </w:rPr>
        <w:t>本理财计划在每个开放期的工作时间可进行赎回</w:t>
      </w:r>
      <w:r>
        <w:rPr>
          <w:rFonts w:hint="eastAsia" w:ascii="宋体" w:hAnsi="宋体" w:cs="宋体"/>
          <w:bCs/>
          <w:sz w:val="24"/>
          <w:highlight w:val="none"/>
          <w:lang w:val="en-US" w:eastAsia="zh-CN"/>
        </w:rPr>
        <w:t>和撤单</w:t>
      </w:r>
      <w:r>
        <w:rPr>
          <w:rFonts w:hint="eastAsia" w:ascii="宋体" w:hAnsi="宋体" w:cs="宋体"/>
          <w:bCs/>
          <w:sz w:val="24"/>
          <w:highlight w:val="none"/>
        </w:rPr>
        <w:t>，赎回申请将在确认日进行确认，即赎回</w:t>
      </w:r>
      <w:r>
        <w:rPr>
          <w:rFonts w:hint="eastAsia" w:ascii="宋体" w:hAnsi="宋体" w:cs="宋体"/>
          <w:bCs/>
          <w:sz w:val="24"/>
          <w:highlight w:val="none"/>
          <w:lang w:val="en-US" w:eastAsia="zh-CN"/>
        </w:rPr>
        <w:t>申请日</w:t>
      </w:r>
      <w:r>
        <w:rPr>
          <w:rFonts w:hint="eastAsia" w:ascii="宋体" w:hAnsi="宋体" w:cs="宋体"/>
          <w:bCs/>
          <w:sz w:val="24"/>
          <w:highlight w:val="none"/>
        </w:rPr>
        <w:t>后的第〖1〗个</w:t>
      </w:r>
      <w:r>
        <w:rPr>
          <w:rFonts w:hint="eastAsia" w:ascii="宋体" w:hAnsi="宋体" w:cs="宋体"/>
          <w:bCs/>
          <w:sz w:val="24"/>
          <w:highlight w:val="none"/>
          <w:lang w:val="en-US" w:eastAsia="zh-CN"/>
        </w:rPr>
        <w:t>交易</w:t>
      </w:r>
      <w:r>
        <w:rPr>
          <w:rFonts w:hint="eastAsia" w:ascii="宋体" w:hAnsi="宋体" w:cs="宋体"/>
          <w:bCs/>
          <w:sz w:val="24"/>
          <w:highlight w:val="none"/>
        </w:rPr>
        <w:t>日进行确认。</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highlight w:val="none"/>
        </w:rPr>
        <w:t>在交易日的</w:t>
      </w:r>
      <w:r>
        <w:rPr>
          <w:rFonts w:hint="eastAsia" w:ascii="宋体" w:hAnsi="宋体" w:cs="宋体"/>
          <w:bCs/>
          <w:highlight w:val="none"/>
          <w:lang w:eastAsia="zh-CN"/>
        </w:rPr>
        <w:t>1</w:t>
      </w:r>
      <w:r>
        <w:rPr>
          <w:rFonts w:hint="eastAsia" w:ascii="宋体" w:hAnsi="宋体" w:cs="宋体"/>
          <w:bCs/>
          <w:highlight w:val="none"/>
          <w:lang w:val="en-US" w:eastAsia="zh-CN"/>
        </w:rPr>
        <w:t>7:00</w:t>
      </w:r>
      <w:r>
        <w:rPr>
          <w:rFonts w:hint="eastAsia" w:ascii="宋体" w:hAnsi="宋体" w:cs="宋体"/>
          <w:bCs/>
          <w:highlight w:val="none"/>
        </w:rPr>
        <w:t>之前提交的申购和赎回申请，申请日为提出申请当日；在交易日</w:t>
      </w:r>
      <w:r>
        <w:rPr>
          <w:rFonts w:hint="eastAsia" w:ascii="宋体" w:hAnsi="宋体" w:cs="宋体"/>
          <w:bCs/>
          <w:highlight w:val="none"/>
          <w:lang w:eastAsia="zh-CN"/>
        </w:rPr>
        <w:t>1</w:t>
      </w:r>
      <w:r>
        <w:rPr>
          <w:rFonts w:hint="eastAsia" w:ascii="宋体" w:hAnsi="宋体" w:cs="宋体"/>
          <w:bCs/>
          <w:highlight w:val="none"/>
          <w:lang w:val="en-US" w:eastAsia="zh-CN"/>
        </w:rPr>
        <w:t>7:00</w:t>
      </w:r>
      <w:r>
        <w:rPr>
          <w:rFonts w:hint="eastAsia" w:ascii="宋体" w:hAnsi="宋体" w:cs="宋体"/>
          <w:bCs/>
          <w:highlight w:val="none"/>
        </w:rPr>
        <w:t>之后及非交易日提交的申购和赎回申请，申请日为提出申请日的下一交易日。</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工作时间为每个</w:t>
      </w:r>
      <w:r>
        <w:rPr>
          <w:rFonts w:hint="eastAsia" w:ascii="宋体" w:hAnsi="宋体" w:cs="宋体"/>
          <w:bCs/>
          <w:sz w:val="24"/>
          <w:highlight w:val="none"/>
          <w:lang w:val="en-US" w:eastAsia="zh-CN"/>
        </w:rPr>
        <w:t>交易</w:t>
      </w:r>
      <w:r>
        <w:rPr>
          <w:rFonts w:hint="eastAsia" w:ascii="宋体" w:hAnsi="宋体" w:cs="宋体"/>
          <w:bCs/>
          <w:sz w:val="24"/>
          <w:highlight w:val="none"/>
        </w:rPr>
        <w:t>日上午〖9:00〗至下午〖</w:t>
      </w:r>
      <w:r>
        <w:rPr>
          <w:rFonts w:hint="eastAsia" w:ascii="宋体" w:hAnsi="宋体" w:cs="宋体"/>
          <w:bCs/>
          <w:highlight w:val="none"/>
          <w:lang w:eastAsia="zh-CN"/>
        </w:rPr>
        <w:t>1</w:t>
      </w:r>
      <w:r>
        <w:rPr>
          <w:rFonts w:hint="eastAsia" w:ascii="宋体" w:hAnsi="宋体" w:cs="宋体"/>
          <w:bCs/>
          <w:highlight w:val="none"/>
          <w:lang w:val="en-US" w:eastAsia="zh-CN"/>
        </w:rPr>
        <w:t>7:00</w:t>
      </w:r>
      <w:r>
        <w:rPr>
          <w:rFonts w:hint="eastAsia" w:ascii="宋体" w:hAnsi="宋体" w:cs="宋体"/>
          <w:bCs/>
          <w:sz w:val="24"/>
          <w:highlight w:val="none"/>
        </w:rPr>
        <w:t>〗。</w:t>
      </w:r>
      <w:r>
        <w:rPr>
          <w:rFonts w:hint="eastAsia" w:ascii="宋体" w:hAnsi="宋体" w:cs="宋体"/>
          <w:color w:val="000000"/>
          <w:kern w:val="0"/>
          <w:sz w:val="24"/>
          <w:szCs w:val="24"/>
          <w:highlight w:val="none"/>
        </w:rPr>
        <w:t>（具体以销售机构规定为准）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如</w:t>
      </w:r>
      <w:r>
        <w:rPr>
          <w:rFonts w:hint="eastAsia" w:ascii="宋体" w:hAnsi="宋体" w:cs="宋体"/>
          <w:bCs/>
          <w:color w:val="000000"/>
          <w:sz w:val="24"/>
          <w:highlight w:val="none"/>
          <w:lang w:eastAsia="zh-CN"/>
        </w:rPr>
        <w:t>新增申</w:t>
      </w:r>
      <w:r>
        <w:rPr>
          <w:rFonts w:hint="eastAsia" w:ascii="宋体" w:hAnsi="宋体" w:cs="宋体"/>
          <w:bCs/>
          <w:color w:val="000000"/>
          <w:sz w:val="24"/>
          <w:highlight w:val="none"/>
          <w:lang w:val="en-US" w:eastAsia="zh-CN"/>
        </w:rPr>
        <w:t>购使得单一投资者持有份额比例超过50％，管理人将不再接受超出部分的申购申请。非因投资管理人主观因素导致突破前款规定比例限制的，在单一投资者持有比例降至50％以下之前，管理人将不再接受该投资者对该理财产品的申购申请。投资者持有份额的计算以管理人登记为准。</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cs="宋体"/>
          <w:bCs/>
          <w:sz w:val="24"/>
          <w:highlight w:val="none"/>
          <w:lang w:val="en-US" w:eastAsia="zh-CN"/>
        </w:rPr>
        <w:t>于确认日当</w:t>
      </w:r>
      <w:r>
        <w:rPr>
          <w:rFonts w:hint="eastAsia" w:ascii="宋体" w:hAnsi="宋体" w:cs="宋体"/>
          <w:bCs/>
          <w:sz w:val="24"/>
          <w:highlight w:val="none"/>
        </w:rPr>
        <w:t>日，最晚</w:t>
      </w:r>
      <w:r>
        <w:rPr>
          <w:rFonts w:hint="eastAsia" w:ascii="宋体" w:hAnsi="宋体" w:cs="宋体"/>
          <w:bCs/>
          <w:sz w:val="24"/>
          <w:highlight w:val="none"/>
          <w:lang w:val="en-US" w:eastAsia="zh-CN"/>
        </w:rPr>
        <w:t>于确认日后</w:t>
      </w:r>
      <w:r>
        <w:rPr>
          <w:rFonts w:hint="eastAsia" w:ascii="宋体" w:hAnsi="宋体" w:cs="宋体"/>
          <w:bCs/>
          <w:sz w:val="24"/>
          <w:highlight w:val="none"/>
        </w:rPr>
        <w:t>〖</w:t>
      </w:r>
      <w:r>
        <w:rPr>
          <w:rFonts w:hint="eastAsia" w:ascii="宋体" w:hAnsi="宋体" w:cs="宋体"/>
          <w:bCs/>
          <w:sz w:val="24"/>
          <w:highlight w:val="none"/>
          <w:lang w:val="en-US" w:eastAsia="zh-CN"/>
        </w:rPr>
        <w:t>2</w:t>
      </w:r>
      <w:r>
        <w:rPr>
          <w:rFonts w:hint="eastAsia" w:ascii="宋体" w:hAnsi="宋体" w:cs="宋体"/>
          <w:bCs/>
          <w:sz w:val="24"/>
          <w:highlight w:val="none"/>
        </w:rPr>
        <w:t>〗个</w:t>
      </w:r>
      <w:r>
        <w:rPr>
          <w:rFonts w:hint="eastAsia" w:ascii="宋体" w:hAnsi="宋体" w:cs="宋体"/>
          <w:bCs/>
          <w:sz w:val="24"/>
          <w:highlight w:val="none"/>
          <w:lang w:val="en-US" w:eastAsia="zh-CN"/>
        </w:rPr>
        <w:t>交易</w:t>
      </w:r>
      <w:r>
        <w:rPr>
          <w:rFonts w:hint="eastAsia" w:ascii="宋体" w:hAnsi="宋体" w:cs="宋体"/>
          <w:bCs/>
          <w:sz w:val="24"/>
          <w:highlight w:val="none"/>
        </w:rPr>
        <w:t>日内（遇节假日顺延）理财资金与收益将一次性支付。如遇资金在途或法定工作日调整，实际资金到账日以公告为准。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50"/>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理财计划存续期内，若理财计划开放日净赎回申请份额超过上一日日终理财计划总份额〖10%〗时，即构成巨额赎回。</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如连续2日（含）以上开放日发生巨额赎回，对于已经接受的赎回申请，管理人可以延缓支付赎回款项，但延缓期限不得超过20个工作日。</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赎回开放期重新进行赎回申请。</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cs="宋体"/>
          <w:bCs/>
          <w:sz w:val="24"/>
          <w:highlight w:val="none"/>
          <w:lang w:val="en-US" w:eastAsia="zh-CN"/>
        </w:rPr>
        <w:t>于到期日后</w:t>
      </w:r>
      <w:r>
        <w:rPr>
          <w:rFonts w:hint="eastAsia" w:ascii="宋体" w:hAnsi="宋体" w:cs="宋体"/>
          <w:bCs/>
          <w:sz w:val="24"/>
          <w:highlight w:val="none"/>
        </w:rPr>
        <w:t>〖</w:t>
      </w:r>
      <w:r>
        <w:rPr>
          <w:rFonts w:hint="eastAsia" w:ascii="宋体" w:hAnsi="宋体" w:cs="宋体"/>
          <w:bCs/>
          <w:sz w:val="24"/>
          <w:highlight w:val="none"/>
          <w:lang w:val="en-US" w:eastAsia="zh-CN"/>
        </w:rPr>
        <w:t>1</w:t>
      </w:r>
      <w:r>
        <w:rPr>
          <w:rFonts w:hint="eastAsia" w:ascii="宋体" w:hAnsi="宋体" w:cs="宋体"/>
          <w:bCs/>
          <w:sz w:val="24"/>
          <w:highlight w:val="none"/>
        </w:rPr>
        <w:t>〗个</w:t>
      </w:r>
      <w:r>
        <w:rPr>
          <w:rFonts w:hint="eastAsia" w:ascii="宋体" w:hAnsi="宋体" w:cs="宋体"/>
          <w:bCs/>
          <w:sz w:val="24"/>
          <w:highlight w:val="none"/>
          <w:lang w:val="en-US" w:eastAsia="zh-CN"/>
        </w:rPr>
        <w:t>交易</w:t>
      </w:r>
      <w:r>
        <w:rPr>
          <w:rFonts w:hint="eastAsia" w:ascii="宋体" w:hAnsi="宋体" w:cs="宋体"/>
          <w:bCs/>
          <w:sz w:val="24"/>
          <w:highlight w:val="none"/>
        </w:rPr>
        <w:t>日、最晚</w:t>
      </w:r>
      <w:r>
        <w:rPr>
          <w:rFonts w:hint="eastAsia" w:ascii="宋体" w:hAnsi="宋体" w:cs="宋体"/>
          <w:bCs/>
          <w:sz w:val="24"/>
          <w:highlight w:val="none"/>
          <w:lang w:val="en-US" w:eastAsia="zh-CN"/>
        </w:rPr>
        <w:t>于到期日后</w:t>
      </w:r>
      <w:r>
        <w:rPr>
          <w:rFonts w:hint="eastAsia" w:ascii="宋体" w:hAnsi="宋体" w:cs="宋体"/>
          <w:bCs/>
          <w:sz w:val="24"/>
          <w:highlight w:val="none"/>
        </w:rPr>
        <w:t>〖</w:t>
      </w:r>
      <w:r>
        <w:rPr>
          <w:rFonts w:hint="eastAsia" w:ascii="宋体" w:hAnsi="宋体" w:cs="宋体"/>
          <w:bCs/>
          <w:sz w:val="24"/>
          <w:highlight w:val="none"/>
          <w:lang w:val="en-US" w:eastAsia="zh-CN"/>
        </w:rPr>
        <w:t>3</w:t>
      </w:r>
      <w:r>
        <w:rPr>
          <w:rFonts w:hint="eastAsia" w:ascii="宋体" w:hAnsi="宋体" w:cs="宋体"/>
          <w:bCs/>
          <w:sz w:val="24"/>
          <w:highlight w:val="none"/>
        </w:rPr>
        <w:t>〗个</w:t>
      </w:r>
      <w:r>
        <w:rPr>
          <w:rFonts w:hint="eastAsia" w:ascii="宋体" w:hAnsi="宋体" w:cs="宋体"/>
          <w:bCs/>
          <w:sz w:val="24"/>
          <w:highlight w:val="none"/>
          <w:lang w:val="en-US" w:eastAsia="zh-CN"/>
        </w:rPr>
        <w:t>交易</w:t>
      </w:r>
      <w:r>
        <w:rPr>
          <w:rFonts w:hint="eastAsia" w:ascii="宋体" w:hAnsi="宋体" w:cs="宋体"/>
          <w:bCs/>
          <w:sz w:val="24"/>
          <w:highlight w:val="none"/>
        </w:rPr>
        <w:t>日内（遇节假日顺延）将资金按规定的要求划入投资者授权指定的理财账户。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sz w:val="24"/>
          <w:highlight w:val="none"/>
        </w:rPr>
        <w:t>2</w:t>
      </w:r>
      <w:r>
        <w:rPr>
          <w:rFonts w:hint="eastAsia" w:ascii="宋体" w:hAnsi="宋体" w:cs="宋体"/>
          <w:bCs/>
          <w:color w:val="000000"/>
          <w:sz w:val="24"/>
          <w:highlight w:val="none"/>
        </w:rPr>
        <w:t>〗</w:t>
      </w:r>
      <w:r>
        <w:rPr>
          <w:rFonts w:hint="eastAsia" w:ascii="宋体" w:hAnsi="宋体" w:cs="宋体"/>
          <w:bCs/>
          <w:sz w:val="24"/>
          <w:highlight w:val="none"/>
        </w:rPr>
        <w:t>个工作日通过管理人或销售机构发布提前终止公告，并于终止日后</w:t>
      </w:r>
      <w:r>
        <w:rPr>
          <w:rFonts w:hint="eastAsia" w:ascii="宋体" w:hAnsi="宋体" w:cs="宋体"/>
          <w:sz w:val="24"/>
          <w:szCs w:val="24"/>
          <w:highlight w:val="none"/>
        </w:rPr>
        <w:t>〖</w:t>
      </w:r>
      <w:r>
        <w:rPr>
          <w:rFonts w:hint="eastAsia" w:ascii="宋体" w:hAnsi="宋体" w:cs="宋体"/>
          <w:szCs w:val="21"/>
          <w:highlight w:val="none"/>
          <w:lang w:val="en-US" w:eastAsia="zh-CN"/>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cs="宋体"/>
          <w:bCs/>
          <w:sz w:val="24"/>
          <w:highlight w:val="none"/>
          <w:lang w:val="en-US" w:eastAsia="zh-CN"/>
        </w:rPr>
        <w:t>交易</w:t>
      </w:r>
      <w:r>
        <w:rPr>
          <w:rFonts w:hint="eastAsia" w:ascii="宋体" w:hAnsi="宋体" w:cs="宋体"/>
          <w:bCs/>
          <w:sz w:val="24"/>
          <w:highlight w:val="none"/>
        </w:rPr>
        <w:t>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54"/>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5"/>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5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5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5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p>
    <w:p>
      <w:pPr>
        <w:numPr>
          <w:ilvl w:val="0"/>
          <w:numId w:val="5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p>
    <w:p>
      <w:pPr>
        <w:numPr>
          <w:ilvl w:val="0"/>
          <w:numId w:val="0"/>
        </w:numPr>
        <w:spacing w:line="360" w:lineRule="auto"/>
        <w:ind w:firstLine="0" w:firstLineChars="0"/>
        <w:rPr>
          <w:rFonts w:hint="eastAsia" w:ascii="宋体" w:hAnsi="宋体" w:cs="宋体"/>
          <w:b/>
          <w:sz w:val="24"/>
          <w:highlight w:val="none"/>
          <w:u w:val="none"/>
        </w:rPr>
      </w:pPr>
      <w:r>
        <w:rPr>
          <w:rFonts w:hint="eastAsia" w:ascii="宋体" w:hAnsi="宋体" w:cs="宋体"/>
          <w:bCs/>
          <w:color w:val="000000"/>
          <w:sz w:val="24"/>
          <w:highlight w:val="none"/>
          <w:u w:val="none"/>
          <w:lang w:eastAsia="zh-CN"/>
        </w:rPr>
        <w:t>如本理财计划成立不足</w:t>
      </w:r>
      <w:r>
        <w:rPr>
          <w:rFonts w:hint="eastAsia" w:ascii="宋体" w:hAnsi="宋体" w:cs="宋体"/>
          <w:bCs/>
          <w:color w:val="000000"/>
          <w:sz w:val="24"/>
          <w:highlight w:val="none"/>
          <w:u w:val="none"/>
          <w:lang w:val="en-US" w:eastAsia="zh-CN"/>
        </w:rPr>
        <w:t>90个工作日或剩余存续期不超过90个工作日的，管理人可不编制当期的季度、半年和年度报告等运行报告。</w:t>
      </w:r>
    </w:p>
    <w:p>
      <w:pPr>
        <w:numPr>
          <w:ilvl w:val="0"/>
          <w:numId w:val="5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5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6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6"/>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8"/>
        </w:numPr>
        <w:spacing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6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p>
    <w:p>
      <w:pPr>
        <w:numPr>
          <w:ilvl w:val="0"/>
          <w:numId w:val="6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eastAsia="zh-CN"/>
        </w:rPr>
        <w:t>销售机构或</w:t>
      </w:r>
      <w:r>
        <w:rPr>
          <w:rFonts w:hint="eastAsia" w:ascii="宋体" w:hAnsi="宋体" w:cs="宋体"/>
          <w:bCs/>
          <w:color w:val="000000"/>
          <w:sz w:val="24"/>
          <w:highlight w:val="none"/>
        </w:rPr>
        <w:t>管理人所在地有管辖权的人民法院诉讼解决。</w:t>
      </w:r>
    </w:p>
    <w:p>
      <w:pPr>
        <w:numPr>
          <w:ilvl w:val="0"/>
          <w:numId w:val="61"/>
        </w:numPr>
        <w:spacing w:line="360" w:lineRule="auto"/>
        <w:ind w:firstLine="482" w:firstLineChars="200"/>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Cs/>
          <w:color w:val="000000"/>
          <w:sz w:val="24"/>
          <w:highlight w:val="none"/>
        </w:rPr>
        <w:br w:type="page"/>
      </w: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2"/>
        </w:num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p>
    <w:p>
      <w:pPr>
        <w:numPr>
          <w:ilvl w:val="0"/>
          <w:numId w:val="63"/>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4"/>
        </w:num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numPr>
          <w:ilvl w:val="0"/>
          <w:numId w:val="0"/>
        </w:numPr>
        <w:spacing w:line="360" w:lineRule="auto"/>
        <w:ind w:leftChars="200" w:firstLine="0" w:firstLineChars="0"/>
        <w:outlineLvl w:val="1"/>
        <w:rPr>
          <w:rFonts w:hint="eastAsia" w:ascii="宋体" w:hAnsi="宋体" w:cs="宋体"/>
          <w:b/>
          <w:kern w:val="0"/>
          <w:sz w:val="24"/>
          <w:highlight w:val="none"/>
        </w:rPr>
      </w:pPr>
      <w:r>
        <w:rPr>
          <w:rFonts w:hint="eastAsia" w:ascii="宋体" w:hAnsi="宋体" w:cs="宋体"/>
          <w:bCs/>
          <w:highlight w:val="none"/>
        </w:rPr>
        <w:t>投资者风险承受能力评级水平以销售机构评估为准。</w:t>
      </w:r>
    </w:p>
    <w:p>
      <w:pPr>
        <w:numPr>
          <w:ilvl w:val="0"/>
          <w:numId w:val="65"/>
        </w:num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6"/>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6"/>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6"/>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7"/>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7"/>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7"/>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7"/>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68"/>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68"/>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8"/>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69"/>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69"/>
        </w:numPr>
        <w:spacing w:line="360" w:lineRule="auto"/>
        <w:ind w:firstLine="480" w:firstLineChars="200"/>
        <w:outlineLvl w:val="2"/>
        <w:rPr>
          <w:rFonts w:hint="eastAsia" w:ascii="宋体" w:hAnsi="宋体" w:cs="宋体"/>
          <w:kern w:val="0"/>
          <w:sz w:val="24"/>
          <w:highlight w:val="none"/>
        </w:rPr>
      </w:pPr>
      <w:r>
        <w:rPr>
          <w:rFonts w:hint="eastAsia" w:ascii="宋体" w:hAnsi="宋体" w:cs="宋体"/>
          <w:kern w:val="0"/>
          <w:sz w:val="24"/>
          <w:highlight w:val="none"/>
        </w:rPr>
        <w:t>联络方式</w:t>
      </w:r>
    </w:p>
    <w:p>
      <w:pPr>
        <w:numPr>
          <w:ilvl w:val="0"/>
          <w:numId w:val="70"/>
        </w:numPr>
        <w:spacing w:line="360" w:lineRule="auto"/>
        <w:ind w:left="0" w:leftChars="0" w:firstLine="480" w:firstLineChars="20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bCs/>
          <w:color w:val="auto"/>
          <w:kern w:val="2"/>
          <w:highlight w:val="none"/>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rPr>
        <w:fldChar w:fldCharType="begin"/>
      </w:r>
      <w:r>
        <w:rPr>
          <w:rFonts w:hint="eastAsia" w:ascii="宋体" w:hAnsi="宋体" w:cs="宋体"/>
          <w:bCs/>
          <w:color w:val="auto"/>
          <w:kern w:val="2"/>
          <w:highlight w:val="none"/>
        </w:rPr>
        <w:instrText xml:space="preserve"> HYPERLINK "https://www.hzbankwealth.com.cn" </w:instrText>
      </w:r>
      <w:r>
        <w:rPr>
          <w:rFonts w:hint="eastAsia" w:ascii="宋体" w:hAnsi="宋体" w:cs="宋体"/>
          <w:bCs/>
          <w:color w:val="auto"/>
          <w:kern w:val="2"/>
          <w:highlight w:val="none"/>
        </w:rPr>
        <w:fldChar w:fldCharType="separate"/>
      </w:r>
      <w:r>
        <w:rPr>
          <w:rStyle w:val="14"/>
          <w:rFonts w:hint="eastAsia" w:ascii="宋体" w:hAnsi="宋体" w:cs="宋体"/>
          <w:bCs/>
          <w:kern w:val="2"/>
          <w:highlight w:val="none"/>
        </w:rPr>
        <w:t>https://www.hzbankwealth.com.cn</w:t>
      </w:r>
      <w:r>
        <w:rPr>
          <w:rFonts w:hint="eastAsia" w:ascii="宋体" w:hAnsi="宋体" w:cs="宋体"/>
          <w:bCs/>
          <w:color w:val="auto"/>
          <w:kern w:val="2"/>
          <w:highlight w:val="none"/>
        </w:rPr>
        <w:fldChar w:fldCharType="end"/>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70"/>
        </w:numPr>
        <w:spacing w:line="360" w:lineRule="auto"/>
        <w:ind w:left="0" w:leftChars="0" w:firstLine="480" w:firstLineChars="20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u w:val="single"/>
          <w:lang w:val="en-US" w:eastAsia="zh-CN"/>
        </w:rPr>
        <w:fldChar w:fldCharType="begin"/>
      </w:r>
      <w:r>
        <w:rPr>
          <w:rFonts w:hint="eastAsia" w:ascii="宋体" w:hAnsi="宋体" w:cs="宋体"/>
          <w:kern w:val="0"/>
          <w:sz w:val="24"/>
          <w:highlight w:val="none"/>
          <w:u w:val="single"/>
          <w:lang w:val="en-US" w:eastAsia="zh-CN"/>
        </w:rPr>
        <w:instrText xml:space="preserve"> HYPERLINK "http://www.hzbankwealth.cn" </w:instrText>
      </w:r>
      <w:r>
        <w:rPr>
          <w:rFonts w:hint="eastAsia" w:ascii="宋体" w:hAnsi="宋体" w:cs="宋体"/>
          <w:kern w:val="0"/>
          <w:sz w:val="24"/>
          <w:highlight w:val="none"/>
          <w:u w:val="single"/>
          <w:lang w:val="en-US" w:eastAsia="zh-CN"/>
        </w:rPr>
        <w:fldChar w:fldCharType="separate"/>
      </w:r>
      <w:r>
        <w:rPr>
          <w:rStyle w:val="14"/>
          <w:rFonts w:hint="eastAsia" w:ascii="宋体" w:hAnsi="宋体" w:cs="宋体"/>
          <w:kern w:val="0"/>
          <w:sz w:val="24"/>
          <w:highlight w:val="none"/>
          <w:lang w:val="en-US" w:eastAsia="zh-CN"/>
        </w:rPr>
        <w:t>www.hzbank.com.cn</w:t>
      </w:r>
      <w:r>
        <w:rPr>
          <w:rFonts w:hint="eastAsia" w:ascii="宋体" w:hAnsi="宋体" w:cs="宋体"/>
          <w:kern w:val="0"/>
          <w:sz w:val="24"/>
          <w:highlight w:val="none"/>
          <w:u w:val="singl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spacing w:line="360" w:lineRule="auto"/>
        <w:jc w:val="center"/>
        <w:outlineLvl w:val="0"/>
        <w:rPr>
          <w:rFonts w:hint="eastAsia"/>
          <w:b/>
          <w:sz w:val="44"/>
          <w:szCs w:val="44"/>
          <w:highlight w:val="none"/>
        </w:rPr>
      </w:pPr>
      <w:r>
        <w:rPr>
          <w:rFonts w:hint="eastAsia"/>
          <w:b/>
          <w:sz w:val="44"/>
          <w:szCs w:val="44"/>
          <w:highlight w:val="none"/>
        </w:rPr>
        <w:br w:type="page"/>
      </w: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2</w:t>
      </w:r>
      <w:r>
        <w:rPr>
          <w:rFonts w:hint="eastAsia" w:ascii="宋体" w:hAnsi="宋体" w:cs="宋体"/>
          <w:sz w:val="28"/>
          <w:szCs w:val="28"/>
          <w:highlight w:val="none"/>
        </w:rPr>
        <w:t>01版）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1"/>
        </w:numPr>
        <w:spacing w:line="360" w:lineRule="auto"/>
        <w:ind w:firstLine="482" w:firstLineChars="200"/>
        <w:outlineLvl w:val="1"/>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投资者权利与义务</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2"/>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管理人权利与义务</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3"/>
        </w:numPr>
        <w:spacing w:line="360" w:lineRule="auto"/>
        <w:ind w:firstLine="480" w:firstLineChars="200"/>
        <w:contextualSpacing/>
        <w:outlineLvl w:val="2"/>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sz w:val="24"/>
          <w:highlight w:val="none"/>
        </w:rPr>
        <w:t xml:space="preserve">。 </w:t>
      </w:r>
    </w:p>
    <w:p>
      <w:pPr>
        <w:widowControl/>
        <w:numPr>
          <w:ilvl w:val="0"/>
          <w:numId w:val="73"/>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理财计划认（申）购、赎回及终止</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4"/>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4"/>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违约责任及免责条款</w:t>
      </w:r>
    </w:p>
    <w:p>
      <w:pPr>
        <w:widowControl/>
        <w:numPr>
          <w:ilvl w:val="0"/>
          <w:numId w:val="75"/>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val="en-US"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val="en-US" w:eastAsia="zh-CN"/>
        </w:rPr>
        <w:t>赎回</w:t>
      </w:r>
      <w:r>
        <w:rPr>
          <w:rFonts w:hint="eastAsia" w:ascii="宋体" w:hAnsi="宋体"/>
          <w:sz w:val="24"/>
          <w:highlight w:val="none"/>
        </w:rPr>
        <w:t>日前的理财收益，也不计付存款利息。</w:t>
      </w:r>
    </w:p>
    <w:p>
      <w:pPr>
        <w:widowControl/>
        <w:numPr>
          <w:ilvl w:val="0"/>
          <w:numId w:val="75"/>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5"/>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5"/>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5"/>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5"/>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1"/>
        </w:numPr>
        <w:spacing w:line="360" w:lineRule="auto"/>
        <w:ind w:firstLine="482" w:firstLineChars="200"/>
        <w:outlineLvl w:val="1"/>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eastAsia="zh-CN"/>
        </w:rPr>
        <w:t>销售机构或</w:t>
      </w:r>
      <w:r>
        <w:rPr>
          <w:rFonts w:hint="eastAsia" w:ascii="宋体" w:hAnsi="宋体"/>
          <w:sz w:val="24"/>
          <w:highlight w:val="none"/>
        </w:rPr>
        <w:t>管理人所在地人民法院司法裁决。诉讼期间，未涉及争议的条款仍需继续履行。</w:t>
      </w:r>
    </w:p>
    <w:p>
      <w:pPr>
        <w:spacing w:line="360" w:lineRule="auto"/>
        <w:ind w:left="482"/>
        <w:rPr>
          <w:b/>
          <w:sz w:val="24"/>
          <w:highlight w:val="none"/>
        </w:rPr>
      </w:pPr>
    </w:p>
    <w:p>
      <w:pPr>
        <w:numPr>
          <w:ilvl w:val="0"/>
          <w:numId w:val="71"/>
        </w:numPr>
        <w:spacing w:line="360" w:lineRule="auto"/>
        <w:ind w:firstLine="482" w:firstLineChars="200"/>
        <w:outlineLvl w:val="1"/>
        <w:rPr>
          <w:rFonts w:hint="eastAsia"/>
          <w:b/>
          <w:sz w:val="24"/>
          <w:highlight w:val="none"/>
        </w:rPr>
      </w:pPr>
      <w:r>
        <w:rPr>
          <w:rFonts w:hint="eastAsia"/>
          <w:b/>
          <w:sz w:val="24"/>
          <w:highlight w:val="none"/>
        </w:rPr>
        <w:t>协议生效和终止</w:t>
      </w:r>
    </w:p>
    <w:p>
      <w:pPr>
        <w:widowControl/>
        <w:numPr>
          <w:ilvl w:val="0"/>
          <w:numId w:val="76"/>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6"/>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本协议书以纸质书面形式订立的，自投资者签字和销售机构代表管理人签署盖章之后立即生效。协议一式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6"/>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6"/>
        </w:numPr>
        <w:spacing w:line="360" w:lineRule="auto"/>
        <w:ind w:firstLine="480" w:firstLineChars="200"/>
        <w:contextualSpacing/>
        <w:outlineLvl w:val="2"/>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1"/>
        </w:numPr>
        <w:spacing w:line="360" w:lineRule="auto"/>
        <w:ind w:firstLine="482" w:firstLineChars="200"/>
        <w:outlineLvl w:val="1"/>
        <w:rPr>
          <w:b/>
          <w:sz w:val="24"/>
          <w:highlight w:val="none"/>
        </w:rPr>
      </w:pPr>
      <w:r>
        <w:rPr>
          <w:rFonts w:hint="eastAsia"/>
          <w:b/>
          <w:sz w:val="24"/>
          <w:highlight w:val="none"/>
        </w:rPr>
        <w:t>附则</w:t>
      </w:r>
    </w:p>
    <w:p>
      <w:pPr>
        <w:widowControl/>
        <w:numPr>
          <w:ilvl w:val="0"/>
          <w:numId w:val="77"/>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如果投资者与管理人之间存在多份理财计划协议书，则每一份协议书分别与其所对应的产品说明书等销售文本单独构成一个理财计划交易合同，各个合同之间互相独立，每一合同的效力及履行情况均独立于其他合同。</w:t>
      </w:r>
    </w:p>
    <w:p>
      <w:pPr>
        <w:widowControl/>
        <w:numPr>
          <w:ilvl w:val="0"/>
          <w:numId w:val="77"/>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7"/>
        </w:numPr>
        <w:spacing w:line="360" w:lineRule="auto"/>
        <w:ind w:firstLine="480" w:firstLineChars="200"/>
        <w:contextualSpacing/>
        <w:outlineLvl w:val="2"/>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ind w:firstLine="480" w:firstLineChars="200"/>
        <w:rPr>
          <w:rFonts w:ascii="宋体" w:hAnsi="宋体" w:cs="宋体"/>
          <w:bCs/>
          <w:color w:val="000000"/>
          <w:sz w:val="24"/>
          <w:highlight w:val="none"/>
        </w:rPr>
      </w:pPr>
    </w:p>
    <w:p>
      <w:pPr>
        <w:spacing w:line="360" w:lineRule="auto"/>
        <w:ind w:firstLine="480" w:firstLineChars="200"/>
        <w:rPr>
          <w:rFonts w:ascii="宋体" w:hAnsi="宋体" w:cs="宋体"/>
          <w:bCs/>
          <w:color w:val="000000"/>
          <w:sz w:val="24"/>
          <w:highlight w:val="none"/>
        </w:rPr>
      </w:pPr>
    </w:p>
    <w:p>
      <w:pPr>
        <w:pStyle w:val="9"/>
        <w:widowControl/>
        <w:spacing w:line="360" w:lineRule="auto"/>
        <w:jc w:val="right"/>
        <w:rPr>
          <w:rFonts w:hint="eastAsia" w:ascii="宋体" w:hAnsi="Wingdings" w:cs="宋体"/>
          <w:color w:val="000000"/>
          <w:kern w:val="0"/>
          <w:highlight w:val="none"/>
        </w:rPr>
      </w:pPr>
      <w:r>
        <w:rPr>
          <w:rFonts w:hint="eastAsia" w:ascii="宋体" w:hAnsi="宋体" w:cs="宋体"/>
          <w:kern w:val="0"/>
          <w:highlight w:val="none"/>
        </w:rPr>
        <w:t>杭银理财有限责任公司</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0"/>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01版）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（202201版）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w:t>
      </w:r>
      <w:r>
        <w:rPr>
          <w:rFonts w:hint="eastAsia" w:cs="黑体"/>
          <w:sz w:val="24"/>
          <w:highlight w:val="none"/>
          <w:lang w:val="en-US" w:eastAsia="zh-CN"/>
        </w:rPr>
        <w:t>代理</w:t>
      </w:r>
      <w:r>
        <w:rPr>
          <w:rFonts w:hint="eastAsia" w:ascii="Calibri" w:hAnsi="Calibri" w:eastAsia="宋体" w:cs="黑体"/>
          <w:sz w:val="24"/>
          <w:highlight w:val="none"/>
          <w:lang w:val="en-US" w:eastAsia="zh-CN"/>
        </w:rPr>
        <w:t>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78"/>
        </w:numPr>
        <w:spacing w:line="360" w:lineRule="auto"/>
        <w:ind w:left="0" w:leftChars="0" w:firstLine="482" w:firstLineChars="20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78"/>
        </w:numPr>
        <w:spacing w:line="360" w:lineRule="auto"/>
        <w:ind w:left="0" w:leftChars="0" w:firstLine="482" w:firstLineChars="20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78"/>
        </w:numPr>
        <w:spacing w:line="360" w:lineRule="auto"/>
        <w:ind w:left="0" w:leftChars="0" w:firstLine="480" w:firstLineChars="200"/>
        <w:contextualSpacing/>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78"/>
        </w:numPr>
        <w:spacing w:line="360" w:lineRule="auto"/>
        <w:ind w:left="0" w:leftChars="0" w:firstLine="482" w:firstLineChars="20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78"/>
        </w:numPr>
        <w:spacing w:line="360" w:lineRule="auto"/>
        <w:ind w:left="0" w:leftChars="0" w:firstLine="482" w:firstLineChars="20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2"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cs="黑体"/>
          <w:b/>
          <w:bCs/>
          <w:sz w:val="24"/>
          <w:highlight w:val="none"/>
          <w:lang w:val="en-US" w:eastAsia="zh-CN"/>
        </w:rPr>
        <w:t>代理</w:t>
      </w:r>
      <w:r>
        <w:rPr>
          <w:rFonts w:hint="eastAsia" w:ascii="宋体" w:hAnsi="宋体" w:eastAsia="宋体" w:cs="黑体"/>
          <w:b/>
          <w:bCs/>
          <w:sz w:val="24"/>
          <w:highlight w:val="none"/>
          <w:lang w:val="en-US" w:eastAsia="zh-CN"/>
        </w:rPr>
        <w:t>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销售机构对投资者负有信息保密义务，未经投资者书面许可，乙方不得向任何组织、个人提供或泄露与甲方有关的业务资料及信息，但法律、法规另有规定的除外。</w:t>
      </w:r>
    </w:p>
    <w:p>
      <w:pPr>
        <w:keepNext w:val="0"/>
        <w:keepLines w:val="0"/>
        <w:pageBreakBefore w:val="0"/>
        <w:widowControl/>
        <w:numPr>
          <w:ilvl w:val="0"/>
          <w:numId w:val="79"/>
        </w:numPr>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firstLine="480" w:firstLineChars="20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204"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cs="黑体"/>
          <w:sz w:val="24"/>
          <w:highlight w:val="none"/>
          <w:lang w:val="en-US"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cs="黑体"/>
          <w:sz w:val="24"/>
          <w:highlight w:val="none"/>
          <w:lang w:val="en-US"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销售机构或管理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本协议书以纸质书面形式订立的，自投资者签字和销售机构签章之后立即生效。协议一式</w:t>
      </w:r>
      <w:r>
        <w:rPr>
          <w:rFonts w:hint="eastAsia" w:ascii="宋体" w:hAnsi="宋体" w:eastAsia="宋体" w:cs="黑体"/>
          <w:sz w:val="24"/>
          <w:highlight w:val="none"/>
          <w:lang w:val="en-US" w:eastAsia="zh-CN"/>
        </w:rPr>
        <w:t>叁</w:t>
      </w:r>
      <w:r>
        <w:rPr>
          <w:rFonts w:hint="eastAsia" w:ascii="宋体" w:hAnsi="宋体" w:eastAsia="宋体" w:cs="黑体"/>
          <w:sz w:val="24"/>
          <w:highlight w:val="none"/>
        </w:rPr>
        <w:t>份，投资者</w:t>
      </w:r>
      <w:r>
        <w:rPr>
          <w:rFonts w:hint="eastAsia" w:ascii="宋体" w:hAnsi="宋体" w:eastAsia="宋体" w:cs="黑体"/>
          <w:sz w:val="24"/>
          <w:highlight w:val="none"/>
          <w:lang w:eastAsia="zh-CN"/>
        </w:rPr>
        <w:t>、</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各执壹份，具有同等法律效力。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80" w:firstLineChars="20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Wingdings" w:eastAsia="宋体" w:cs="宋体"/>
          <w:color w:val="000000"/>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杭银理财有限责任公司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spacing w:line="360" w:lineRule="auto"/>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nj1Y+wAQAA&#10;TgMAAA4AAAAAAAAAAQAgAAAAHgEAAGRycy9lMm9Eb2MueG1sUEsFBgAAAAAGAAYAWQEAAEAFAAAA&#10;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rFonts w:hint="default" w:eastAsia="宋体"/>
        <w:b/>
        <w:bCs/>
        <w:lang w:val="en-US" w:eastAsia="zh-CN"/>
      </w:rPr>
    </w:pPr>
    <w:r>
      <w:rPr>
        <w:rFonts w:hint="default" w:eastAsia="宋体"/>
        <w:b/>
        <w:bCs/>
        <w:color w:val="auto"/>
        <w:lang w:val="en-US" w:eastAsia="zh-CN"/>
      </w:rPr>
      <w:drawing>
        <wp:anchor distT="0" distB="0" distL="114300" distR="114300" simplePos="0" relativeHeight="251660288" behindDoc="1" locked="0" layoutInCell="1" allowOverlap="1">
          <wp:simplePos x="0" y="0"/>
          <wp:positionH relativeFrom="column">
            <wp:posOffset>5181600</wp:posOffset>
          </wp:positionH>
          <wp:positionV relativeFrom="paragraph">
            <wp:posOffset>-585470</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102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25"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b/>
        <w:bCs/>
        <w:color w:val="auto"/>
        <w:lang w:eastAsia="zh-CN"/>
      </w:rPr>
      <w:t>理财非存款</w:t>
    </w:r>
    <w:r>
      <w:rPr>
        <w:rFonts w:hint="eastAsia"/>
        <w:b/>
        <w:bCs/>
        <w:color w:val="auto"/>
        <w:lang w:val="en-US" w:eastAsia="zh-CN"/>
      </w:rPr>
      <w:t xml:space="preserve"> 产品有风险 投资须谨慎</w:t>
    </w:r>
    <w:r>
      <w:rPr>
        <w:rFonts w:hint="eastAsia"/>
        <w:b/>
        <w:bCs/>
        <w:color w:val="FF0000"/>
        <w:lang w:val="en-US" w:eastAsia="zh-CN"/>
      </w:rPr>
      <w:t xml:space="preserve">  </w:t>
    </w:r>
    <w:r>
      <w:rPr>
        <w:rFonts w:hint="eastAsia"/>
        <w:b/>
        <w:bCs/>
        <w:color w:val="auto"/>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3">
    <w:nsid w:val="85460E80"/>
    <w:multiLevelType w:val="singleLevel"/>
    <w:tmpl w:val="85460E80"/>
    <w:lvl w:ilvl="0" w:tentative="0">
      <w:start w:val="1"/>
      <w:numFmt w:val="decimal"/>
      <w:suff w:val="nothing"/>
      <w:lvlText w:val="（%1）"/>
      <w:lvlJc w:val="left"/>
      <w:rPr>
        <w:rFonts w:hint="default"/>
        <w:b w:val="0"/>
        <w:bCs w:val="0"/>
      </w:rPr>
    </w:lvl>
  </w:abstractNum>
  <w:abstractNum w:abstractNumId="4">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5">
    <w:nsid w:val="8906C252"/>
    <w:multiLevelType w:val="singleLevel"/>
    <w:tmpl w:val="8906C252"/>
    <w:lvl w:ilvl="0" w:tentative="0">
      <w:start w:val="1"/>
      <w:numFmt w:val="decimal"/>
      <w:suff w:val="nothing"/>
      <w:lvlText w:val="（%1）"/>
      <w:lvlJc w:val="left"/>
      <w:rPr>
        <w:rFonts w:hint="default"/>
        <w:b w:val="0"/>
        <w:bCs w:val="0"/>
      </w:rPr>
    </w:lvl>
  </w:abstractNum>
  <w:abstractNum w:abstractNumId="6">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7">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8">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9">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10">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11">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2">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3">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4">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5">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6">
    <w:nsid w:val="AC40BB97"/>
    <w:multiLevelType w:val="singleLevel"/>
    <w:tmpl w:val="AC40BB97"/>
    <w:lvl w:ilvl="0" w:tentative="0">
      <w:start w:val="1"/>
      <w:numFmt w:val="chineseCounting"/>
      <w:suff w:val="nothing"/>
      <w:lvlText w:val="%1、"/>
      <w:lvlJc w:val="left"/>
      <w:rPr>
        <w:rFonts w:hint="eastAsia"/>
      </w:rPr>
    </w:lvl>
  </w:abstractNum>
  <w:abstractNum w:abstractNumId="17">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8">
    <w:nsid w:val="B08226EF"/>
    <w:multiLevelType w:val="singleLevel"/>
    <w:tmpl w:val="B08226EF"/>
    <w:lvl w:ilvl="0" w:tentative="0">
      <w:start w:val="1"/>
      <w:numFmt w:val="chineseCounting"/>
      <w:suff w:val="space"/>
      <w:lvlText w:val="第%1条"/>
      <w:lvlJc w:val="left"/>
      <w:rPr>
        <w:rFonts w:hint="eastAsia"/>
      </w:rPr>
    </w:lvl>
  </w:abstractNum>
  <w:abstractNum w:abstractNumId="19">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20">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21">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2">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3">
    <w:nsid w:val="CEBF199A"/>
    <w:multiLevelType w:val="singleLevel"/>
    <w:tmpl w:val="CEBF199A"/>
    <w:lvl w:ilvl="0" w:tentative="0">
      <w:start w:val="1"/>
      <w:numFmt w:val="chineseCounting"/>
      <w:suff w:val="nothing"/>
      <w:lvlText w:val="（%1）"/>
      <w:lvlJc w:val="left"/>
      <w:pPr>
        <w:ind w:left="0" w:firstLine="420"/>
      </w:pPr>
      <w:rPr>
        <w:rFonts w:hint="eastAsia"/>
      </w:rPr>
    </w:lvl>
  </w:abstractNum>
  <w:abstractNum w:abstractNumId="24">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5">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6">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7">
    <w:nsid w:val="D8D75090"/>
    <w:multiLevelType w:val="singleLevel"/>
    <w:tmpl w:val="D8D75090"/>
    <w:lvl w:ilvl="0" w:tentative="0">
      <w:start w:val="1"/>
      <w:numFmt w:val="decimal"/>
      <w:suff w:val="nothing"/>
      <w:lvlText w:val="（%1）"/>
      <w:lvlJc w:val="left"/>
      <w:rPr>
        <w:rFonts w:hint="default"/>
        <w:b w:val="0"/>
        <w:bCs w:val="0"/>
      </w:rPr>
    </w:lvl>
  </w:abstractNum>
  <w:abstractNum w:abstractNumId="28">
    <w:nsid w:val="DD2251DF"/>
    <w:multiLevelType w:val="singleLevel"/>
    <w:tmpl w:val="DD2251DF"/>
    <w:lvl w:ilvl="0" w:tentative="0">
      <w:start w:val="1"/>
      <w:numFmt w:val="decimal"/>
      <w:suff w:val="nothing"/>
      <w:lvlText w:val="（%1）"/>
      <w:lvlJc w:val="left"/>
      <w:rPr>
        <w:rFonts w:hint="default"/>
        <w:b w:val="0"/>
        <w:bCs w:val="0"/>
      </w:rPr>
    </w:lvl>
  </w:abstractNum>
  <w:abstractNum w:abstractNumId="29">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30">
    <w:nsid w:val="E70DF796"/>
    <w:multiLevelType w:val="singleLevel"/>
    <w:tmpl w:val="E70DF796"/>
    <w:lvl w:ilvl="0" w:tentative="0">
      <w:start w:val="1"/>
      <w:numFmt w:val="decimal"/>
      <w:suff w:val="nothing"/>
      <w:lvlText w:val="（%1）"/>
      <w:lvlJc w:val="left"/>
    </w:lvl>
  </w:abstractNum>
  <w:abstractNum w:abstractNumId="31">
    <w:nsid w:val="EFF37F09"/>
    <w:multiLevelType w:val="singleLevel"/>
    <w:tmpl w:val="EFF37F09"/>
    <w:lvl w:ilvl="0" w:tentative="0">
      <w:start w:val="1"/>
      <w:numFmt w:val="decimal"/>
      <w:suff w:val="nothing"/>
      <w:lvlText w:val="（%1）"/>
      <w:lvlJc w:val="left"/>
      <w:rPr>
        <w:rFonts w:hint="default"/>
        <w:b w:val="0"/>
        <w:bCs w:val="0"/>
      </w:rPr>
    </w:lvl>
  </w:abstractNum>
  <w:abstractNum w:abstractNumId="32">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4">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5">
    <w:nsid w:val="F574F5B6"/>
    <w:multiLevelType w:val="singleLevel"/>
    <w:tmpl w:val="F574F5B6"/>
    <w:lvl w:ilvl="0" w:tentative="0">
      <w:start w:val="1"/>
      <w:numFmt w:val="decimal"/>
      <w:suff w:val="nothing"/>
      <w:lvlText w:val="（%1）"/>
      <w:lvlJc w:val="left"/>
    </w:lvl>
  </w:abstractNum>
  <w:abstractNum w:abstractNumId="36">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7">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8">
    <w:nsid w:val="084A6179"/>
    <w:multiLevelType w:val="singleLevel"/>
    <w:tmpl w:val="084A6179"/>
    <w:lvl w:ilvl="0" w:tentative="0">
      <w:start w:val="1"/>
      <w:numFmt w:val="decimal"/>
      <w:suff w:val="nothing"/>
      <w:lvlText w:val="（%1）"/>
      <w:lvlJc w:val="left"/>
      <w:rPr>
        <w:rFonts w:hint="default"/>
        <w:highlight w:val="none"/>
      </w:rPr>
    </w:lvl>
  </w:abstractNum>
  <w:abstractNum w:abstractNumId="39">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41">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2">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3">
    <w:nsid w:val="167B0BB4"/>
    <w:multiLevelType w:val="singleLevel"/>
    <w:tmpl w:val="167B0BB4"/>
    <w:lvl w:ilvl="0" w:tentative="0">
      <w:start w:val="1"/>
      <w:numFmt w:val="decimal"/>
      <w:suff w:val="nothing"/>
      <w:lvlText w:val="（%1）"/>
      <w:lvlJc w:val="left"/>
    </w:lvl>
  </w:abstractNum>
  <w:abstractNum w:abstractNumId="44">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5">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6">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7">
    <w:nsid w:val="2CB63BE6"/>
    <w:multiLevelType w:val="singleLevel"/>
    <w:tmpl w:val="2CB63BE6"/>
    <w:lvl w:ilvl="0" w:tentative="0">
      <w:start w:val="1"/>
      <w:numFmt w:val="decimal"/>
      <w:suff w:val="nothing"/>
      <w:lvlText w:val="（%1）"/>
      <w:lvlJc w:val="left"/>
      <w:rPr>
        <w:rFonts w:hint="default"/>
        <w:b w:val="0"/>
        <w:bCs w:val="0"/>
      </w:rPr>
    </w:lvl>
  </w:abstractNum>
  <w:abstractNum w:abstractNumId="48">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9">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50">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1">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2">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9">
    <w:nsid w:val="5BA91325"/>
    <w:multiLevelType w:val="singleLevel"/>
    <w:tmpl w:val="5BA91325"/>
    <w:lvl w:ilvl="0" w:tentative="0">
      <w:start w:val="1"/>
      <w:numFmt w:val="decimal"/>
      <w:suff w:val="nothing"/>
      <w:lvlText w:val="（%1）"/>
      <w:lvlJc w:val="left"/>
    </w:lvl>
  </w:abstractNum>
  <w:abstractNum w:abstractNumId="6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6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4">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7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7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7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0">
    <w:nsid w:val="61F30F62"/>
    <w:multiLevelType w:val="singleLevel"/>
    <w:tmpl w:val="61F30F62"/>
    <w:lvl w:ilvl="0" w:tentative="0">
      <w:start w:val="1"/>
      <w:numFmt w:val="decimal"/>
      <w:suff w:val="nothing"/>
      <w:lvlText w:val="（%1）"/>
      <w:lvlJc w:val="left"/>
      <w:rPr>
        <w:rFonts w:hint="default"/>
        <w:b w:val="0"/>
        <w:bCs w:val="0"/>
      </w:rPr>
    </w:lvl>
  </w:abstractNum>
  <w:abstractNum w:abstractNumId="8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6"/>
  </w:num>
  <w:num w:numId="2">
    <w:abstractNumId w:val="1"/>
  </w:num>
  <w:num w:numId="3">
    <w:abstractNumId w:val="52"/>
  </w:num>
  <w:num w:numId="4">
    <w:abstractNumId w:val="45"/>
  </w:num>
  <w:num w:numId="5">
    <w:abstractNumId w:val="23"/>
  </w:num>
  <w:num w:numId="6">
    <w:abstractNumId w:val="82"/>
  </w:num>
  <w:num w:numId="7">
    <w:abstractNumId w:val="39"/>
  </w:num>
  <w:num w:numId="8">
    <w:abstractNumId w:val="83"/>
  </w:num>
  <w:num w:numId="9">
    <w:abstractNumId w:val="57"/>
  </w:num>
  <w:num w:numId="10">
    <w:abstractNumId w:val="54"/>
  </w:num>
  <w:num w:numId="11">
    <w:abstractNumId w:val="36"/>
  </w:num>
  <w:num w:numId="12">
    <w:abstractNumId w:val="33"/>
  </w:num>
  <w:num w:numId="13">
    <w:abstractNumId w:val="41"/>
  </w:num>
  <w:num w:numId="14">
    <w:abstractNumId w:val="32"/>
  </w:num>
  <w:num w:numId="15">
    <w:abstractNumId w:val="24"/>
  </w:num>
  <w:num w:numId="16">
    <w:abstractNumId w:val="13"/>
  </w:num>
  <w:num w:numId="17">
    <w:abstractNumId w:val="20"/>
  </w:num>
  <w:num w:numId="18">
    <w:abstractNumId w:val="10"/>
  </w:num>
  <w:num w:numId="19">
    <w:abstractNumId w:val="11"/>
  </w:num>
  <w:num w:numId="20">
    <w:abstractNumId w:val="9"/>
  </w:num>
  <w:num w:numId="21">
    <w:abstractNumId w:val="40"/>
  </w:num>
  <w:num w:numId="22">
    <w:abstractNumId w:val="7"/>
  </w:num>
  <w:num w:numId="23">
    <w:abstractNumId w:val="2"/>
  </w:num>
  <w:num w:numId="24">
    <w:abstractNumId w:val="53"/>
  </w:num>
  <w:num w:numId="25">
    <w:abstractNumId w:val="35"/>
  </w:num>
  <w:num w:numId="26">
    <w:abstractNumId w:val="59"/>
  </w:num>
  <w:num w:numId="27">
    <w:abstractNumId w:val="22"/>
  </w:num>
  <w:num w:numId="28">
    <w:abstractNumId w:val="46"/>
  </w:num>
  <w:num w:numId="29">
    <w:abstractNumId w:val="26"/>
  </w:num>
  <w:num w:numId="30">
    <w:abstractNumId w:val="8"/>
  </w:num>
  <w:num w:numId="31">
    <w:abstractNumId w:val="56"/>
  </w:num>
  <w:num w:numId="32">
    <w:abstractNumId w:val="6"/>
  </w:num>
  <w:num w:numId="33">
    <w:abstractNumId w:val="38"/>
  </w:num>
  <w:num w:numId="34">
    <w:abstractNumId w:val="44"/>
  </w:num>
  <w:num w:numId="35">
    <w:abstractNumId w:val="81"/>
  </w:num>
  <w:num w:numId="36">
    <w:abstractNumId w:val="37"/>
  </w:num>
  <w:num w:numId="37">
    <w:abstractNumId w:val="25"/>
  </w:num>
  <w:num w:numId="38">
    <w:abstractNumId w:val="48"/>
  </w:num>
  <w:num w:numId="39">
    <w:abstractNumId w:val="0"/>
  </w:num>
  <w:num w:numId="40">
    <w:abstractNumId w:val="28"/>
  </w:num>
  <w:num w:numId="41">
    <w:abstractNumId w:val="51"/>
  </w:num>
  <w:num w:numId="42">
    <w:abstractNumId w:val="4"/>
  </w:num>
  <w:num w:numId="43">
    <w:abstractNumId w:val="29"/>
  </w:num>
  <w:num w:numId="44">
    <w:abstractNumId w:val="19"/>
  </w:num>
  <w:num w:numId="45">
    <w:abstractNumId w:val="55"/>
  </w:num>
  <w:num w:numId="46">
    <w:abstractNumId w:val="42"/>
  </w:num>
  <w:num w:numId="47">
    <w:abstractNumId w:val="21"/>
  </w:num>
  <w:num w:numId="48">
    <w:abstractNumId w:val="34"/>
  </w:num>
  <w:num w:numId="49">
    <w:abstractNumId w:val="30"/>
  </w:num>
  <w:num w:numId="50">
    <w:abstractNumId w:val="31"/>
  </w:num>
  <w:num w:numId="51">
    <w:abstractNumId w:val="80"/>
  </w:num>
  <w:num w:numId="52">
    <w:abstractNumId w:val="47"/>
  </w:num>
  <w:num w:numId="53">
    <w:abstractNumId w:val="3"/>
  </w:num>
  <w:num w:numId="54">
    <w:abstractNumId w:val="58"/>
  </w:num>
  <w:num w:numId="55">
    <w:abstractNumId w:val="14"/>
  </w:num>
  <w:num w:numId="56">
    <w:abstractNumId w:val="12"/>
  </w:num>
  <w:num w:numId="57">
    <w:abstractNumId w:val="15"/>
  </w:num>
  <w:num w:numId="58">
    <w:abstractNumId w:val="43"/>
  </w:num>
  <w:num w:numId="59">
    <w:abstractNumId w:val="27"/>
  </w:num>
  <w:num w:numId="60">
    <w:abstractNumId w:val="5"/>
  </w:num>
  <w:num w:numId="61">
    <w:abstractNumId w:val="50"/>
  </w:num>
  <w:num w:numId="62">
    <w:abstractNumId w:val="67"/>
  </w:num>
  <w:num w:numId="63">
    <w:abstractNumId w:val="66"/>
  </w:num>
  <w:num w:numId="64">
    <w:abstractNumId w:val="68"/>
  </w:num>
  <w:num w:numId="65">
    <w:abstractNumId w:val="69"/>
  </w:num>
  <w:num w:numId="66">
    <w:abstractNumId w:val="70"/>
  </w:num>
  <w:num w:numId="67">
    <w:abstractNumId w:val="71"/>
  </w:num>
  <w:num w:numId="68">
    <w:abstractNumId w:val="72"/>
  </w:num>
  <w:num w:numId="69">
    <w:abstractNumId w:val="73"/>
  </w:num>
  <w:num w:numId="70">
    <w:abstractNumId w:val="49"/>
  </w:num>
  <w:num w:numId="71">
    <w:abstractNumId w:val="18"/>
  </w:num>
  <w:num w:numId="72">
    <w:abstractNumId w:val="60"/>
  </w:num>
  <w:num w:numId="73">
    <w:abstractNumId w:val="61"/>
  </w:num>
  <w:num w:numId="74">
    <w:abstractNumId w:val="62"/>
  </w:num>
  <w:num w:numId="75">
    <w:abstractNumId w:val="63"/>
  </w:num>
  <w:num w:numId="76">
    <w:abstractNumId w:val="64"/>
  </w:num>
  <w:num w:numId="77">
    <w:abstractNumId w:val="65"/>
  </w:num>
  <w:num w:numId="78">
    <w:abstractNumId w:val="74"/>
  </w:num>
  <w:num w:numId="79">
    <w:abstractNumId w:val="75"/>
  </w:num>
  <w:num w:numId="80">
    <w:abstractNumId w:val="17"/>
  </w:num>
  <w:num w:numId="81">
    <w:abstractNumId w:val="76"/>
  </w:num>
  <w:num w:numId="82">
    <w:abstractNumId w:val="77"/>
  </w:num>
  <w:num w:numId="83">
    <w:abstractNumId w:val="78"/>
  </w:num>
  <w:num w:numId="84">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YjRlZDVkMGNhZWM2ZDc0NWIwYmZiZDBhZDllMzMifQ=="/>
  </w:docVars>
  <w:rsids>
    <w:rsidRoot w:val="00172A27"/>
    <w:rsid w:val="004A3A51"/>
    <w:rsid w:val="006514C4"/>
    <w:rsid w:val="01364432"/>
    <w:rsid w:val="01523B8E"/>
    <w:rsid w:val="017101FF"/>
    <w:rsid w:val="01D8103B"/>
    <w:rsid w:val="01E60817"/>
    <w:rsid w:val="0204742C"/>
    <w:rsid w:val="02222504"/>
    <w:rsid w:val="0276080F"/>
    <w:rsid w:val="02CC4B77"/>
    <w:rsid w:val="03D96342"/>
    <w:rsid w:val="048D7DCA"/>
    <w:rsid w:val="056351CB"/>
    <w:rsid w:val="057C0635"/>
    <w:rsid w:val="059D3DDE"/>
    <w:rsid w:val="05D9297D"/>
    <w:rsid w:val="05E05E4D"/>
    <w:rsid w:val="06420CFA"/>
    <w:rsid w:val="06503B59"/>
    <w:rsid w:val="06B41B03"/>
    <w:rsid w:val="0752555A"/>
    <w:rsid w:val="07E45984"/>
    <w:rsid w:val="07EA622A"/>
    <w:rsid w:val="0828699A"/>
    <w:rsid w:val="08A1555E"/>
    <w:rsid w:val="092751AA"/>
    <w:rsid w:val="097E3F67"/>
    <w:rsid w:val="09C935B6"/>
    <w:rsid w:val="0A1347F5"/>
    <w:rsid w:val="0A2F610F"/>
    <w:rsid w:val="0A356725"/>
    <w:rsid w:val="0B23316E"/>
    <w:rsid w:val="0B8702FD"/>
    <w:rsid w:val="0B8E27E3"/>
    <w:rsid w:val="0B907684"/>
    <w:rsid w:val="0BA57DD5"/>
    <w:rsid w:val="0BF71AE2"/>
    <w:rsid w:val="0C1466C4"/>
    <w:rsid w:val="0CA6603D"/>
    <w:rsid w:val="0CBF33B1"/>
    <w:rsid w:val="0CE71B9E"/>
    <w:rsid w:val="0D0B1B00"/>
    <w:rsid w:val="0D79000C"/>
    <w:rsid w:val="0DFD2C7C"/>
    <w:rsid w:val="0E4A4B6F"/>
    <w:rsid w:val="0E9832B7"/>
    <w:rsid w:val="0EF65480"/>
    <w:rsid w:val="0F6C2854"/>
    <w:rsid w:val="0F8A2CEB"/>
    <w:rsid w:val="0FCD6327"/>
    <w:rsid w:val="103E6557"/>
    <w:rsid w:val="10E7087B"/>
    <w:rsid w:val="11A27183"/>
    <w:rsid w:val="11BA058F"/>
    <w:rsid w:val="12081858"/>
    <w:rsid w:val="120E16FE"/>
    <w:rsid w:val="12B62B3B"/>
    <w:rsid w:val="12C06C3F"/>
    <w:rsid w:val="12D90F42"/>
    <w:rsid w:val="13031153"/>
    <w:rsid w:val="13181417"/>
    <w:rsid w:val="1370341C"/>
    <w:rsid w:val="13953152"/>
    <w:rsid w:val="13AE5996"/>
    <w:rsid w:val="140111BF"/>
    <w:rsid w:val="141B5610"/>
    <w:rsid w:val="14C57FED"/>
    <w:rsid w:val="150C5665"/>
    <w:rsid w:val="155348F6"/>
    <w:rsid w:val="15992F9A"/>
    <w:rsid w:val="15C56302"/>
    <w:rsid w:val="160940BB"/>
    <w:rsid w:val="1659752C"/>
    <w:rsid w:val="168030D2"/>
    <w:rsid w:val="16CA0C22"/>
    <w:rsid w:val="16E43A7F"/>
    <w:rsid w:val="17682A5B"/>
    <w:rsid w:val="17864B39"/>
    <w:rsid w:val="17FA3952"/>
    <w:rsid w:val="18203482"/>
    <w:rsid w:val="18596962"/>
    <w:rsid w:val="185A3DA1"/>
    <w:rsid w:val="189E168F"/>
    <w:rsid w:val="198C4B50"/>
    <w:rsid w:val="19F13F4F"/>
    <w:rsid w:val="1A102675"/>
    <w:rsid w:val="1AD33A8F"/>
    <w:rsid w:val="1B280245"/>
    <w:rsid w:val="1B9C6084"/>
    <w:rsid w:val="1BBE4697"/>
    <w:rsid w:val="1BC22C82"/>
    <w:rsid w:val="1C1F7392"/>
    <w:rsid w:val="1CDC4E2A"/>
    <w:rsid w:val="1CE35114"/>
    <w:rsid w:val="1D1B5B71"/>
    <w:rsid w:val="1D5459CA"/>
    <w:rsid w:val="1D552DD9"/>
    <w:rsid w:val="1DAB6D83"/>
    <w:rsid w:val="1E3173A3"/>
    <w:rsid w:val="1F0144FD"/>
    <w:rsid w:val="1F0F5A19"/>
    <w:rsid w:val="1F1D6E1F"/>
    <w:rsid w:val="1F3E7F7D"/>
    <w:rsid w:val="1F51312D"/>
    <w:rsid w:val="1FC9553A"/>
    <w:rsid w:val="20170C46"/>
    <w:rsid w:val="204D3B12"/>
    <w:rsid w:val="20593F35"/>
    <w:rsid w:val="205A2AB3"/>
    <w:rsid w:val="20B6224D"/>
    <w:rsid w:val="21025026"/>
    <w:rsid w:val="227045E4"/>
    <w:rsid w:val="22A04AF7"/>
    <w:rsid w:val="22D3594B"/>
    <w:rsid w:val="22DA7182"/>
    <w:rsid w:val="22F12819"/>
    <w:rsid w:val="233F0924"/>
    <w:rsid w:val="23451A70"/>
    <w:rsid w:val="23753F06"/>
    <w:rsid w:val="237D4A1C"/>
    <w:rsid w:val="238E1AAE"/>
    <w:rsid w:val="2483647E"/>
    <w:rsid w:val="256F076F"/>
    <w:rsid w:val="25DE5381"/>
    <w:rsid w:val="26820AF7"/>
    <w:rsid w:val="273A2105"/>
    <w:rsid w:val="27A236CD"/>
    <w:rsid w:val="27D008A6"/>
    <w:rsid w:val="2814202B"/>
    <w:rsid w:val="281432FA"/>
    <w:rsid w:val="29BA058F"/>
    <w:rsid w:val="29BB33A7"/>
    <w:rsid w:val="2A1B5D68"/>
    <w:rsid w:val="2A5975B6"/>
    <w:rsid w:val="2A8773FC"/>
    <w:rsid w:val="2A991D32"/>
    <w:rsid w:val="2AB92324"/>
    <w:rsid w:val="2AC3651E"/>
    <w:rsid w:val="2AD6555A"/>
    <w:rsid w:val="2BD46A9C"/>
    <w:rsid w:val="2C1B1E9D"/>
    <w:rsid w:val="2C28643F"/>
    <w:rsid w:val="2C2E3173"/>
    <w:rsid w:val="2CAB68C5"/>
    <w:rsid w:val="2CB97F5D"/>
    <w:rsid w:val="2CBB0793"/>
    <w:rsid w:val="2CF84537"/>
    <w:rsid w:val="2D303B49"/>
    <w:rsid w:val="2DBD2A51"/>
    <w:rsid w:val="2DE30850"/>
    <w:rsid w:val="2DFA6966"/>
    <w:rsid w:val="2E057F04"/>
    <w:rsid w:val="2E106D61"/>
    <w:rsid w:val="2E411BAA"/>
    <w:rsid w:val="2E910D38"/>
    <w:rsid w:val="2EBC6D03"/>
    <w:rsid w:val="2F3A7B82"/>
    <w:rsid w:val="2FD32A37"/>
    <w:rsid w:val="302C1AF4"/>
    <w:rsid w:val="30551FFC"/>
    <w:rsid w:val="30690F5C"/>
    <w:rsid w:val="30D31961"/>
    <w:rsid w:val="30FD36E3"/>
    <w:rsid w:val="31147E16"/>
    <w:rsid w:val="311F702A"/>
    <w:rsid w:val="3177134F"/>
    <w:rsid w:val="31A82883"/>
    <w:rsid w:val="31FE2886"/>
    <w:rsid w:val="320E3E15"/>
    <w:rsid w:val="32770B1E"/>
    <w:rsid w:val="32821910"/>
    <w:rsid w:val="329743A8"/>
    <w:rsid w:val="32C937E9"/>
    <w:rsid w:val="33341D3A"/>
    <w:rsid w:val="333B487F"/>
    <w:rsid w:val="33833CD5"/>
    <w:rsid w:val="339502CA"/>
    <w:rsid w:val="342F66F0"/>
    <w:rsid w:val="345B62A5"/>
    <w:rsid w:val="3480359E"/>
    <w:rsid w:val="34BE4ED5"/>
    <w:rsid w:val="353A76E3"/>
    <w:rsid w:val="35476F5E"/>
    <w:rsid w:val="35745B9A"/>
    <w:rsid w:val="35862DD5"/>
    <w:rsid w:val="36236D36"/>
    <w:rsid w:val="36631FD8"/>
    <w:rsid w:val="36E72D9B"/>
    <w:rsid w:val="371103D7"/>
    <w:rsid w:val="374829BA"/>
    <w:rsid w:val="37CA172C"/>
    <w:rsid w:val="38224FD0"/>
    <w:rsid w:val="385505E4"/>
    <w:rsid w:val="39094FF7"/>
    <w:rsid w:val="3939568A"/>
    <w:rsid w:val="39461E8D"/>
    <w:rsid w:val="3A3E2041"/>
    <w:rsid w:val="3A5E53DD"/>
    <w:rsid w:val="3B077108"/>
    <w:rsid w:val="3B131EF6"/>
    <w:rsid w:val="3B490D86"/>
    <w:rsid w:val="3B503111"/>
    <w:rsid w:val="3B8D6BA5"/>
    <w:rsid w:val="3BE467B5"/>
    <w:rsid w:val="3C2F2290"/>
    <w:rsid w:val="3C635E14"/>
    <w:rsid w:val="3D6B43DA"/>
    <w:rsid w:val="3DFB09DB"/>
    <w:rsid w:val="3EAD1B36"/>
    <w:rsid w:val="3EDB57BA"/>
    <w:rsid w:val="3F056B9E"/>
    <w:rsid w:val="3F354A62"/>
    <w:rsid w:val="400540FC"/>
    <w:rsid w:val="403A3A3D"/>
    <w:rsid w:val="406370BC"/>
    <w:rsid w:val="40B52FA7"/>
    <w:rsid w:val="40FB7670"/>
    <w:rsid w:val="410E2A1D"/>
    <w:rsid w:val="41B30AFD"/>
    <w:rsid w:val="423C06E2"/>
    <w:rsid w:val="42815397"/>
    <w:rsid w:val="42C94634"/>
    <w:rsid w:val="42F2658D"/>
    <w:rsid w:val="4309649B"/>
    <w:rsid w:val="4356095A"/>
    <w:rsid w:val="43A015F1"/>
    <w:rsid w:val="43AD19F4"/>
    <w:rsid w:val="43EE5E80"/>
    <w:rsid w:val="44942FEB"/>
    <w:rsid w:val="450D2DC0"/>
    <w:rsid w:val="45540446"/>
    <w:rsid w:val="45BB5620"/>
    <w:rsid w:val="45E71A33"/>
    <w:rsid w:val="45F127ED"/>
    <w:rsid w:val="4674141B"/>
    <w:rsid w:val="46CD66A0"/>
    <w:rsid w:val="46F82DED"/>
    <w:rsid w:val="472803B7"/>
    <w:rsid w:val="47850646"/>
    <w:rsid w:val="487D0651"/>
    <w:rsid w:val="488B59A4"/>
    <w:rsid w:val="48962E2C"/>
    <w:rsid w:val="48F83E16"/>
    <w:rsid w:val="490E3C00"/>
    <w:rsid w:val="494502E1"/>
    <w:rsid w:val="49ED3C35"/>
    <w:rsid w:val="4A405BF6"/>
    <w:rsid w:val="4A744A94"/>
    <w:rsid w:val="4A7F0ADF"/>
    <w:rsid w:val="4B0D3113"/>
    <w:rsid w:val="4B2F56F4"/>
    <w:rsid w:val="4C29108D"/>
    <w:rsid w:val="4C583BC9"/>
    <w:rsid w:val="4C6B0DDA"/>
    <w:rsid w:val="4C6E1306"/>
    <w:rsid w:val="4CF60CEC"/>
    <w:rsid w:val="4DDA4860"/>
    <w:rsid w:val="4E186164"/>
    <w:rsid w:val="4E2F1033"/>
    <w:rsid w:val="4E8274B0"/>
    <w:rsid w:val="4EFC1B31"/>
    <w:rsid w:val="4FC46B8A"/>
    <w:rsid w:val="4FF363B3"/>
    <w:rsid w:val="50B73634"/>
    <w:rsid w:val="51504FE6"/>
    <w:rsid w:val="51A37CA2"/>
    <w:rsid w:val="5257047F"/>
    <w:rsid w:val="52C66301"/>
    <w:rsid w:val="540A7D17"/>
    <w:rsid w:val="5425120B"/>
    <w:rsid w:val="54E91D9C"/>
    <w:rsid w:val="5540500D"/>
    <w:rsid w:val="55A92CF5"/>
    <w:rsid w:val="55E056D8"/>
    <w:rsid w:val="562F08DB"/>
    <w:rsid w:val="56512D17"/>
    <w:rsid w:val="56D52E08"/>
    <w:rsid w:val="57252C25"/>
    <w:rsid w:val="57B94BA2"/>
    <w:rsid w:val="57BB6218"/>
    <w:rsid w:val="57FF3AAA"/>
    <w:rsid w:val="58DD2EEE"/>
    <w:rsid w:val="58E96C7A"/>
    <w:rsid w:val="58FE03B5"/>
    <w:rsid w:val="591E3AA4"/>
    <w:rsid w:val="59573977"/>
    <w:rsid w:val="59941FB8"/>
    <w:rsid w:val="59AD3C67"/>
    <w:rsid w:val="59F95365"/>
    <w:rsid w:val="5A437FB8"/>
    <w:rsid w:val="5AF7537D"/>
    <w:rsid w:val="5B0D630F"/>
    <w:rsid w:val="5B1367B9"/>
    <w:rsid w:val="5B6A2BC2"/>
    <w:rsid w:val="5B6B608E"/>
    <w:rsid w:val="5D160516"/>
    <w:rsid w:val="5DA13F4A"/>
    <w:rsid w:val="5DB61BFF"/>
    <w:rsid w:val="5DEF454B"/>
    <w:rsid w:val="5DF26B07"/>
    <w:rsid w:val="5E35342E"/>
    <w:rsid w:val="5E5A6C63"/>
    <w:rsid w:val="5F1116E8"/>
    <w:rsid w:val="5F3C6712"/>
    <w:rsid w:val="5F4B58F3"/>
    <w:rsid w:val="606C7275"/>
    <w:rsid w:val="60A47029"/>
    <w:rsid w:val="60AB2000"/>
    <w:rsid w:val="60AD3AC2"/>
    <w:rsid w:val="61D85325"/>
    <w:rsid w:val="62551F84"/>
    <w:rsid w:val="62860AAA"/>
    <w:rsid w:val="62885FA4"/>
    <w:rsid w:val="629D5796"/>
    <w:rsid w:val="630E7FE6"/>
    <w:rsid w:val="632C52C2"/>
    <w:rsid w:val="64954D64"/>
    <w:rsid w:val="64AF6E9A"/>
    <w:rsid w:val="659F3571"/>
    <w:rsid w:val="65CB03E4"/>
    <w:rsid w:val="66FF60CC"/>
    <w:rsid w:val="671E2162"/>
    <w:rsid w:val="67BE72F0"/>
    <w:rsid w:val="68D8721E"/>
    <w:rsid w:val="690D409C"/>
    <w:rsid w:val="691056DB"/>
    <w:rsid w:val="695A49BA"/>
    <w:rsid w:val="69BF6670"/>
    <w:rsid w:val="6AF535D5"/>
    <w:rsid w:val="6B610D05"/>
    <w:rsid w:val="6BAC21D5"/>
    <w:rsid w:val="6C184007"/>
    <w:rsid w:val="6CC81570"/>
    <w:rsid w:val="6CE33A3E"/>
    <w:rsid w:val="6CED1CB3"/>
    <w:rsid w:val="6D091E83"/>
    <w:rsid w:val="6D3B42C3"/>
    <w:rsid w:val="6D77332B"/>
    <w:rsid w:val="6DF71DF2"/>
    <w:rsid w:val="6E0B5972"/>
    <w:rsid w:val="6E51251F"/>
    <w:rsid w:val="6E7E575F"/>
    <w:rsid w:val="6EF15941"/>
    <w:rsid w:val="6EFC3973"/>
    <w:rsid w:val="6F9921A1"/>
    <w:rsid w:val="71392208"/>
    <w:rsid w:val="727E507A"/>
    <w:rsid w:val="730C5849"/>
    <w:rsid w:val="73266980"/>
    <w:rsid w:val="73396EC2"/>
    <w:rsid w:val="73407EBD"/>
    <w:rsid w:val="73835D66"/>
    <w:rsid w:val="738D1DD9"/>
    <w:rsid w:val="73C33B9A"/>
    <w:rsid w:val="73EF4563"/>
    <w:rsid w:val="73F97190"/>
    <w:rsid w:val="74175679"/>
    <w:rsid w:val="744124AA"/>
    <w:rsid w:val="745A6083"/>
    <w:rsid w:val="74664F47"/>
    <w:rsid w:val="74885CCA"/>
    <w:rsid w:val="74E157D6"/>
    <w:rsid w:val="75313062"/>
    <w:rsid w:val="75977087"/>
    <w:rsid w:val="75A871AE"/>
    <w:rsid w:val="75F261C9"/>
    <w:rsid w:val="77523D71"/>
    <w:rsid w:val="77E0572E"/>
    <w:rsid w:val="7820118F"/>
    <w:rsid w:val="78EF4372"/>
    <w:rsid w:val="79385012"/>
    <w:rsid w:val="79642F4A"/>
    <w:rsid w:val="79771B00"/>
    <w:rsid w:val="798F6426"/>
    <w:rsid w:val="7A6D7156"/>
    <w:rsid w:val="7A917304"/>
    <w:rsid w:val="7ACA272A"/>
    <w:rsid w:val="7AE86DBD"/>
    <w:rsid w:val="7B996067"/>
    <w:rsid w:val="7C1E0CFC"/>
    <w:rsid w:val="7CBF6012"/>
    <w:rsid w:val="7D075FD0"/>
    <w:rsid w:val="7D7862F0"/>
    <w:rsid w:val="7DB00FDC"/>
    <w:rsid w:val="7DC671DD"/>
    <w:rsid w:val="7DD1709E"/>
    <w:rsid w:val="7DD5513F"/>
    <w:rsid w:val="7E6F339A"/>
    <w:rsid w:val="7E8655E6"/>
    <w:rsid w:val="7EAC2F5C"/>
    <w:rsid w:val="7F590AE3"/>
    <w:rsid w:val="7FF67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4"/>
      <w:szCs w:val="24"/>
      <w:lang w:val="en-US" w:eastAsia="zh-CN" w:bidi="ar-SA"/>
    </w:rPr>
  </w:style>
  <w:style w:type="paragraph" w:styleId="2">
    <w:name w:val="heading 1"/>
    <w:basedOn w:val="1"/>
    <w:next w:val="1"/>
    <w:link w:val="24"/>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2"/>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1"/>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20"/>
    <w:qFormat/>
    <w:uiPriority w:val="0"/>
    <w:pPr>
      <w:jc w:val="left"/>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3"/>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paragraph" w:customStyle="1" w:styleId="16">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List Paragraph"/>
    <w:basedOn w:val="1"/>
    <w:unhideWhenUsed/>
    <w:qFormat/>
    <w:uiPriority w:val="99"/>
    <w:pPr>
      <w:ind w:firstLine="420" w:firstLineChars="200"/>
    </w:pPr>
  </w:style>
  <w:style w:type="character" w:customStyle="1" w:styleId="19">
    <w:name w:val="批注框文本 Char"/>
    <w:link w:val="6"/>
    <w:qFormat/>
    <w:uiPriority w:val="0"/>
    <w:rPr>
      <w:rFonts w:ascii="Calibri" w:hAnsi="Calibri" w:cs="黑体"/>
      <w:kern w:val="2"/>
      <w:sz w:val="18"/>
      <w:szCs w:val="18"/>
    </w:rPr>
  </w:style>
  <w:style w:type="character" w:customStyle="1" w:styleId="20">
    <w:name w:val="批注文字 Char"/>
    <w:link w:val="5"/>
    <w:qFormat/>
    <w:uiPriority w:val="0"/>
    <w:rPr>
      <w:rFonts w:ascii="Calibri" w:hAnsi="Calibri" w:cs="黑体"/>
      <w:kern w:val="2"/>
      <w:sz w:val="21"/>
      <w:szCs w:val="24"/>
    </w:rPr>
  </w:style>
  <w:style w:type="character" w:customStyle="1" w:styleId="21">
    <w:name w:val="标题 3 Char"/>
    <w:link w:val="4"/>
    <w:qFormat/>
    <w:uiPriority w:val="0"/>
    <w:rPr>
      <w:rFonts w:hAnsi="Calibri" w:eastAsia="宋体"/>
      <w:b/>
      <w:sz w:val="24"/>
    </w:rPr>
  </w:style>
  <w:style w:type="character" w:customStyle="1" w:styleId="22">
    <w:name w:val="标题 2 Char"/>
    <w:link w:val="3"/>
    <w:qFormat/>
    <w:uiPriority w:val="0"/>
    <w:rPr>
      <w:rFonts w:ascii="Arial" w:hAnsi="Arial" w:eastAsia="宋体"/>
      <w:b/>
      <w:sz w:val="24"/>
    </w:rPr>
  </w:style>
  <w:style w:type="character" w:customStyle="1" w:styleId="23">
    <w:name w:val="批注主题 Char"/>
    <w:link w:val="10"/>
    <w:qFormat/>
    <w:uiPriority w:val="0"/>
    <w:rPr>
      <w:rFonts w:ascii="Calibri" w:hAnsi="Calibri" w:cs="黑体"/>
      <w:b/>
      <w:bCs/>
      <w:kern w:val="2"/>
      <w:sz w:val="21"/>
      <w:szCs w:val="24"/>
    </w:rPr>
  </w:style>
  <w:style w:type="character" w:customStyle="1" w:styleId="24">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35132</Words>
  <Characters>37007</Characters>
  <Lines>210</Lines>
  <Paragraphs>59</Paragraphs>
  <TotalTime>1</TotalTime>
  <ScaleCrop>false</ScaleCrop>
  <LinksUpToDate>false</LinksUpToDate>
  <CharactersWithSpaces>37238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hccb</cp:lastModifiedBy>
  <dcterms:modified xsi:type="dcterms:W3CDTF">2025-04-18T06:20:26Z</dcterms:modified>
  <dc:title>杭银理财幸福99XXXX理财计划合同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06A49D61929F4201B4ADB8DA4C945300</vt:lpwstr>
  </property>
  <property fmtid="{D5CDD505-2E9C-101B-9397-08002B2CF9AE}" pid="4" name="KSOTemplateDocerSaveRecord">
    <vt:lpwstr>eyJoZGlkIjoiMGRhYjRlZDVkMGNhZWM2ZDc0NWIwYmZiZDBhZDllMzMiLCJ1c2VySWQiOiIyNjQ1NjIxNDcifQ==</vt:lpwstr>
  </property>
</Properties>
</file>