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highlight w:val="none"/>
        </w:rPr>
      </w:pPr>
      <w:r>
        <w:rPr>
          <w:rFonts w:hint="eastAsia"/>
          <w:highlight w:val="none"/>
        </w:rPr>
        <w:t xml:space="preserve">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outlineLvl w:val="0"/>
        <w:rPr>
          <w:rFonts w:ascii="宋体" w:hAnsi="宋体" w:cs="宋体"/>
          <w:b/>
          <w:bCs/>
          <w:sz w:val="44"/>
          <w:szCs w:val="44"/>
          <w:highlight w:val="none"/>
        </w:rPr>
      </w:pPr>
      <w:r>
        <w:rPr>
          <w:rFonts w:hint="eastAsia" w:ascii="宋体" w:hAnsi="宋体" w:cs="宋体"/>
          <w:b/>
          <w:bCs/>
          <w:sz w:val="44"/>
          <w:szCs w:val="44"/>
          <w:highlight w:val="none"/>
        </w:rPr>
        <w:t>杭银理财幸福99添益90天周期型理财计划合同</w:t>
      </w: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outlineLvl w:val="9"/>
        <w:rPr>
          <w:rFonts w:ascii="宋体" w:hAnsi="宋体" w:cs="宋体"/>
          <w:sz w:val="32"/>
          <w:szCs w:val="32"/>
          <w:highlight w:val="none"/>
        </w:rPr>
      </w:pPr>
      <w:r>
        <w:rPr>
          <w:rFonts w:hint="eastAsia" w:ascii="宋体" w:hAnsi="宋体" w:cs="宋体"/>
          <w:sz w:val="32"/>
          <w:szCs w:val="32"/>
          <w:highlight w:val="none"/>
        </w:rPr>
        <w:t>理财计划管理人：杭银理财有限责任公司</w:t>
      </w:r>
    </w:p>
    <w:p>
      <w:pPr>
        <w:jc w:val="center"/>
        <w:outlineLvl w:val="9"/>
        <w:rPr>
          <w:rFonts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outlineLvl w:val="0"/>
        <w:rPr>
          <w:rFonts w:ascii="宋体" w:hAnsi="宋体" w:cs="宋体"/>
          <w:b/>
          <w:bCs/>
          <w:sz w:val="44"/>
          <w:szCs w:val="44"/>
          <w:highlight w:val="none"/>
        </w:rPr>
      </w:pPr>
      <w:r>
        <w:rPr>
          <w:rFonts w:hint="eastAsia" w:ascii="宋体" w:hAnsi="宋体" w:cs="宋体"/>
          <w:b/>
          <w:bCs/>
          <w:sz w:val="44"/>
          <w:szCs w:val="44"/>
          <w:highlight w:val="none"/>
        </w:rPr>
        <w:t>杭银理财幸福99添益90天周期型理财计划风险揭示书</w:t>
      </w:r>
    </w:p>
    <w:p>
      <w:pPr>
        <w:jc w:val="center"/>
        <w:outlineLvl w:val="1"/>
        <w:rPr>
          <w:rFonts w:ascii="宋体" w:hAnsi="宋体" w:cs="宋体"/>
          <w:sz w:val="28"/>
          <w:szCs w:val="28"/>
          <w:highlight w:val="none"/>
        </w:rPr>
      </w:pPr>
      <w:r>
        <w:rPr>
          <w:rFonts w:hint="eastAsia" w:ascii="宋体" w:hAnsi="宋体" w:cs="宋体"/>
          <w:sz w:val="28"/>
          <w:szCs w:val="28"/>
          <w:highlight w:val="none"/>
        </w:rPr>
        <w:t>（202101版）</w:t>
      </w:r>
    </w:p>
    <w:p>
      <w:pPr>
        <w:spacing w:line="360" w:lineRule="auto"/>
        <w:jc w:val="left"/>
        <w:rPr>
          <w:rFonts w:ascii="宋体" w:hAnsi="宋体" w:cs="宋体"/>
          <w:sz w:val="24"/>
          <w:highlight w:val="none"/>
        </w:rPr>
      </w:pPr>
      <w:r>
        <w:rPr>
          <w:rFonts w:hint="eastAsia" w:ascii="宋体" w:hAnsi="宋体" w:cs="宋体"/>
          <w:sz w:val="24"/>
          <w:highlight w:val="none"/>
        </w:rPr>
        <w:t>尊敬的理财投资者：</w:t>
      </w:r>
    </w:p>
    <w:p>
      <w:pPr>
        <w:spacing w:line="360" w:lineRule="auto"/>
        <w:jc w:val="center"/>
        <w:outlineLvl w:val="2"/>
        <w:rPr>
          <w:rFonts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val="en-US" w:eastAsia="zh-CN"/>
        </w:rPr>
        <w:t>和</w:t>
      </w:r>
      <w:r>
        <w:rPr>
          <w:rFonts w:hint="eastAsia" w:ascii="宋体" w:hAnsi="宋体" w:cs="宋体"/>
          <w:bCs/>
          <w:sz w:val="24"/>
          <w:highlight w:val="none"/>
        </w:rPr>
        <w:t>理财计划销售协议书，若通过电子渠道购买的，成功交易后视同为投资者与管理人已完成理财计划交易合同的签订），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numPr>
          <w:ilvl w:val="0"/>
          <w:numId w:val="1"/>
        </w:numPr>
        <w:spacing w:line="360" w:lineRule="auto"/>
        <w:jc w:val="left"/>
        <w:outlineLvl w:val="2"/>
        <w:rPr>
          <w:rFonts w:ascii="宋体" w:hAnsi="宋体" w:cs="宋体"/>
          <w:b/>
          <w:sz w:val="24"/>
          <w:highlight w:val="none"/>
        </w:rPr>
      </w:pPr>
      <w:r>
        <w:rPr>
          <w:rFonts w:hint="eastAsia" w:ascii="宋体" w:hAnsi="宋体" w:cs="宋体"/>
          <w:b/>
          <w:sz w:val="24"/>
          <w:highlight w:val="none"/>
        </w:rPr>
        <w:t>理财计划共性风险</w:t>
      </w:r>
    </w:p>
    <w:p>
      <w:pPr>
        <w:numPr>
          <w:ilvl w:val="0"/>
          <w:numId w:val="2"/>
        </w:numPr>
        <w:spacing w:line="360" w:lineRule="auto"/>
        <w:jc w:val="left"/>
        <w:rPr>
          <w:rFonts w:ascii="宋体" w:hAnsi="宋体" w:cs="宋体"/>
          <w:b/>
          <w:sz w:val="24"/>
          <w:highlight w:val="none"/>
        </w:rPr>
      </w:pPr>
      <w:r>
        <w:rPr>
          <w:rFonts w:hint="eastAsia" w:ascii="宋体" w:hAnsi="宋体" w:cs="宋体"/>
          <w:b/>
          <w:sz w:val="24"/>
          <w:highlight w:val="none"/>
        </w:rPr>
        <w:t>信用风险：理财计划所投资产的相关义务人信用状况恶化，出现信用违约情形，则理财计划本金或收益蒙受部分或全部损失的风险。</w:t>
      </w:r>
    </w:p>
    <w:p>
      <w:pPr>
        <w:numPr>
          <w:ilvl w:val="0"/>
          <w:numId w:val="2"/>
        </w:numPr>
        <w:spacing w:line="360" w:lineRule="auto"/>
        <w:jc w:val="left"/>
        <w:rPr>
          <w:rFonts w:ascii="宋体" w:hAnsi="宋体" w:cs="宋体"/>
          <w:b/>
          <w:sz w:val="24"/>
          <w:highlight w:val="none"/>
        </w:rPr>
      </w:pPr>
      <w:r>
        <w:rPr>
          <w:rFonts w:hint="eastAsia" w:ascii="宋体" w:hAnsi="宋体" w:cs="宋体"/>
          <w:b/>
          <w:sz w:val="24"/>
          <w:highlight w:val="none"/>
        </w:rPr>
        <w:t>市场风险：理财计划可能面临国家政策、经济周期、利率、汇率等因素的变化，所投资产价值可能出现波动，从而影响理财计划的收益，导致理财计划本金或收益蒙受部分或全部损失的风险，主要包括：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操作风险：理财计划由于内部作业、人员管理、系统操作、交易对手交易处理不当或失误等，导致理财计划本金或收益蒙受部分或全部损失的风险。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提前终止风险：为保护投资者利益，在理财计划存续期间，管理人可根据理财计划说明书约定的情形提前终止本理财计划。如理财计划被提前终止，则投资者将面临提前终止再投资的风险。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信息传递风险：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ascii="宋体" w:hAnsi="宋体" w:cs="宋体"/>
          <w:b/>
          <w:sz w:val="24"/>
          <w:highlight w:val="none"/>
          <w:lang w:val="en-US" w:eastAsia="zh-CN"/>
        </w:rPr>
        <w:t>理</w:t>
      </w:r>
      <w:r>
        <w:rPr>
          <w:rFonts w:hint="eastAsia" w:ascii="宋体" w:hAnsi="宋体" w:cs="宋体"/>
          <w:b/>
          <w:sz w:val="24"/>
          <w:highlight w:val="none"/>
        </w:rPr>
        <w:t>财计划本金或收益蒙受部分或全部损失的风险。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代销风险：本理财计划通过代销渠道销售，投资者认购理财计划的资金由销售机构从投资者资金账户扣收；理财计划到期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1"/>
        </w:numPr>
        <w:spacing w:line="360" w:lineRule="auto"/>
        <w:jc w:val="left"/>
        <w:outlineLvl w:val="2"/>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jc w:val="left"/>
        <w:rPr>
          <w:rFonts w:ascii="宋体" w:hAnsi="宋体" w:cs="宋体"/>
          <w:b/>
          <w:sz w:val="24"/>
          <w:highlight w:val="none"/>
        </w:rPr>
      </w:pPr>
      <w:r>
        <w:rPr>
          <w:rFonts w:hint="eastAsia" w:ascii="宋体" w:hAnsi="宋体" w:cs="宋体"/>
          <w:b/>
          <w:sz w:val="24"/>
          <w:highlight w:val="none"/>
        </w:rPr>
        <w:t>资金流动性风险：本理财产品封闭期后每日开放申购，投资者须做出到期方式选择，持有本产品单个或多个投资周期，期间不得提前赎回。</w:t>
      </w:r>
    </w:p>
    <w:p>
      <w:pPr>
        <w:numPr>
          <w:ilvl w:val="0"/>
          <w:numId w:val="5"/>
        </w:numPr>
        <w:spacing w:line="360" w:lineRule="auto"/>
        <w:jc w:val="left"/>
        <w:rPr>
          <w:rFonts w:ascii="宋体" w:hAnsi="宋体" w:cs="宋体"/>
          <w:b/>
          <w:sz w:val="24"/>
          <w:highlight w:val="none"/>
        </w:rPr>
      </w:pPr>
      <w:r>
        <w:rPr>
          <w:rFonts w:hint="eastAsia" w:ascii="宋体" w:hAnsi="宋体" w:cs="宋体"/>
          <w:b/>
          <w:sz w:val="24"/>
          <w:highlight w:val="none"/>
        </w:rPr>
        <w:t>收益不达业绩比较基准风险：本理财产品的投资收益与投资者的申购、赎回时点密切相关，收益存在一定的波动性，产品本金出现损失的可能性不容忽视。</w:t>
      </w:r>
    </w:p>
    <w:p>
      <w:pPr>
        <w:widowControl/>
        <w:numPr>
          <w:ilvl w:val="0"/>
          <w:numId w:val="5"/>
        </w:numPr>
        <w:spacing w:line="360" w:lineRule="auto"/>
        <w:jc w:val="left"/>
        <w:rPr>
          <w:rFonts w:ascii="宋体" w:hAnsi="宋体" w:cs="宋体"/>
          <w:b/>
          <w:sz w:val="24"/>
          <w:highlight w:val="none"/>
        </w:rPr>
      </w:pPr>
      <w:r>
        <w:rPr>
          <w:rFonts w:hint="eastAsia" w:ascii="宋体" w:hAnsi="宋体" w:cs="宋体"/>
          <w:b/>
          <w:sz w:val="24"/>
          <w:highlight w:val="none"/>
        </w:rPr>
        <w:t>未知价风险：产品以产品申购和赎回确认时的单位净值，按照“金额申购、份额赎回”的原则计算投资者申购份额和赎回资金，产品净值可能会有波动。</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jc w:val="left"/>
        <w:outlineLvl w:val="2"/>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根据现有法律法规对于理财产品的相关分类，投资者还需了解以下信息：</w:t>
      </w:r>
    </w:p>
    <w:p>
      <w:pPr>
        <w:numPr>
          <w:ilvl w:val="0"/>
          <w:numId w:val="6"/>
        </w:numPr>
        <w:spacing w:line="360" w:lineRule="auto"/>
        <w:jc w:val="left"/>
        <w:rPr>
          <w:rFonts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jc w:val="left"/>
        <w:rPr>
          <w:rFonts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jc w:val="left"/>
        <w:rPr>
          <w:rFonts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jc w:val="left"/>
        <w:rPr>
          <w:rFonts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jc w:val="left"/>
        <w:rPr>
          <w:rFonts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jc w:val="left"/>
        <w:rPr>
          <w:rFonts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240" w:firstLineChars="100"/>
        <w:jc w:val="left"/>
        <w:rPr>
          <w:rFonts w:ascii="宋体" w:hAnsi="宋体" w:cs="宋体"/>
          <w:bCs/>
          <w:sz w:val="24"/>
          <w:highlight w:val="none"/>
        </w:rPr>
      </w:pP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本理财计划为公募、开放式、〖固定收益类〗净值型理财计划，〖无固定期限〗，不保证本金与收益。根据本公司理财产品内部风险评级，该理财计划风险评级结果为〖R2〗,〖中低〗风险</w:t>
      </w:r>
      <w:r>
        <w:rPr>
          <w:rFonts w:hint="eastAsia" w:ascii="宋体" w:hAnsi="宋体" w:cs="宋体"/>
          <w:bCs/>
          <w:sz w:val="24"/>
          <w:highlight w:val="none"/>
        </w:rPr>
        <w:t>（本风险等级为我公司内部风险评级结果，仅供参考，</w:t>
      </w:r>
      <w:r>
        <w:rPr>
          <w:rFonts w:hint="eastAsia" w:ascii="宋体" w:hAnsi="宋体" w:eastAsia="宋体" w:cs="宋体"/>
          <w:bCs/>
          <w:i w:val="0"/>
          <w:iCs w:val="0"/>
          <w:caps w:val="0"/>
          <w:spacing w:val="0"/>
          <w:sz w:val="24"/>
          <w:szCs w:val="24"/>
          <w:highlight w:val="none"/>
          <w:shd w:val="clear" w:color="auto" w:fill="auto"/>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Cs/>
          <w:sz w:val="24"/>
          <w:highlight w:val="none"/>
        </w:rPr>
        <w:t>本理财计划投资者适</w:t>
      </w:r>
      <w:r>
        <w:rPr>
          <w:rFonts w:hint="eastAsia" w:ascii="宋体" w:hAnsi="宋体" w:cs="宋体"/>
          <w:bCs/>
          <w:sz w:val="24"/>
          <w:highlight w:val="none"/>
          <w:lang w:val="en-US" w:eastAsia="zh-CN"/>
        </w:rPr>
        <w:t>当</w:t>
      </w:r>
      <w:r>
        <w:rPr>
          <w:rFonts w:hint="eastAsia" w:ascii="宋体" w:hAnsi="宋体" w:cs="宋体"/>
          <w:bCs/>
          <w:sz w:val="24"/>
          <w:highlight w:val="none"/>
        </w:rPr>
        <w:t>性评估由销售机构负责，销售机构应确保个人投资者的风险承受能力不低于本理财计划风险评级。</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left"/>
        <w:rPr>
          <w:rFonts w:ascii="宋体" w:hAnsi="宋体" w:cs="宋体"/>
          <w:bCs/>
          <w:sz w:val="24"/>
          <w:highlight w:val="none"/>
        </w:rPr>
      </w:pPr>
    </w:p>
    <w:p>
      <w:pPr>
        <w:spacing w:line="360" w:lineRule="auto"/>
        <w:ind w:firstLine="480" w:firstLineChars="200"/>
        <w:jc w:val="left"/>
        <w:rPr>
          <w:rFonts w:ascii="宋体" w:hAnsi="宋体" w:cs="宋体"/>
          <w:bCs/>
          <w:sz w:val="24"/>
          <w:highlight w:val="none"/>
        </w:rPr>
      </w:pPr>
    </w:p>
    <w:p>
      <w:pPr>
        <w:spacing w:line="360" w:lineRule="auto"/>
        <w:ind w:firstLine="480" w:firstLineChars="200"/>
        <w:jc w:val="lef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rPr>
          <w:rFonts w:ascii="宋体" w:hAnsi="宋体" w:cs="宋体"/>
          <w:bCs/>
          <w:sz w:val="24"/>
          <w:highlight w:val="none"/>
        </w:rPr>
      </w:pPr>
    </w:p>
    <w:p>
      <w:pPr>
        <w:pStyle w:val="12"/>
        <w:spacing w:line="360" w:lineRule="auto"/>
        <w:jc w:val="center"/>
        <w:outlineLvl w:val="2"/>
        <w:rPr>
          <w:rFonts w:ascii="宋体" w:hAnsi="宋体" w:cs="宋体"/>
          <w:b/>
          <w:color w:val="auto"/>
          <w:highlight w:val="none"/>
        </w:rPr>
      </w:pPr>
      <w:r>
        <w:rPr>
          <w:rFonts w:hint="eastAsia" w:ascii="宋体" w:hAnsi="宋体" w:cs="宋体"/>
          <w:b/>
          <w:color w:val="auto"/>
          <w:highlight w:val="none"/>
        </w:rPr>
        <w:t>投资者确认栏（个人投资者填写）</w:t>
      </w:r>
    </w:p>
    <w:p>
      <w:pPr>
        <w:pStyle w:val="12"/>
        <w:spacing w:line="360" w:lineRule="auto"/>
        <w:jc w:val="center"/>
        <w:rPr>
          <w:rFonts w:ascii="宋体" w:hAnsi="宋体" w:cs="宋体"/>
          <w:b/>
          <w:color w:val="auto"/>
          <w:highlight w:val="none"/>
        </w:rPr>
      </w:pPr>
    </w:p>
    <w:p>
      <w:pPr>
        <w:pStyle w:val="12"/>
        <w:spacing w:line="360" w:lineRule="auto"/>
        <w:jc w:val="both"/>
        <w:rPr>
          <w:rFonts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2"/>
        <w:spacing w:line="360" w:lineRule="auto"/>
        <w:jc w:val="both"/>
        <w:rPr>
          <w:rFonts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2"/>
        <w:spacing w:line="360" w:lineRule="auto"/>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声明：本人已经充分阅读本风险揭示书以及《</w:t>
      </w:r>
      <w:r>
        <w:rPr>
          <w:rFonts w:hint="eastAsia" w:ascii="宋体" w:hAnsi="宋体" w:cs="宋体"/>
          <w:b/>
          <w:bCs/>
          <w:highlight w:val="none"/>
          <w:u w:val="single"/>
        </w:rPr>
        <w:t>杭银理财幸福99添益90天周期型理财计划产品说明书</w:t>
      </w:r>
      <w:r>
        <w:rPr>
          <w:rFonts w:hint="eastAsia" w:ascii="宋体" w:hAnsi="宋体" w:cs="宋体"/>
          <w:b/>
          <w:bCs/>
          <w:color w:val="auto"/>
          <w:highlight w:val="none"/>
          <w:u w:val="single"/>
        </w:rPr>
        <w:t>》《投资者权益须知》《理财计划投资协议书》《理财计划销售协议书》，并已对其作全面、准确的理解，充分认识到投资本理财计划要求承担的风险，并自愿承担此风险。</w:t>
      </w:r>
    </w:p>
    <w:p>
      <w:pPr>
        <w:pStyle w:val="12"/>
        <w:spacing w:line="360" w:lineRule="auto"/>
        <w:jc w:val="both"/>
        <w:rPr>
          <w:rFonts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 xml:space="preserve">“本人已经阅读上述风险揭示，愿意承担投资风险。”） </w:t>
      </w:r>
    </w:p>
    <w:p>
      <w:pPr>
        <w:pStyle w:val="12"/>
        <w:spacing w:line="360" w:lineRule="auto"/>
        <w:jc w:val="both"/>
        <w:rPr>
          <w:rFonts w:ascii="宋体" w:hAnsi="宋体" w:cs="宋体"/>
          <w:color w:val="auto"/>
          <w:highlight w:val="none"/>
          <w:u w:val="single"/>
        </w:rPr>
      </w:pPr>
      <w:r>
        <w:rPr>
          <w:rFonts w:hint="eastAsia" w:ascii="宋体" w:hAnsi="宋体" w:cs="宋体"/>
          <w:color w:val="auto"/>
          <w:highlight w:val="none"/>
        </w:rPr>
        <w:t>本人同时确认如下：</w:t>
      </w:r>
    </w:p>
    <w:p>
      <w:pPr>
        <w:pStyle w:val="12"/>
        <w:spacing w:line="360" w:lineRule="auto"/>
        <w:jc w:val="both"/>
        <w:rPr>
          <w:rFonts w:ascii="宋体" w:hAnsi="宋体" w:cs="宋体"/>
          <w:color w:val="auto"/>
          <w:highlight w:val="none"/>
        </w:rPr>
      </w:pPr>
    </w:p>
    <w:p>
      <w:pPr>
        <w:spacing w:line="360" w:lineRule="auto"/>
        <w:rPr>
          <w:rFonts w:ascii="宋体" w:hAnsi="宋体" w:cs="宋体"/>
          <w:kern w:val="0"/>
          <w:sz w:val="24"/>
          <w:highlight w:val="none"/>
        </w:rPr>
      </w:pPr>
    </w:p>
    <w:p>
      <w:pPr>
        <w:spacing w:line="360" w:lineRule="auto"/>
        <w:rPr>
          <w:rFonts w:ascii="宋体" w:hAnsi="宋体" w:cs="宋体"/>
          <w:kern w:val="0"/>
          <w:sz w:val="24"/>
          <w:highlight w:val="none"/>
        </w:rPr>
      </w:pPr>
      <w:r>
        <w:rPr>
          <w:rFonts w:hint="eastAsia" w:ascii="宋体" w:hAnsi="宋体" w:cs="宋体"/>
          <w:kern w:val="0"/>
          <w:sz w:val="24"/>
          <w:highlight w:val="none"/>
        </w:rPr>
        <w:t>确认人（签字）：                            日期：   年   月   日</w:t>
      </w:r>
    </w:p>
    <w:p>
      <w:pPr>
        <w:snapToGrid w:val="0"/>
        <w:rPr>
          <w:rFonts w:ascii="宋体" w:hAnsi="宋体"/>
          <w:kern w:val="0"/>
          <w:szCs w:val="21"/>
          <w:highlight w:val="none"/>
          <w:u w:val="single"/>
        </w:rPr>
      </w:pPr>
    </w:p>
    <w:p>
      <w:pPr>
        <w:snapToGrid w:val="0"/>
        <w:rPr>
          <w:rFonts w:ascii="宋体" w:hAnsi="宋体"/>
          <w:kern w:val="0"/>
          <w:szCs w:val="21"/>
          <w:highlight w:val="none"/>
          <w:u w:val="single"/>
        </w:rPr>
      </w:pPr>
    </w:p>
    <w:p>
      <w:pPr>
        <w:snapToGrid w:val="0"/>
        <w:rPr>
          <w:rFonts w:ascii="宋体" w:hAnsi="宋体"/>
          <w:kern w:val="0"/>
          <w:szCs w:val="21"/>
          <w:highlight w:val="none"/>
          <w:u w:val="single"/>
        </w:rPr>
      </w:pPr>
    </w:p>
    <w:p>
      <w:pPr>
        <w:snapToGrid w:val="0"/>
        <w:rPr>
          <w:rFonts w:ascii="宋体" w:hAnsi="宋体"/>
          <w:kern w:val="0"/>
          <w:szCs w:val="21"/>
          <w:highlight w:val="none"/>
          <w:u w:val="single"/>
        </w:rPr>
      </w:pPr>
    </w:p>
    <w:p>
      <w:pPr>
        <w:snapToGrid w:val="0"/>
        <w:rPr>
          <w:rFonts w:ascii="宋体" w:hAnsi="宋体"/>
          <w:kern w:val="0"/>
          <w:szCs w:val="21"/>
          <w:highlight w:val="none"/>
          <w:u w:val="single"/>
        </w:rPr>
      </w:pPr>
    </w:p>
    <w:p>
      <w:pPr>
        <w:snapToGrid w:val="0"/>
        <w:rPr>
          <w:rFonts w:ascii="宋体" w:hAnsi="宋体"/>
          <w:kern w:val="0"/>
          <w:szCs w:val="21"/>
          <w:highlight w:val="none"/>
          <w:u w:val="single"/>
        </w:rPr>
      </w:pPr>
    </w:p>
    <w:p>
      <w:pPr>
        <w:snapToGrid w:val="0"/>
        <w:rPr>
          <w:rFonts w:ascii="宋体" w:hAnsi="宋体"/>
          <w:kern w:val="0"/>
          <w:szCs w:val="21"/>
          <w:highlight w:val="none"/>
          <w:u w:val="single"/>
        </w:rPr>
      </w:pPr>
    </w:p>
    <w:p>
      <w:pPr>
        <w:snapToGrid w:val="0"/>
        <w:rPr>
          <w:rFonts w:ascii="宋体" w:hAnsi="宋体"/>
          <w:kern w:val="0"/>
          <w:szCs w:val="21"/>
          <w:highlight w:val="none"/>
          <w:u w:val="singl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360" w:lineRule="auto"/>
        <w:jc w:val="center"/>
        <w:rPr>
          <w:rFonts w:ascii="宋体" w:hAnsi="宋体"/>
          <w:b/>
          <w:kern w:val="0"/>
          <w:szCs w:val="21"/>
          <w:highlight w:val="none"/>
        </w:rPr>
      </w:pPr>
    </w:p>
    <w:p>
      <w:pPr>
        <w:pStyle w:val="12"/>
        <w:spacing w:line="360" w:lineRule="auto"/>
        <w:jc w:val="center"/>
        <w:outlineLvl w:val="2"/>
        <w:rPr>
          <w:rFonts w:ascii="宋体" w:hAnsi="宋体" w:cs="宋体"/>
          <w:b/>
          <w:highlight w:val="none"/>
        </w:rPr>
      </w:pPr>
      <w:r>
        <w:rPr>
          <w:rFonts w:hint="eastAsia" w:ascii="宋体" w:hAnsi="宋体" w:cs="宋体"/>
          <w:b/>
          <w:color w:val="auto"/>
          <w:highlight w:val="none"/>
        </w:rPr>
        <w:t>投资者确认栏（机构投资者）</w:t>
      </w:r>
    </w:p>
    <w:p>
      <w:pPr>
        <w:pStyle w:val="12"/>
        <w:spacing w:line="360" w:lineRule="auto"/>
        <w:jc w:val="center"/>
        <w:rPr>
          <w:rFonts w:ascii="宋体" w:hAnsi="宋体" w:cs="宋体"/>
          <w:b/>
          <w:highlight w:val="none"/>
        </w:rPr>
      </w:pPr>
    </w:p>
    <w:p>
      <w:pPr>
        <w:widowControl/>
        <w:spacing w:line="360" w:lineRule="auto"/>
        <w:ind w:firstLine="482" w:firstLineChars="200"/>
        <w:contextualSpacing/>
        <w:jc w:val="left"/>
        <w:outlineLvl w:val="9"/>
        <w:rPr>
          <w:rFonts w:ascii="宋体" w:hAnsi="宋体" w:cs="宋体"/>
          <w:b/>
          <w:bCs/>
          <w:sz w:val="24"/>
          <w:highlight w:val="none"/>
        </w:rPr>
      </w:pPr>
      <w:r>
        <w:rPr>
          <w:rFonts w:hint="eastAsia" w:ascii="宋体" w:hAnsi="宋体" w:cs="宋体"/>
          <w:b/>
          <w:bCs/>
          <w:sz w:val="24"/>
          <w:highlight w:val="none"/>
        </w:rPr>
        <w:t>声明：我单位已充分阅读本风险揭示书以及《杭银理财幸福99添益90天周期型理财计划产品说明书》《投资者权益须知》《理财计划投资协议书》</w:t>
      </w:r>
      <w:r>
        <w:rPr>
          <w:rFonts w:hint="eastAsia" w:ascii="宋体" w:hAnsi="宋体" w:cs="宋体"/>
          <w:b/>
          <w:bCs/>
          <w:sz w:val="24"/>
          <w:highlight w:val="none"/>
          <w:u w:val="none"/>
        </w:rPr>
        <w:t>《理财计划销售协议书》</w:t>
      </w:r>
      <w:r>
        <w:rPr>
          <w:rFonts w:hint="eastAsia" w:ascii="宋体" w:hAnsi="宋体" w:cs="宋体"/>
          <w:b/>
          <w:bCs/>
          <w:sz w:val="24"/>
          <w:highlight w:val="none"/>
        </w:rPr>
        <w:t>，并已对其作全面、准确的理解，充分认识到投资本理财计划要求承担的风险，并自愿承担此风险。</w:t>
      </w:r>
    </w:p>
    <w:p>
      <w:pPr>
        <w:widowControl/>
        <w:spacing w:line="360" w:lineRule="auto"/>
        <w:contextualSpacing/>
        <w:outlineLvl w:val="9"/>
        <w:rPr>
          <w:rFonts w:ascii="宋体" w:hAnsi="宋体" w:cs="宋体"/>
          <w:sz w:val="24"/>
          <w:highlight w:val="none"/>
        </w:rPr>
      </w:pPr>
    </w:p>
    <w:p>
      <w:pPr>
        <w:widowControl/>
        <w:spacing w:line="360" w:lineRule="auto"/>
        <w:contextualSpacing/>
        <w:outlineLvl w:val="9"/>
        <w:rPr>
          <w:rFonts w:ascii="宋体" w:hAnsi="宋体" w:cs="宋体"/>
          <w:sz w:val="24"/>
          <w:highlight w:val="none"/>
        </w:rPr>
      </w:pPr>
    </w:p>
    <w:p>
      <w:pPr>
        <w:widowControl/>
        <w:spacing w:line="360" w:lineRule="auto"/>
        <w:contextualSpacing/>
        <w:outlineLvl w:val="9"/>
        <w:rPr>
          <w:rFonts w:ascii="宋体" w:hAnsi="宋体" w:cs="宋体"/>
          <w:kern w:val="0"/>
          <w:sz w:val="24"/>
          <w:highlight w:val="none"/>
        </w:rPr>
      </w:pPr>
      <w:r>
        <w:rPr>
          <w:rFonts w:hint="eastAsia" w:ascii="宋体" w:hAnsi="宋体" w:cs="宋体"/>
          <w:kern w:val="0"/>
          <w:sz w:val="24"/>
          <w:highlight w:val="none"/>
        </w:rPr>
        <w:t>投资者（公章）                          法定代表人（签章）或授权代理人</w:t>
      </w:r>
    </w:p>
    <w:p>
      <w:pPr>
        <w:widowControl/>
        <w:spacing w:line="360" w:lineRule="auto"/>
        <w:contextualSpacing/>
        <w:outlineLvl w:val="9"/>
        <w:rPr>
          <w:rFonts w:ascii="宋体" w:hAnsi="宋体" w:cs="宋体"/>
          <w:kern w:val="0"/>
          <w:sz w:val="24"/>
          <w:highlight w:val="none"/>
        </w:rPr>
      </w:pPr>
    </w:p>
    <w:p>
      <w:pPr>
        <w:widowControl/>
        <w:spacing w:line="360" w:lineRule="auto"/>
        <w:contextualSpacing/>
        <w:outlineLvl w:val="9"/>
        <w:rPr>
          <w:rFonts w:ascii="宋体" w:hAnsi="宋体" w:cs="宋体"/>
          <w:kern w:val="0"/>
          <w:sz w:val="24"/>
          <w:highlight w:val="none"/>
        </w:rPr>
      </w:pPr>
    </w:p>
    <w:p>
      <w:pPr>
        <w:widowControl/>
        <w:spacing w:line="360" w:lineRule="auto"/>
        <w:contextualSpacing/>
        <w:outlineLvl w:val="9"/>
        <w:rPr>
          <w:rFonts w:ascii="宋体" w:hAnsi="宋体" w:cs="宋体"/>
          <w:kern w:val="0"/>
          <w:sz w:val="24"/>
          <w:highlight w:val="none"/>
        </w:rPr>
      </w:pPr>
      <w:r>
        <w:rPr>
          <w:rFonts w:hint="eastAsia" w:ascii="宋体" w:hAnsi="宋体" w:cs="宋体"/>
          <w:kern w:val="0"/>
          <w:sz w:val="24"/>
          <w:highlight w:val="none"/>
        </w:rPr>
        <w:t xml:space="preserve">                                            日期：   年   月   日</w:t>
      </w:r>
    </w:p>
    <w:p>
      <w:pPr>
        <w:spacing w:line="360" w:lineRule="auto"/>
        <w:ind w:firstLine="480" w:firstLineChars="200"/>
        <w:jc w:val="right"/>
        <w:rPr>
          <w:rFonts w:ascii="宋体" w:hAnsi="宋体" w:cs="宋体"/>
          <w:bCs/>
          <w:sz w:val="2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both"/>
        <w:rPr>
          <w:rFonts w:ascii="宋体" w:hAnsi="宋体" w:cs="宋体"/>
          <w:b/>
          <w:bCs/>
          <w:sz w:val="44"/>
          <w:szCs w:val="44"/>
          <w:highlight w:val="none"/>
        </w:rPr>
      </w:pPr>
    </w:p>
    <w:p>
      <w:pPr>
        <w:jc w:val="center"/>
        <w:outlineLvl w:val="0"/>
        <w:rPr>
          <w:rFonts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杭银理财幸福99添益90天周期型理财计划产品说明书</w:t>
      </w:r>
    </w:p>
    <w:p>
      <w:pPr>
        <w:jc w:val="center"/>
        <w:outlineLvl w:val="1"/>
        <w:rPr>
          <w:rFonts w:ascii="宋体" w:hAnsi="宋体" w:cs="宋体"/>
          <w:b/>
          <w:bCs/>
          <w:sz w:val="44"/>
          <w:szCs w:val="44"/>
          <w:highlight w:val="none"/>
        </w:rPr>
      </w:pPr>
      <w:r>
        <w:rPr>
          <w:rFonts w:hint="eastAsia" w:ascii="宋体" w:hAnsi="宋体" w:cs="宋体"/>
          <w:sz w:val="28"/>
          <w:szCs w:val="28"/>
          <w:highlight w:val="none"/>
        </w:rPr>
        <w:t>（202101版）</w:t>
      </w:r>
    </w:p>
    <w:p>
      <w:pPr>
        <w:spacing w:line="360" w:lineRule="auto"/>
        <w:jc w:val="right"/>
        <w:rPr>
          <w:rFonts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〖Z7002221000108〗</w:t>
      </w:r>
    </w:p>
    <w:p>
      <w:pPr>
        <w:spacing w:line="360" w:lineRule="auto"/>
        <w:jc w:val="center"/>
        <w:rPr>
          <w:rFonts w:ascii="宋体" w:hAnsi="宋体" w:cs="宋体"/>
          <w:bCs/>
          <w:sz w:val="24"/>
          <w:highlight w:val="none"/>
        </w:rPr>
      </w:pPr>
    </w:p>
    <w:p>
      <w:pPr>
        <w:numPr>
          <w:ilvl w:val="0"/>
          <w:numId w:val="9"/>
        </w:numPr>
        <w:spacing w:line="360" w:lineRule="auto"/>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本理财计划不等同于银行存款和预期收益型理财产品或其他产品。</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jc w:val="left"/>
        <w:rPr>
          <w:rFonts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本理财计划主要风险为理财本金及收益风险，在一定市场情况下，投资者将损失本金，请投资者基于自身的独立判断进行投资决策。</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购买决定。本说明书及投资者签署的《理财计划投资协议书》《风险揭示书》《投资者权益须知》</w:t>
      </w:r>
      <w:r>
        <w:rPr>
          <w:rFonts w:hint="eastAsia" w:ascii="宋体" w:hAnsi="宋体" w:cs="宋体"/>
          <w:bCs/>
          <w:sz w:val="24"/>
          <w:highlight w:val="none"/>
          <w:u w:val="none"/>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反恐怖融资及非居民金融账户涉税、反欺诈活动，真实、准确提供相关身份与资金来源信息。</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管理人有权依法对本理财计划产品说明书进行解释。</w:t>
      </w:r>
    </w:p>
    <w:p>
      <w:pPr>
        <w:spacing w:line="360" w:lineRule="auto"/>
        <w:jc w:val="left"/>
        <w:rPr>
          <w:rFonts w:ascii="宋体" w:hAnsi="宋体" w:cs="宋体"/>
          <w:bCs/>
          <w:sz w:val="24"/>
          <w:highlight w:val="none"/>
        </w:rPr>
      </w:pPr>
    </w:p>
    <w:p>
      <w:pPr>
        <w:numPr>
          <w:ilvl w:val="0"/>
          <w:numId w:val="11"/>
        </w:numPr>
        <w:spacing w:line="360" w:lineRule="auto"/>
        <w:jc w:val="left"/>
        <w:outlineLvl w:val="1"/>
        <w:rPr>
          <w:rFonts w:ascii="宋体" w:hAnsi="宋体" w:cs="宋体"/>
          <w:b/>
          <w:sz w:val="24"/>
          <w:highlight w:val="none"/>
        </w:rPr>
      </w:pPr>
      <w:r>
        <w:rPr>
          <w:rFonts w:hint="eastAsia" w:ascii="宋体" w:hAnsi="宋体" w:cs="宋体"/>
          <w:b/>
          <w:sz w:val="24"/>
          <w:highlight w:val="none"/>
        </w:rPr>
        <w:t>释义</w:t>
      </w:r>
    </w:p>
    <w:p>
      <w:pPr>
        <w:pStyle w:val="12"/>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2"/>
        <w:numPr>
          <w:ilvl w:val="0"/>
          <w:numId w:val="12"/>
        </w:numPr>
        <w:adjustRightInd/>
        <w:spacing w:line="360" w:lineRule="auto"/>
        <w:outlineLvl w:val="2"/>
        <w:rPr>
          <w:rFonts w:ascii="宋体" w:hAnsi="宋体" w:cs="宋体"/>
          <w:b/>
          <w:color w:val="auto"/>
          <w:kern w:val="2"/>
          <w:highlight w:val="none"/>
        </w:rPr>
      </w:pPr>
      <w:r>
        <w:rPr>
          <w:rFonts w:hint="eastAsia" w:ascii="宋体" w:hAnsi="宋体" w:cs="宋体"/>
          <w:b/>
          <w:color w:val="auto"/>
          <w:kern w:val="2"/>
          <w:highlight w:val="none"/>
        </w:rPr>
        <w:t>参与主体用语</w:t>
      </w:r>
    </w:p>
    <w:p>
      <w:pPr>
        <w:pStyle w:val="12"/>
        <w:numPr>
          <w:ilvl w:val="0"/>
          <w:numId w:val="13"/>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p>
    <w:p>
      <w:pPr>
        <w:pStyle w:val="12"/>
        <w:numPr>
          <w:ilvl w:val="0"/>
          <w:numId w:val="13"/>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指包含但不限于指杭州银行股份有限公司等其他银行业金融机构或者银行保险监督管理委员会规定的其他机构，可代为办理理财产品销售业务。杭州银行股份有限公司简称杭州银行，官方网站为</w:t>
      </w:r>
      <w:r>
        <w:rPr>
          <w:highlight w:val="none"/>
        </w:rPr>
        <w:fldChar w:fldCharType="begin"/>
      </w:r>
      <w:r>
        <w:rPr>
          <w:highlight w:val="none"/>
        </w:rPr>
        <w:instrText xml:space="preserve"> HYPERLINK "http://www.hzbank.com.cn" </w:instrText>
      </w:r>
      <w:r>
        <w:rPr>
          <w:highlight w:val="none"/>
        </w:rPr>
        <w:fldChar w:fldCharType="separate"/>
      </w:r>
      <w:r>
        <w:rPr>
          <w:rFonts w:hint="eastAsia" w:ascii="宋体" w:hAnsi="宋体" w:cs="宋体"/>
          <w:bCs/>
          <w:color w:val="auto"/>
          <w:kern w:val="2"/>
          <w:highlight w:val="none"/>
          <w:u w:val="single"/>
        </w:rPr>
        <w:t>www.hzbank.com.cn</w:t>
      </w:r>
      <w:r>
        <w:rPr>
          <w:rFonts w:hint="eastAsia" w:ascii="宋体" w:hAnsi="宋体" w:cs="宋体"/>
          <w:bCs/>
          <w:color w:val="auto"/>
          <w:kern w:val="2"/>
          <w:highlight w:val="none"/>
          <w:u w:val="single"/>
        </w:rPr>
        <w:fldChar w:fldCharType="end"/>
      </w:r>
      <w:r>
        <w:rPr>
          <w:rFonts w:hint="eastAsia" w:ascii="宋体" w:hAnsi="宋体" w:cs="宋体"/>
          <w:bCs/>
          <w:color w:val="auto"/>
          <w:kern w:val="2"/>
          <w:highlight w:val="none"/>
        </w:rPr>
        <w:t>，客服热线为95398。</w:t>
      </w:r>
    </w:p>
    <w:p>
      <w:pPr>
        <w:pStyle w:val="12"/>
        <w:numPr>
          <w:ilvl w:val="0"/>
          <w:numId w:val="13"/>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highlight w:val="none"/>
        </w:rPr>
        <w:t>〖</w:t>
      </w:r>
      <w:r>
        <w:rPr>
          <w:rFonts w:hint="eastAsia" w:ascii="宋体" w:hAnsi="宋体" w:cs="宋体"/>
          <w:bCs/>
          <w:color w:val="auto"/>
          <w:kern w:val="2"/>
          <w:highlight w:val="none"/>
        </w:rPr>
        <w:t>杭州银行股份有限公司</w:t>
      </w:r>
      <w:r>
        <w:rPr>
          <w:rFonts w:hint="eastAsia" w:ascii="宋体" w:hAnsi="宋体" w:cs="宋体"/>
          <w:highlight w:val="none"/>
        </w:rPr>
        <w:t>〗</w:t>
      </w:r>
      <w:r>
        <w:rPr>
          <w:rFonts w:hint="eastAsia" w:ascii="宋体" w:hAnsi="宋体" w:cs="宋体"/>
          <w:bCs/>
          <w:color w:val="auto"/>
          <w:kern w:val="2"/>
          <w:highlight w:val="none"/>
        </w:rPr>
        <w:t>。</w:t>
      </w:r>
    </w:p>
    <w:p>
      <w:pPr>
        <w:pStyle w:val="12"/>
        <w:numPr>
          <w:ilvl w:val="0"/>
          <w:numId w:val="13"/>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2"/>
        <w:numPr>
          <w:ilvl w:val="0"/>
          <w:numId w:val="13"/>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2"/>
        <w:numPr>
          <w:ilvl w:val="0"/>
          <w:numId w:val="13"/>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sz w:val="24"/>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2"/>
        <w:numPr>
          <w:ilvl w:val="0"/>
          <w:numId w:val="12"/>
        </w:numPr>
        <w:adjustRightInd/>
        <w:spacing w:line="360" w:lineRule="auto"/>
        <w:outlineLvl w:val="2"/>
        <w:rPr>
          <w:rFonts w:ascii="宋体" w:hAnsi="宋体" w:cs="宋体"/>
          <w:b/>
          <w:color w:val="auto"/>
          <w:kern w:val="2"/>
          <w:highlight w:val="none"/>
        </w:rPr>
      </w:pPr>
      <w:r>
        <w:rPr>
          <w:rFonts w:hint="eastAsia" w:ascii="宋体" w:hAnsi="宋体" w:cs="宋体"/>
          <w:b/>
          <w:color w:val="auto"/>
          <w:kern w:val="2"/>
          <w:highlight w:val="none"/>
        </w:rPr>
        <w:t>法律文件用语</w:t>
      </w:r>
    </w:p>
    <w:p>
      <w:pPr>
        <w:pStyle w:val="12"/>
        <w:numPr>
          <w:ilvl w:val="0"/>
          <w:numId w:val="14"/>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指《杭银理财幸福99添益90天周期型</w:t>
      </w:r>
      <w:r>
        <w:rPr>
          <w:rFonts w:hint="eastAsia" w:ascii="宋体" w:hAnsi="宋体" w:cs="宋体"/>
          <w:bCs/>
          <w:highlight w:val="none"/>
        </w:rPr>
        <w:t>理财计划产品说明书</w:t>
      </w:r>
      <w:r>
        <w:rPr>
          <w:rFonts w:hint="eastAsia" w:ascii="宋体" w:hAnsi="宋体" w:cs="宋体"/>
          <w:bCs/>
          <w:color w:val="auto"/>
          <w:kern w:val="2"/>
          <w:highlight w:val="none"/>
        </w:rPr>
        <w:t>》，以及对该文件的有效修改与补充。</w:t>
      </w:r>
    </w:p>
    <w:p>
      <w:pPr>
        <w:pStyle w:val="12"/>
        <w:numPr>
          <w:ilvl w:val="0"/>
          <w:numId w:val="14"/>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指作为杭银理财幸福99添益90天周期型</w:t>
      </w:r>
      <w:r>
        <w:rPr>
          <w:rFonts w:hint="eastAsia" w:ascii="宋体" w:hAnsi="宋体" w:cs="宋体"/>
          <w:bCs/>
          <w:highlight w:val="none"/>
        </w:rPr>
        <w:t>理财计划合同不可分割组成部分的风险揭示书，</w:t>
      </w:r>
      <w:r>
        <w:rPr>
          <w:rFonts w:hint="eastAsia" w:ascii="宋体" w:hAnsi="宋体" w:cs="宋体"/>
          <w:bCs/>
          <w:color w:val="auto"/>
          <w:kern w:val="2"/>
          <w:highlight w:val="none"/>
        </w:rPr>
        <w:t>以及对该文件的有效修改与补充。</w:t>
      </w:r>
    </w:p>
    <w:p>
      <w:pPr>
        <w:pStyle w:val="12"/>
        <w:numPr>
          <w:ilvl w:val="0"/>
          <w:numId w:val="14"/>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指作为杭银理财幸福99添益90天周期型</w:t>
      </w:r>
      <w:r>
        <w:rPr>
          <w:rFonts w:hint="eastAsia" w:ascii="宋体" w:hAnsi="宋体" w:cs="宋体"/>
          <w:bCs/>
          <w:highlight w:val="none"/>
        </w:rPr>
        <w:t>理财计划合同不可分割组成部分的投资者权益须知，</w:t>
      </w:r>
      <w:r>
        <w:rPr>
          <w:rFonts w:hint="eastAsia" w:ascii="宋体" w:hAnsi="宋体" w:cs="宋体"/>
          <w:bCs/>
          <w:color w:val="auto"/>
          <w:kern w:val="2"/>
          <w:highlight w:val="none"/>
        </w:rPr>
        <w:t>以及对该文件的有效修改与补充。</w:t>
      </w:r>
    </w:p>
    <w:p>
      <w:pPr>
        <w:pStyle w:val="12"/>
        <w:numPr>
          <w:ilvl w:val="0"/>
          <w:numId w:val="14"/>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rPr>
        <w:t>添益90天周期型理财计划合同不可分割组成部分的理财计划投资协议书，</w:t>
      </w:r>
      <w:r>
        <w:rPr>
          <w:rFonts w:hint="eastAsia" w:ascii="宋体" w:hAnsi="宋体" w:cs="宋体"/>
          <w:bCs/>
          <w:color w:val="auto"/>
          <w:kern w:val="2"/>
          <w:highlight w:val="none"/>
        </w:rPr>
        <w:t>以及对该文件的有效修改与补充。</w:t>
      </w:r>
    </w:p>
    <w:p>
      <w:pPr>
        <w:pStyle w:val="12"/>
        <w:numPr>
          <w:ilvl w:val="0"/>
          <w:numId w:val="14"/>
        </w:numPr>
        <w:adjustRightInd/>
        <w:spacing w:line="360" w:lineRule="auto"/>
        <w:ind w:left="0" w:firstLine="0"/>
        <w:rPr>
          <w:rFonts w:ascii="宋体" w:hAnsi="宋体" w:cs="宋体"/>
          <w:b/>
          <w:color w:val="auto"/>
          <w:kern w:val="2"/>
          <w:highlight w:val="none"/>
        </w:rPr>
      </w:pPr>
      <w:r>
        <w:rPr>
          <w:rFonts w:hint="eastAsia" w:ascii="宋体" w:hAnsi="宋体" w:cs="宋体"/>
          <w:b/>
          <w:color w:val="auto"/>
          <w:kern w:val="2"/>
          <w:highlight w:val="none"/>
        </w:rPr>
        <w:t>理财计划销售协议书：</w:t>
      </w:r>
      <w:r>
        <w:rPr>
          <w:rFonts w:hint="eastAsia" w:ascii="宋体" w:hAnsi="宋体" w:cs="宋体"/>
          <w:bCs/>
          <w:color w:val="auto"/>
          <w:kern w:val="2"/>
          <w:highlight w:val="none"/>
        </w:rPr>
        <w:t>指作为杭银理财幸福99添益90天周期型</w:t>
      </w:r>
      <w:r>
        <w:rPr>
          <w:rFonts w:hint="eastAsia" w:ascii="宋体" w:hAnsi="宋体" w:cs="宋体"/>
          <w:bCs/>
          <w:highlight w:val="none"/>
        </w:rPr>
        <w:t>理财计划合同不可分割组成部分的理财计划销售协议书，</w:t>
      </w:r>
      <w:r>
        <w:rPr>
          <w:rFonts w:hint="eastAsia" w:ascii="宋体" w:hAnsi="宋体" w:cs="宋体"/>
          <w:bCs/>
          <w:color w:val="auto"/>
          <w:kern w:val="2"/>
          <w:highlight w:val="none"/>
        </w:rPr>
        <w:t>以及对该文件的有效修改与补充。</w:t>
      </w:r>
    </w:p>
    <w:p>
      <w:pPr>
        <w:pStyle w:val="12"/>
        <w:numPr>
          <w:ilvl w:val="0"/>
          <w:numId w:val="14"/>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指《理财计划产品说明书》《风险揭示书》《投资者权益须知》《理财计划投资协议书》《理财计划销售协议书》五个部分。</w:t>
      </w:r>
    </w:p>
    <w:p>
      <w:pPr>
        <w:pStyle w:val="12"/>
        <w:numPr>
          <w:ilvl w:val="0"/>
          <w:numId w:val="12"/>
        </w:numPr>
        <w:adjustRightInd/>
        <w:spacing w:line="360" w:lineRule="auto"/>
        <w:outlineLvl w:val="2"/>
        <w:rPr>
          <w:rFonts w:ascii="宋体" w:hAnsi="宋体" w:cs="宋体"/>
          <w:b/>
          <w:color w:val="auto"/>
          <w:kern w:val="2"/>
          <w:highlight w:val="none"/>
        </w:rPr>
      </w:pPr>
      <w:r>
        <w:rPr>
          <w:rFonts w:hint="eastAsia" w:ascii="宋体" w:hAnsi="宋体" w:cs="宋体"/>
          <w:b/>
          <w:color w:val="auto"/>
          <w:kern w:val="2"/>
          <w:highlight w:val="none"/>
        </w:rPr>
        <w:t>理财产品用语</w:t>
      </w:r>
    </w:p>
    <w:p>
      <w:pPr>
        <w:pStyle w:val="12"/>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rPr>
        <w:t>添益90天周期型理财计划。</w:t>
      </w:r>
    </w:p>
    <w:p>
      <w:pPr>
        <w:pStyle w:val="12"/>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2"/>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2"/>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2"/>
        <w:numPr>
          <w:ilvl w:val="0"/>
          <w:numId w:val="15"/>
        </w:numPr>
        <w:adjustRightInd/>
        <w:spacing w:line="360" w:lineRule="auto"/>
        <w:rPr>
          <w:rFonts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2"/>
        <w:numPr>
          <w:ilvl w:val="0"/>
          <w:numId w:val="15"/>
        </w:numPr>
        <w:adjustRightInd/>
        <w:spacing w:line="360" w:lineRule="auto"/>
        <w:rPr>
          <w:rFonts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2"/>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2"/>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2"/>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val="en-US" w:eastAsia="zh-CN"/>
        </w:rPr>
        <w:t>计划</w:t>
      </w:r>
      <w:r>
        <w:rPr>
          <w:rFonts w:hint="eastAsia" w:ascii="宋体" w:hAnsi="宋体" w:cs="宋体"/>
          <w:bCs/>
          <w:color w:val="auto"/>
          <w:kern w:val="2"/>
          <w:highlight w:val="none"/>
        </w:rPr>
        <w:t>成立后，理财计划不接受投资者申购赎回的时间。</w:t>
      </w:r>
    </w:p>
    <w:p>
      <w:pPr>
        <w:pStyle w:val="12"/>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w:t>
      </w:r>
      <w:r>
        <w:rPr>
          <w:rFonts w:hint="eastAsia" w:ascii="宋体" w:hAnsi="宋体" w:cs="宋体"/>
          <w:bCs/>
          <w:kern w:val="2"/>
          <w:highlight w:val="none"/>
        </w:rPr>
        <w:t>理财计划管理人</w:t>
      </w:r>
      <w:r>
        <w:rPr>
          <w:rFonts w:hint="eastAsia" w:ascii="宋体" w:hAnsi="宋体" w:cs="宋体"/>
          <w:kern w:val="2"/>
          <w:highlight w:val="none"/>
        </w:rPr>
        <w:t>使理财计划投资组合比例符合合同的有关约定所需要的时间段</w:t>
      </w:r>
      <w:r>
        <w:rPr>
          <w:rFonts w:hint="eastAsia" w:ascii="宋体" w:hAnsi="宋体" w:cs="宋体"/>
          <w:bCs/>
          <w:color w:val="auto"/>
          <w:kern w:val="2"/>
          <w:highlight w:val="none"/>
        </w:rPr>
        <w:t>。</w:t>
      </w:r>
    </w:p>
    <w:p>
      <w:pPr>
        <w:pStyle w:val="12"/>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2"/>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2"/>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及确认日等日期安排发生变化的，原则上采用顺延方式对原定日期进行调整，如有特殊安排，以管理人对外披露的公告为准。</w:t>
      </w:r>
    </w:p>
    <w:p>
      <w:pPr>
        <w:pStyle w:val="12"/>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2"/>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2"/>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2"/>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申购开放期：</w:t>
      </w:r>
      <w:r>
        <w:rPr>
          <w:rFonts w:hint="eastAsia" w:ascii="宋体" w:hAnsi="宋体" w:cs="宋体"/>
          <w:bCs/>
          <w:highlight w:val="none"/>
        </w:rPr>
        <w:t>指管理人向投资者提供申购交易的时间。</w:t>
      </w:r>
    </w:p>
    <w:p>
      <w:pPr>
        <w:pStyle w:val="12"/>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赎回开放期：</w:t>
      </w:r>
      <w:r>
        <w:rPr>
          <w:rFonts w:hint="eastAsia" w:ascii="宋体" w:hAnsi="宋体" w:cs="宋体"/>
          <w:bCs/>
          <w:highlight w:val="none"/>
        </w:rPr>
        <w:t>指管理人向投资者提供赎回交易的时间。</w:t>
      </w:r>
    </w:p>
    <w:p>
      <w:pPr>
        <w:pStyle w:val="12"/>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2"/>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申购确认日：</w:t>
      </w:r>
      <w:r>
        <w:rPr>
          <w:rFonts w:hint="eastAsia" w:ascii="宋体" w:hAnsi="宋体" w:cs="宋体"/>
          <w:bCs/>
          <w:color w:val="auto"/>
          <w:kern w:val="2"/>
          <w:highlight w:val="none"/>
        </w:rPr>
        <w:t>指管理人确认投资者申购交易是否有效的日期。</w:t>
      </w:r>
    </w:p>
    <w:p>
      <w:pPr>
        <w:pStyle w:val="12"/>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赎回确认日：</w:t>
      </w:r>
      <w:r>
        <w:rPr>
          <w:rFonts w:hint="eastAsia" w:ascii="宋体" w:hAnsi="宋体" w:cs="宋体"/>
          <w:bCs/>
          <w:color w:val="auto"/>
          <w:kern w:val="2"/>
          <w:highlight w:val="none"/>
        </w:rPr>
        <w:t>指管理人确认投资者赎回交易是否有效的日期。</w:t>
      </w:r>
    </w:p>
    <w:p>
      <w:pPr>
        <w:pStyle w:val="12"/>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2"/>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2"/>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指理财计划赎回开放期内，投资者向管理人进行理财计划份额卖出的行为。</w:t>
      </w:r>
    </w:p>
    <w:p>
      <w:pPr>
        <w:pStyle w:val="12"/>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指管理人在满足收益分配基准日理财计划份额净值大于1元的情况下，定期或不定期将大于1元部分的收益进行分配的行为。</w:t>
      </w:r>
    </w:p>
    <w:p>
      <w:pPr>
        <w:pStyle w:val="12"/>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指管理人为成立理财计划及处理理财计划事务而支出的所有费用，包括但不限于固定管理费、浮动管理费、</w:t>
      </w:r>
      <w:r>
        <w:rPr>
          <w:rFonts w:hint="eastAsia" w:ascii="宋体" w:hAnsi="宋体" w:cs="宋体"/>
          <w:bCs/>
          <w:highlight w:val="none"/>
          <w:lang w:eastAsia="zh-CN"/>
        </w:rPr>
        <w:t>销售服务费</w:t>
      </w:r>
      <w:r>
        <w:rPr>
          <w:rFonts w:hint="eastAsia" w:ascii="宋体" w:hAnsi="宋体" w:cs="宋体"/>
          <w:bCs/>
          <w:highlight w:val="none"/>
        </w:rPr>
        <w:t>、托管费、交易费用、执行费用等相关费用，具体以实际发生为准。</w:t>
      </w:r>
    </w:p>
    <w:p>
      <w:pPr>
        <w:pStyle w:val="12"/>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w:t>
      </w:r>
      <w:r>
        <w:rPr>
          <w:rFonts w:hint="eastAsia" w:ascii="宋体" w:hAnsi="宋体" w:cs="宋体"/>
          <w:bCs/>
          <w:kern w:val="2"/>
          <w:highlight w:val="none"/>
        </w:rPr>
        <w:t>和负债的价值，</w:t>
      </w:r>
      <w:r>
        <w:rPr>
          <w:rFonts w:hint="eastAsia" w:ascii="宋体" w:hAnsi="宋体" w:cs="宋体"/>
          <w:bCs/>
          <w:highlight w:val="none"/>
        </w:rPr>
        <w:t>以确定理财计划份额净值的过程。</w:t>
      </w:r>
    </w:p>
    <w:p>
      <w:pPr>
        <w:pStyle w:val="12"/>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2"/>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w:t>
      </w:r>
      <w:r>
        <w:rPr>
          <w:rFonts w:hint="eastAsia" w:ascii="宋体" w:hAnsi="宋体" w:cs="宋体"/>
          <w:bCs/>
          <w:kern w:val="2"/>
          <w:highlight w:val="none"/>
        </w:rPr>
        <w:t>到期或分红时</w:t>
      </w:r>
      <w:r>
        <w:rPr>
          <w:rFonts w:hint="eastAsia" w:ascii="宋体" w:hAnsi="宋体" w:cs="宋体"/>
          <w:bCs/>
          <w:color w:val="auto"/>
          <w:kern w:val="2"/>
          <w:highlight w:val="none"/>
        </w:rPr>
        <w:t>返还本金或收益的银行账户。</w:t>
      </w:r>
    </w:p>
    <w:p>
      <w:pPr>
        <w:pStyle w:val="12"/>
        <w:adjustRightInd/>
        <w:spacing w:line="360" w:lineRule="auto"/>
        <w:ind w:firstLine="482" w:firstLineChars="200"/>
        <w:rPr>
          <w:rFonts w:hint="eastAsia"/>
          <w:highlight w:val="none"/>
        </w:rPr>
      </w:pPr>
      <w:r>
        <w:rPr>
          <w:rFonts w:hint="eastAsia" w:ascii="宋体" w:hAnsi="宋体" w:cs="宋体"/>
          <w:b/>
          <w:color w:val="auto"/>
          <w:kern w:val="2"/>
          <w:highlight w:val="none"/>
        </w:rPr>
        <w:t>3</w:t>
      </w:r>
      <w:r>
        <w:rPr>
          <w:rFonts w:hint="eastAsia" w:ascii="宋体" w:hAnsi="宋体" w:cs="宋体"/>
          <w:b/>
          <w:color w:val="auto"/>
          <w:kern w:val="2"/>
          <w:highlight w:val="none"/>
          <w:lang w:val="en-US" w:eastAsia="zh-CN"/>
        </w:rPr>
        <w:t>0</w:t>
      </w:r>
      <w:r>
        <w:rPr>
          <w:rFonts w:hint="eastAsia" w:ascii="宋体" w:hAnsi="宋体" w:cs="宋体"/>
          <w:b/>
          <w:color w:val="auto"/>
          <w:kern w:val="2"/>
          <w:highlight w:val="none"/>
        </w:rPr>
        <w:t>. 流</w:t>
      </w:r>
      <w:r>
        <w:rPr>
          <w:rFonts w:hint="eastAsia"/>
          <w:b/>
          <w:highlight w:val="none"/>
        </w:rPr>
        <w:t>动性受限资产：</w:t>
      </w:r>
      <w:r>
        <w:rPr>
          <w:rFonts w:hint="eastAsia"/>
          <w:highlight w:val="none"/>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2"/>
        <w:numPr>
          <w:ilvl w:val="0"/>
          <w:numId w:val="0"/>
        </w:numPr>
        <w:adjustRightInd/>
        <w:spacing w:line="360" w:lineRule="auto"/>
        <w:ind w:firstLine="482" w:firstLineChars="200"/>
        <w:rPr>
          <w:rFonts w:ascii="宋体" w:hAnsi="宋体" w:cs="宋体"/>
          <w:b/>
          <w:color w:val="auto"/>
          <w:kern w:val="2"/>
          <w:highlight w:val="none"/>
        </w:rPr>
      </w:pPr>
      <w:r>
        <w:rPr>
          <w:rFonts w:hint="eastAsia" w:ascii="宋体" w:hAnsi="宋体" w:cs="宋体"/>
          <w:b/>
          <w:color w:val="auto"/>
          <w:kern w:val="2"/>
          <w:highlight w:val="none"/>
        </w:rPr>
        <w:t>3</w:t>
      </w:r>
      <w:r>
        <w:rPr>
          <w:rFonts w:hint="eastAsia" w:ascii="宋体" w:hAnsi="宋体" w:cs="宋体"/>
          <w:b/>
          <w:color w:val="auto"/>
          <w:kern w:val="2"/>
          <w:highlight w:val="none"/>
          <w:lang w:val="en-US" w:eastAsia="zh-CN"/>
        </w:rPr>
        <w:t>1</w:t>
      </w:r>
      <w:r>
        <w:rPr>
          <w:rFonts w:hint="eastAsia" w:ascii="宋体" w:hAnsi="宋体" w:cs="宋体"/>
          <w:b/>
          <w:color w:val="auto"/>
          <w:kern w:val="2"/>
          <w:highlight w:val="none"/>
        </w:rPr>
        <w:t>. 7</w:t>
      </w:r>
      <w:r>
        <w:rPr>
          <w:rFonts w:hint="eastAsia" w:ascii="宋体" w:hAnsi="宋体" w:cs="宋体"/>
          <w:b/>
          <w:color w:val="auto"/>
          <w:kern w:val="2"/>
          <w:highlight w:val="none"/>
          <w:lang w:val="en-US" w:eastAsia="zh-CN"/>
        </w:rPr>
        <w:t>个</w:t>
      </w:r>
      <w:r>
        <w:rPr>
          <w:rFonts w:hint="eastAsia"/>
          <w:b/>
          <w:bCs/>
          <w:highlight w:val="none"/>
        </w:rPr>
        <w:t>工作日可变现资产：</w:t>
      </w:r>
      <w:r>
        <w:rPr>
          <w:rFonts w:hint="eastAsia"/>
          <w:highlight w:val="none"/>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2"/>
        <w:numPr>
          <w:ilvl w:val="0"/>
          <w:numId w:val="12"/>
        </w:numPr>
        <w:adjustRightInd/>
        <w:spacing w:line="360" w:lineRule="auto"/>
        <w:outlineLvl w:val="2"/>
        <w:rPr>
          <w:rFonts w:ascii="宋体" w:hAnsi="宋体" w:cs="宋体"/>
          <w:b/>
          <w:color w:val="auto"/>
          <w:kern w:val="2"/>
          <w:highlight w:val="none"/>
        </w:rPr>
      </w:pPr>
      <w:r>
        <w:rPr>
          <w:rFonts w:hint="eastAsia" w:ascii="宋体" w:hAnsi="宋体" w:cs="宋体"/>
          <w:b/>
          <w:color w:val="auto"/>
          <w:kern w:val="2"/>
          <w:highlight w:val="none"/>
        </w:rPr>
        <w:t>相关事件用语</w:t>
      </w:r>
    </w:p>
    <w:p>
      <w:pPr>
        <w:pStyle w:val="12"/>
        <w:numPr>
          <w:ilvl w:val="0"/>
          <w:numId w:val="16"/>
        </w:numPr>
        <w:adjustRightInd/>
        <w:spacing w:line="360" w:lineRule="auto"/>
        <w:rPr>
          <w:rFonts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2"/>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2"/>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2"/>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2"/>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2"/>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2"/>
        <w:adjustRightInd/>
        <w:spacing w:line="360" w:lineRule="auto"/>
        <w:ind w:firstLine="241" w:firstLineChars="100"/>
        <w:rPr>
          <w:rFonts w:hint="eastAsia" w:ascii="宋体" w:hAnsi="宋体" w:cs="宋体"/>
          <w:b/>
          <w:color w:val="auto"/>
          <w:kern w:val="2"/>
          <w:highlight w:val="none"/>
        </w:rPr>
      </w:pPr>
      <w:r>
        <w:rPr>
          <w:rFonts w:hint="eastAsia" w:ascii="宋体" w:hAnsi="宋体" w:cs="宋体"/>
          <w:b/>
          <w:color w:val="auto"/>
          <w:kern w:val="2"/>
          <w:highlight w:val="none"/>
        </w:rPr>
        <w:t>2. 巨额赎回：指理财计划的申购和赎回开放期内，理财计划任一开放日净赎回申请份额超过上一确认日日终理财计划总份额的〖10%〗，即为发生巨额赎回行为。</w:t>
      </w:r>
    </w:p>
    <w:p>
      <w:pPr>
        <w:pStyle w:val="12"/>
        <w:adjustRightInd/>
        <w:spacing w:line="360" w:lineRule="auto"/>
        <w:rPr>
          <w:rFonts w:ascii="宋体" w:hAnsi="宋体" w:cs="宋体"/>
          <w:bCs/>
          <w:color w:val="auto"/>
          <w:kern w:val="2"/>
          <w:highlight w:val="none"/>
        </w:rPr>
      </w:pPr>
    </w:p>
    <w:p>
      <w:pPr>
        <w:pStyle w:val="12"/>
        <w:numPr>
          <w:ilvl w:val="0"/>
          <w:numId w:val="17"/>
        </w:numPr>
        <w:adjustRightInd/>
        <w:spacing w:line="360" w:lineRule="auto"/>
        <w:outlineLvl w:val="1"/>
        <w:rPr>
          <w:rFonts w:ascii="宋体" w:hAnsi="宋体" w:cs="宋体"/>
          <w:b/>
          <w:color w:val="auto"/>
          <w:kern w:val="2"/>
          <w:highlight w:val="none"/>
        </w:rPr>
      </w:pPr>
      <w:r>
        <w:rPr>
          <w:rFonts w:hint="eastAsia" w:ascii="宋体" w:hAnsi="宋体" w:cs="宋体"/>
          <w:b/>
          <w:color w:val="auto"/>
          <w:kern w:val="2"/>
          <w:highlight w:val="none"/>
        </w:rPr>
        <w:t>风险评级</w:t>
      </w:r>
    </w:p>
    <w:p>
      <w:pPr>
        <w:pStyle w:val="12"/>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本理财计划的风险等级为〖R2〗，〖中低〗风险。</w:t>
      </w:r>
      <w:r>
        <w:rPr>
          <w:rFonts w:hint="eastAsia" w:ascii="宋体" w:hAnsi="宋体" w:cs="宋体"/>
          <w:bCs/>
          <w:color w:val="auto"/>
          <w:kern w:val="2"/>
          <w:highlight w:val="none"/>
        </w:rPr>
        <w:t>该评级仅是管理人内部测评结果，仅供投资者参考，不具有任何法律约束力。</w:t>
      </w:r>
    </w:p>
    <w:tbl>
      <w:tblPr>
        <w:tblStyle w:val="8"/>
        <w:tblW w:w="86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1746"/>
        <w:gridCol w:w="5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noWrap w:val="0"/>
            <w:vAlign w:val="top"/>
          </w:tcPr>
          <w:p>
            <w:pPr>
              <w:pStyle w:val="12"/>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内部风险评级</w:t>
            </w:r>
          </w:p>
        </w:tc>
        <w:tc>
          <w:tcPr>
            <w:tcW w:w="1746" w:type="dxa"/>
            <w:noWrap w:val="0"/>
            <w:vAlign w:val="top"/>
          </w:tcPr>
          <w:p>
            <w:pPr>
              <w:pStyle w:val="12"/>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风险程度</w:t>
            </w:r>
          </w:p>
        </w:tc>
        <w:tc>
          <w:tcPr>
            <w:tcW w:w="5064" w:type="dxa"/>
            <w:noWrap w:val="0"/>
            <w:vAlign w:val="top"/>
          </w:tcPr>
          <w:p>
            <w:pPr>
              <w:pStyle w:val="12"/>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61" w:type="dxa"/>
            <w:noWrap w:val="0"/>
            <w:vAlign w:val="top"/>
          </w:tcPr>
          <w:p>
            <w:pPr>
              <w:pStyle w:val="12"/>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R1</w:t>
            </w:r>
          </w:p>
        </w:tc>
        <w:tc>
          <w:tcPr>
            <w:tcW w:w="1746" w:type="dxa"/>
            <w:noWrap w:val="0"/>
            <w:vAlign w:val="top"/>
          </w:tcPr>
          <w:p>
            <w:pPr>
              <w:pStyle w:val="12"/>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低</w:t>
            </w:r>
          </w:p>
        </w:tc>
        <w:tc>
          <w:tcPr>
            <w:tcW w:w="5064" w:type="dxa"/>
            <w:noWrap w:val="0"/>
            <w:vAlign w:val="top"/>
          </w:tcPr>
          <w:p>
            <w:pPr>
              <w:pStyle w:val="12"/>
              <w:adjustRightInd/>
              <w:spacing w:line="360" w:lineRule="auto"/>
              <w:jc w:val="center"/>
              <w:rPr>
                <w:rFonts w:ascii="宋体" w:hAnsi="宋体" w:cs="宋体"/>
                <w:bCs/>
                <w:color w:val="auto"/>
                <w:kern w:val="2"/>
                <w:sz w:val="21"/>
                <w:szCs w:val="21"/>
                <w:highlight w:val="none"/>
              </w:rPr>
            </w:pPr>
            <w:r>
              <w:rPr>
                <w:rFonts w:hint="eastAsia" w:ascii="宋体" w:hAnsi="宋体" w:cs="宋体"/>
                <w:bCs/>
                <w:kern w:val="2"/>
                <w:sz w:val="21"/>
                <w:szCs w:val="21"/>
                <w:highlight w:val="none"/>
              </w:rPr>
              <w:t>保守型、稳健型、平衡型、成长型、进取型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noWrap w:val="0"/>
            <w:vAlign w:val="top"/>
          </w:tcPr>
          <w:p>
            <w:pPr>
              <w:pStyle w:val="12"/>
              <w:adjustRightInd/>
              <w:spacing w:line="360" w:lineRule="auto"/>
              <w:jc w:val="center"/>
              <w:rPr>
                <w:rFonts w:ascii="宋体" w:hAnsi="宋体" w:cs="宋体"/>
                <w:b/>
                <w:color w:val="auto"/>
                <w:kern w:val="2"/>
                <w:sz w:val="21"/>
                <w:szCs w:val="21"/>
                <w:highlight w:val="none"/>
              </w:rPr>
            </w:pPr>
            <w:r>
              <w:rPr>
                <w:rFonts w:ascii="宋体" w:hAnsi="宋体" w:cs="宋体"/>
                <w:b/>
                <w:color w:val="auto"/>
                <w:kern w:val="2"/>
                <w:sz w:val="21"/>
                <w:szCs w:val="21"/>
                <w:highlight w:val="none"/>
              </w:rPr>
              <w:t>R2</w:t>
            </w:r>
          </w:p>
        </w:tc>
        <w:tc>
          <w:tcPr>
            <w:tcW w:w="1746" w:type="dxa"/>
            <w:noWrap w:val="0"/>
            <w:vAlign w:val="top"/>
          </w:tcPr>
          <w:p>
            <w:pPr>
              <w:pStyle w:val="12"/>
              <w:adjustRightInd/>
              <w:spacing w:line="360" w:lineRule="auto"/>
              <w:jc w:val="center"/>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中低</w:t>
            </w:r>
          </w:p>
        </w:tc>
        <w:tc>
          <w:tcPr>
            <w:tcW w:w="5064" w:type="dxa"/>
            <w:noWrap w:val="0"/>
            <w:vAlign w:val="top"/>
          </w:tcPr>
          <w:p>
            <w:pPr>
              <w:pStyle w:val="12"/>
              <w:adjustRightInd/>
              <w:spacing w:line="360" w:lineRule="auto"/>
              <w:jc w:val="center"/>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稳健型</w:t>
            </w:r>
            <w:r>
              <w:rPr>
                <w:rFonts w:hint="eastAsia" w:ascii="宋体" w:hAnsi="宋体" w:cs="宋体"/>
                <w:b/>
                <w:kern w:val="2"/>
                <w:sz w:val="21"/>
                <w:szCs w:val="21"/>
                <w:highlight w:val="none"/>
              </w:rPr>
              <w:t>、平衡型、成长型、进取型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noWrap w:val="0"/>
            <w:vAlign w:val="top"/>
          </w:tcPr>
          <w:p>
            <w:pPr>
              <w:pStyle w:val="12"/>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R3</w:t>
            </w:r>
          </w:p>
        </w:tc>
        <w:tc>
          <w:tcPr>
            <w:tcW w:w="1746" w:type="dxa"/>
            <w:noWrap w:val="0"/>
            <w:vAlign w:val="top"/>
          </w:tcPr>
          <w:p>
            <w:pPr>
              <w:pStyle w:val="12"/>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中</w:t>
            </w:r>
          </w:p>
        </w:tc>
        <w:tc>
          <w:tcPr>
            <w:tcW w:w="5064" w:type="dxa"/>
            <w:noWrap w:val="0"/>
            <w:vAlign w:val="top"/>
          </w:tcPr>
          <w:p>
            <w:pPr>
              <w:pStyle w:val="12"/>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平衡型</w:t>
            </w:r>
            <w:r>
              <w:rPr>
                <w:rFonts w:hint="eastAsia" w:ascii="宋体" w:hAnsi="宋体" w:cs="宋体"/>
                <w:bCs/>
                <w:kern w:val="2"/>
                <w:sz w:val="21"/>
                <w:szCs w:val="21"/>
                <w:highlight w:val="none"/>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noWrap w:val="0"/>
            <w:vAlign w:val="top"/>
          </w:tcPr>
          <w:p>
            <w:pPr>
              <w:pStyle w:val="12"/>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R4</w:t>
            </w:r>
          </w:p>
        </w:tc>
        <w:tc>
          <w:tcPr>
            <w:tcW w:w="1746" w:type="dxa"/>
            <w:noWrap w:val="0"/>
            <w:vAlign w:val="top"/>
          </w:tcPr>
          <w:p>
            <w:pPr>
              <w:pStyle w:val="12"/>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中高</w:t>
            </w:r>
          </w:p>
        </w:tc>
        <w:tc>
          <w:tcPr>
            <w:tcW w:w="5064" w:type="dxa"/>
            <w:noWrap w:val="0"/>
            <w:vAlign w:val="top"/>
          </w:tcPr>
          <w:p>
            <w:pPr>
              <w:pStyle w:val="12"/>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成长型</w:t>
            </w:r>
            <w:r>
              <w:rPr>
                <w:rFonts w:hint="eastAsia" w:ascii="宋体" w:hAnsi="宋体" w:cs="宋体"/>
                <w:bCs/>
                <w:kern w:val="2"/>
                <w:sz w:val="21"/>
                <w:szCs w:val="21"/>
                <w:highlight w:val="none"/>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noWrap w:val="0"/>
            <w:vAlign w:val="top"/>
          </w:tcPr>
          <w:p>
            <w:pPr>
              <w:pStyle w:val="12"/>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R5</w:t>
            </w:r>
          </w:p>
        </w:tc>
        <w:tc>
          <w:tcPr>
            <w:tcW w:w="1746" w:type="dxa"/>
            <w:noWrap w:val="0"/>
            <w:vAlign w:val="top"/>
          </w:tcPr>
          <w:p>
            <w:pPr>
              <w:pStyle w:val="12"/>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高</w:t>
            </w:r>
          </w:p>
        </w:tc>
        <w:tc>
          <w:tcPr>
            <w:tcW w:w="5064" w:type="dxa"/>
            <w:noWrap w:val="0"/>
            <w:vAlign w:val="top"/>
          </w:tcPr>
          <w:p>
            <w:pPr>
              <w:pStyle w:val="12"/>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进取型</w:t>
            </w:r>
          </w:p>
        </w:tc>
      </w:tr>
    </w:tbl>
    <w:p>
      <w:pPr>
        <w:pStyle w:val="12"/>
        <w:adjustRightInd/>
        <w:spacing w:line="360" w:lineRule="auto"/>
        <w:rPr>
          <w:rFonts w:ascii="宋体" w:hAnsi="宋体" w:cs="宋体"/>
          <w:b/>
          <w:color w:val="auto"/>
          <w:kern w:val="2"/>
          <w:highlight w:val="none"/>
        </w:rPr>
      </w:pPr>
    </w:p>
    <w:p>
      <w:pPr>
        <w:pStyle w:val="12"/>
        <w:numPr>
          <w:ilvl w:val="0"/>
          <w:numId w:val="17"/>
        </w:numPr>
        <w:adjustRightInd/>
        <w:spacing w:line="360" w:lineRule="auto"/>
        <w:outlineLvl w:val="1"/>
        <w:rPr>
          <w:rFonts w:ascii="宋体" w:hAnsi="宋体" w:cs="宋体"/>
          <w:b/>
          <w:color w:val="auto"/>
          <w:kern w:val="2"/>
          <w:highlight w:val="none"/>
        </w:rPr>
      </w:pPr>
      <w:r>
        <w:rPr>
          <w:rFonts w:hint="eastAsia" w:ascii="宋体" w:hAnsi="宋体" w:cs="宋体"/>
          <w:b/>
          <w:color w:val="auto"/>
          <w:kern w:val="2"/>
          <w:highlight w:val="none"/>
        </w:rPr>
        <w:t>产品要素</w:t>
      </w:r>
    </w:p>
    <w:tbl>
      <w:tblPr>
        <w:tblStyle w:val="8"/>
        <w:tblW w:w="8704"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产品名称</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杭银理财幸福99添益90天周期型理财计划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ascii="宋体" w:hAnsi="宋体" w:cs="宋体"/>
                <w:szCs w:val="21"/>
                <w:highlight w:val="none"/>
              </w:rPr>
            </w:pPr>
            <w:r>
              <w:rPr>
                <w:rFonts w:hint="eastAsia" w:ascii="宋体" w:hAnsi="宋体" w:cs="宋体"/>
                <w:szCs w:val="21"/>
                <w:highlight w:val="none"/>
              </w:rPr>
              <w:t>产品编号</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〖TYG90D2101〗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登记编码</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本理财计划在全国银行业理财信息登记系统的登记编码是〖</w:t>
            </w:r>
            <w:r>
              <w:rPr>
                <w:rFonts w:hint="eastAsia" w:ascii="宋体" w:hAnsi="宋体" w:cs="宋体"/>
                <w:szCs w:val="21"/>
                <w:highlight w:val="none"/>
              </w:rPr>
              <w:t>Z7002221000108</w:t>
            </w:r>
            <w:r>
              <w:rPr>
                <w:rFonts w:hint="eastAsia" w:ascii="宋体" w:hAnsi="宋体" w:cs="宋体"/>
                <w:color w:val="000000"/>
                <w:szCs w:val="21"/>
                <w:highlight w:val="none"/>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发行对象</w:t>
            </w:r>
          </w:p>
        </w:tc>
        <w:tc>
          <w:tcPr>
            <w:tcW w:w="7024" w:type="dxa"/>
            <w:noWrap w:val="0"/>
            <w:vAlign w:val="center"/>
          </w:tcPr>
          <w:p>
            <w:pPr>
              <w:widowControl/>
              <w:spacing w:line="360" w:lineRule="auto"/>
              <w:contextualSpacing/>
              <w:rPr>
                <w:rFonts w:hint="eastAsia" w:ascii="宋体" w:hAnsi="宋体" w:cs="宋体"/>
                <w:b/>
                <w:color w:val="000000"/>
                <w:szCs w:val="21"/>
                <w:highlight w:val="none"/>
              </w:rPr>
            </w:pPr>
            <w:r>
              <w:rPr>
                <w:rFonts w:hint="eastAsia" w:ascii="宋体" w:hAnsi="宋体" w:cs="宋体"/>
                <w:color w:val="000000"/>
                <w:szCs w:val="21"/>
                <w:highlight w:val="none"/>
              </w:rPr>
              <w:t>本理财计划适合</w:t>
            </w:r>
            <w:r>
              <w:rPr>
                <w:rFonts w:hint="eastAsia" w:ascii="宋体" w:hAnsi="宋体" w:cs="宋体"/>
                <w:b/>
                <w:szCs w:val="21"/>
                <w:highlight w:val="none"/>
              </w:rPr>
              <w:t>〖</w:t>
            </w:r>
            <w:r>
              <w:rPr>
                <w:rFonts w:hint="eastAsia" w:ascii="宋体" w:hAnsi="宋体" w:cs="宋体"/>
                <w:b/>
                <w:color w:val="000000"/>
                <w:szCs w:val="21"/>
                <w:highlight w:val="none"/>
              </w:rPr>
              <w:t>机构投资者</w:t>
            </w:r>
            <w:r>
              <w:rPr>
                <w:rFonts w:hint="eastAsia" w:ascii="宋体" w:hAnsi="宋体" w:cs="宋体"/>
                <w:b/>
                <w:szCs w:val="21"/>
                <w:highlight w:val="none"/>
              </w:rPr>
              <w:t>〗</w:t>
            </w:r>
            <w:r>
              <w:rPr>
                <w:rFonts w:hint="eastAsia" w:ascii="宋体" w:hAnsi="宋体" w:cs="宋体"/>
                <w:b/>
                <w:color w:val="000000"/>
                <w:szCs w:val="21"/>
                <w:highlight w:val="none"/>
              </w:rPr>
              <w:t>以及</w:t>
            </w:r>
            <w:r>
              <w:rPr>
                <w:rFonts w:hint="eastAsia" w:ascii="宋体" w:hAnsi="宋体" w:cs="宋体"/>
                <w:b/>
                <w:szCs w:val="21"/>
                <w:highlight w:val="none"/>
              </w:rPr>
              <w:t>〖稳健型、平衡型、成长型、进取型〗</w:t>
            </w:r>
            <w:r>
              <w:rPr>
                <w:rFonts w:hint="eastAsia" w:ascii="宋体" w:hAnsi="宋体" w:cs="宋体"/>
                <w:b/>
                <w:color w:val="000000"/>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000000"/>
                <w:szCs w:val="21"/>
                <w:highlight w:val="none"/>
                <w:lang w:val="en-US" w:eastAsia="zh-CN"/>
              </w:rPr>
            </w:pPr>
            <w:r>
              <w:rPr>
                <w:rFonts w:hint="eastAsia" w:ascii="宋体" w:hAnsi="宋体" w:cs="宋体"/>
                <w:b w:val="0"/>
                <w:bCs/>
                <w:color w:val="000000"/>
                <w:szCs w:val="21"/>
                <w:highlight w:val="none"/>
                <w:lang w:val="en-US" w:eastAsia="zh-CN"/>
              </w:rPr>
              <w:t>其中：</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b w:val="0"/>
                <w:bCs/>
                <w:color w:val="000000"/>
                <w:sz w:val="21"/>
                <w:szCs w:val="21"/>
                <w:highlight w:val="none"/>
                <w:lang w:val="en-US" w:eastAsia="zh-CN"/>
              </w:rPr>
              <w:t>A份额</w:t>
            </w:r>
            <w:r>
              <w:rPr>
                <w:rFonts w:hint="eastAsia" w:ascii="宋体" w:hAnsi="宋体" w:cs="宋体"/>
                <w:b w:val="0"/>
                <w:bCs/>
                <w:color w:val="000000"/>
                <w:sz w:val="21"/>
                <w:szCs w:val="21"/>
                <w:highlight w:val="none"/>
                <w:lang w:eastAsia="zh-CN"/>
              </w:rPr>
              <w:t>（销售代码〖</w:t>
            </w:r>
            <w:r>
              <w:rPr>
                <w:rFonts w:hint="eastAsia" w:ascii="宋体" w:hAnsi="宋体" w:cs="宋体"/>
                <w:b w:val="0"/>
                <w:bCs/>
                <w:color w:val="000000"/>
                <w:sz w:val="21"/>
                <w:szCs w:val="21"/>
                <w:highlight w:val="none"/>
                <w:lang w:val="en-US" w:eastAsia="zh-CN"/>
              </w:rPr>
              <w:t>TYG90D2101</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〖普通个人</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和机构</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〗发售</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B份额（销售代码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TYG90D2101B</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特邀投资者</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C份额（销售代码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TYG90D2101C</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〖普通个人</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和机构</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P份额</w:t>
            </w:r>
            <w:r>
              <w:rPr>
                <w:rFonts w:hint="eastAsia" w:ascii="宋体" w:hAnsi="宋体" w:cs="宋体"/>
                <w:sz w:val="21"/>
                <w:szCs w:val="21"/>
                <w:highlight w:val="none"/>
                <w:lang w:val="en-US" w:eastAsia="zh-CN"/>
              </w:rPr>
              <w:t>（芙蓉锦程·优选）</w:t>
            </w:r>
            <w:r>
              <w:rPr>
                <w:rFonts w:hint="eastAsia" w:ascii="宋体" w:hAnsi="宋体" w:cs="宋体"/>
                <w:b w:val="0"/>
                <w:bCs/>
                <w:color w:val="000000"/>
                <w:sz w:val="21"/>
                <w:szCs w:val="21"/>
                <w:highlight w:val="none"/>
                <w:lang w:val="en-US" w:eastAsia="zh-CN"/>
              </w:rPr>
              <w:t>（销售代码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TYG90D2101P</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〖普通个人</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和机构</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发行方式</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产品类型</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〖固定收益〗</w:t>
            </w:r>
            <w:r>
              <w:rPr>
                <w:rFonts w:hint="eastAsia" w:ascii="宋体" w:hAnsi="宋体" w:cs="宋体"/>
                <w:color w:val="000000"/>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运作模式</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Cs w:val="21"/>
                <w:highlight w:val="none"/>
              </w:rPr>
            </w:pPr>
            <w:r>
              <w:rPr>
                <w:rFonts w:hint="eastAsia" w:ascii="宋体" w:hAnsi="宋体" w:cs="宋体"/>
                <w:color w:val="000000"/>
                <w:sz w:val="21"/>
                <w:szCs w:val="21"/>
                <w:highlight w:val="none"/>
                <w:lang w:val="en-US" w:eastAsia="zh-CN"/>
              </w:rPr>
              <w:t>分级产品</w:t>
            </w:r>
          </w:p>
        </w:tc>
        <w:tc>
          <w:tcPr>
            <w:tcW w:w="7024" w:type="dxa"/>
            <w:noWrap w:val="0"/>
            <w:vAlign w:val="center"/>
          </w:tcPr>
          <w:p>
            <w:pPr>
              <w:widowControl/>
              <w:spacing w:line="360" w:lineRule="auto"/>
              <w:contextualSpacing/>
              <w:rPr>
                <w:rFonts w:hint="eastAsia" w:ascii="宋体" w:hAnsi="宋体" w:cs="宋体"/>
                <w:szCs w:val="21"/>
                <w:highlight w:val="none"/>
              </w:rPr>
            </w:pPr>
            <w:r>
              <w:rPr>
                <w:rFonts w:hint="eastAsia" w:ascii="宋体" w:hAnsi="宋体" w:cs="宋体"/>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销售范围</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w:t>
            </w:r>
            <w:r>
              <w:rPr>
                <w:rFonts w:hint="eastAsia" w:ascii="宋体" w:hAnsi="宋体" w:cs="宋体"/>
                <w:color w:val="000000"/>
                <w:szCs w:val="21"/>
                <w:highlight w:val="none"/>
              </w:rPr>
              <w:t>全国</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销售渠道</w:t>
            </w:r>
          </w:p>
        </w:tc>
        <w:tc>
          <w:tcPr>
            <w:tcW w:w="7024" w:type="dxa"/>
            <w:noWrap w:val="0"/>
            <w:vAlign w:val="center"/>
          </w:tcPr>
          <w:p>
            <w:pPr>
              <w:widowControl/>
              <w:spacing w:line="360" w:lineRule="auto"/>
              <w:contextualSpacing/>
              <w:jc w:val="left"/>
              <w:rPr>
                <w:rFonts w:ascii="宋体" w:hAnsi="宋体" w:cs="宋体"/>
                <w:color w:val="000000"/>
                <w:szCs w:val="21"/>
                <w:highlight w:val="none"/>
              </w:rPr>
            </w:pPr>
            <w:r>
              <w:rPr>
                <w:rFonts w:hint="eastAsia" w:ascii="宋体" w:hAnsi="宋体" w:cs="宋体"/>
                <w:color w:val="000000"/>
                <w:szCs w:val="21"/>
                <w:highlight w:val="none"/>
              </w:rPr>
              <w:t>可通过销售机构的</w:t>
            </w:r>
            <w:r>
              <w:rPr>
                <w:rFonts w:hint="eastAsia" w:ascii="宋体" w:hAnsi="宋体" w:cs="宋体"/>
                <w:szCs w:val="21"/>
                <w:highlight w:val="none"/>
              </w:rPr>
              <w:t>〖</w:t>
            </w:r>
            <w:r>
              <w:rPr>
                <w:rFonts w:hint="eastAsia" w:ascii="宋体" w:hAnsi="宋体" w:cs="宋体"/>
                <w:color w:val="000000"/>
                <w:szCs w:val="21"/>
                <w:highlight w:val="none"/>
              </w:rPr>
              <w:t>营业网点、网上银行、手机银行</w:t>
            </w:r>
            <w:r>
              <w:rPr>
                <w:rFonts w:hint="eastAsia" w:ascii="宋体" w:hAnsi="宋体" w:cs="宋体"/>
                <w:szCs w:val="21"/>
                <w:highlight w:val="none"/>
              </w:rPr>
              <w:t>〗</w:t>
            </w:r>
            <w:r>
              <w:rPr>
                <w:rFonts w:hint="eastAsia" w:ascii="宋体" w:hAnsi="宋体" w:cs="宋体"/>
                <w:color w:val="000000"/>
                <w:szCs w:val="21"/>
                <w:highlight w:val="none"/>
              </w:rPr>
              <w:t>等渠道购买</w:t>
            </w:r>
            <w:r>
              <w:rPr>
                <w:rFonts w:hint="eastAsia" w:ascii="宋体" w:hAnsi="宋体" w:cs="宋体"/>
                <w:color w:val="000000"/>
                <w:szCs w:val="21"/>
                <w:highlight w:val="none"/>
                <w:lang w:eastAsia="zh-CN"/>
              </w:rPr>
              <w:t>，通过</w:t>
            </w:r>
            <w:r>
              <w:rPr>
                <w:rFonts w:hint="eastAsia" w:ascii="宋体" w:hAnsi="宋体" w:cs="宋体"/>
                <w:color w:val="000000"/>
                <w:szCs w:val="21"/>
                <w:highlight w:val="none"/>
                <w:lang w:val="en-US" w:eastAsia="zh-CN"/>
              </w:rPr>
              <w:t>代理销售机构购买的，具体销售渠道以代理销售机构披露为准</w:t>
            </w:r>
            <w:r>
              <w:rPr>
                <w:rFonts w:hint="eastAsia" w:ascii="宋体" w:hAnsi="宋体" w:cs="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交易币种</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w:t>
            </w:r>
            <w:r>
              <w:rPr>
                <w:rFonts w:hint="eastAsia" w:ascii="宋体" w:hAnsi="宋体" w:cs="宋体"/>
                <w:color w:val="000000"/>
                <w:szCs w:val="21"/>
                <w:highlight w:val="none"/>
              </w:rPr>
              <w:t>人民币</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发行规模</w:t>
            </w:r>
          </w:p>
        </w:tc>
        <w:tc>
          <w:tcPr>
            <w:tcW w:w="7024" w:type="dxa"/>
            <w:noWrap w:val="0"/>
            <w:vAlign w:val="center"/>
          </w:tcPr>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发行规模下限为</w:t>
            </w:r>
            <w:r>
              <w:rPr>
                <w:rFonts w:hint="eastAsia" w:ascii="宋体" w:hAnsi="宋体"/>
                <w:color w:val="000000"/>
                <w:szCs w:val="21"/>
                <w:highlight w:val="none"/>
              </w:rPr>
              <w:t>〖0.2〗</w:t>
            </w:r>
            <w:r>
              <w:rPr>
                <w:rFonts w:hint="eastAsia" w:ascii="宋体" w:hAnsi="宋体" w:cs="宋体"/>
                <w:color w:val="000000"/>
                <w:szCs w:val="21"/>
                <w:highlight w:val="none"/>
              </w:rPr>
              <w:t>亿元</w:t>
            </w:r>
            <w:r>
              <w:rPr>
                <w:rFonts w:hint="eastAsia" w:ascii="宋体" w:hAnsi="宋体" w:cs="宋体"/>
                <w:color w:val="000000"/>
                <w:kern w:val="0"/>
                <w:highlight w:val="none"/>
              </w:rPr>
              <w:t>，</w:t>
            </w:r>
            <w:r>
              <w:rPr>
                <w:rFonts w:hint="eastAsia" w:ascii="宋体" w:hAnsi="宋体" w:cs="宋体"/>
                <w:color w:val="000000"/>
                <w:szCs w:val="21"/>
                <w:highlight w:val="none"/>
              </w:rPr>
              <w:t>若认购金额未达到规模下限则管理人有权决定产品不成立。</w:t>
            </w:r>
            <w:r>
              <w:rPr>
                <w:rFonts w:hint="eastAsia" w:ascii="宋体" w:hAnsi="宋体" w:cs="宋体"/>
                <w:color w:val="000000"/>
                <w:kern w:val="0"/>
                <w:highlight w:val="none"/>
              </w:rPr>
              <w:t>产品规模上限为</w:t>
            </w:r>
            <w:r>
              <w:rPr>
                <w:rFonts w:hint="eastAsia" w:ascii="宋体" w:hAnsi="宋体"/>
                <w:color w:val="000000"/>
                <w:szCs w:val="21"/>
                <w:highlight w:val="none"/>
              </w:rPr>
              <w:t>〖2</w:t>
            </w:r>
            <w:r>
              <w:rPr>
                <w:rFonts w:hint="eastAsia" w:ascii="宋体" w:hAnsi="宋体"/>
                <w:color w:val="000000"/>
                <w:szCs w:val="21"/>
                <w:highlight w:val="none"/>
                <w:lang w:val="en-US" w:eastAsia="zh-CN"/>
              </w:rPr>
              <w:t>5</w:t>
            </w:r>
            <w:r>
              <w:rPr>
                <w:rFonts w:hint="eastAsia" w:ascii="宋体" w:hAnsi="宋体"/>
                <w:color w:val="000000"/>
                <w:szCs w:val="21"/>
                <w:highlight w:val="none"/>
              </w:rPr>
              <w:t>0〗</w:t>
            </w:r>
            <w:r>
              <w:rPr>
                <w:rFonts w:hint="eastAsia" w:ascii="宋体" w:hAnsi="宋体" w:cs="宋体"/>
                <w:color w:val="000000"/>
                <w:kern w:val="0"/>
                <w:highlight w:val="none"/>
              </w:rPr>
              <w:t>亿元，</w:t>
            </w:r>
            <w:r>
              <w:rPr>
                <w:rFonts w:hint="eastAsia" w:ascii="宋体" w:hAnsi="宋体" w:cs="宋体"/>
                <w:color w:val="000000"/>
                <w:szCs w:val="21"/>
                <w:highlight w:val="none"/>
              </w:rPr>
              <w:t>若认购或申购金额超过规模上限，则管理人有权暂停接受认购或申购申请。</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管理人有权根据市场情况或理财计划实际投资运作的情况调整理财计划规模上限，</w:t>
            </w:r>
            <w:r>
              <w:rPr>
                <w:rFonts w:hint="eastAsia" w:ascii="宋体" w:hAnsi="宋体" w:cs="宋体"/>
                <w:szCs w:val="21"/>
                <w:highlight w:val="none"/>
              </w:rPr>
              <w:t>并至少于调整前</w:t>
            </w:r>
            <w:r>
              <w:rPr>
                <w:rFonts w:hint="eastAsia" w:ascii="宋体" w:hAnsi="宋体" w:cs="宋体"/>
                <w:kern w:val="0"/>
                <w:highlight w:val="none"/>
              </w:rPr>
              <w:t>〖3〗</w:t>
            </w:r>
            <w:r>
              <w:rPr>
                <w:rFonts w:hint="eastAsia" w:ascii="宋体" w:hAnsi="宋体" w:cs="宋体"/>
                <w:szCs w:val="21"/>
                <w:highlight w:val="none"/>
              </w:rPr>
              <w:t>个工作日公告。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认购期</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〖2021〗年〖7〗月〖30〗日-〖2021〗年〖8〗月〖4〗日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认购时间</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认购期首日〖9：00〗至认购结束日〖17：00〗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成立日</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〖2021〗年〖8〗月〖5〗日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理财期限</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无固定期限（实际理财期限受制于管理人终止权等条款）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封闭期</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〖2021〗年〖8〗月〖5〗日-〖2021〗年〖8〗月〖18〗日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认购/申购</w:t>
            </w:r>
          </w:p>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起点金额</w:t>
            </w:r>
          </w:p>
        </w:tc>
        <w:tc>
          <w:tcPr>
            <w:tcW w:w="7024" w:type="dxa"/>
            <w:noWrap w:val="0"/>
            <w:vAlign w:val="center"/>
          </w:tcPr>
          <w:p>
            <w:pPr>
              <w:widowControl/>
              <w:spacing w:line="360" w:lineRule="auto"/>
              <w:contextualSpacing/>
              <w:rPr>
                <w:rFonts w:hint="eastAsia" w:ascii="宋体" w:hAnsi="宋体" w:cs="宋体"/>
                <w:color w:val="000000"/>
                <w:szCs w:val="21"/>
                <w:highlight w:val="none"/>
              </w:rPr>
            </w:pPr>
            <w:r>
              <w:rPr>
                <w:rFonts w:hint="eastAsia" w:ascii="宋体" w:hAnsi="宋体" w:cs="宋体"/>
                <w:szCs w:val="21"/>
                <w:highlight w:val="none"/>
              </w:rPr>
              <w:t>〖</w:t>
            </w:r>
            <w:r>
              <w:rPr>
                <w:rFonts w:hint="eastAsia" w:ascii="宋体" w:hAnsi="宋体" w:cs="宋体"/>
                <w:b w:val="0"/>
                <w:bCs/>
                <w:color w:val="000000"/>
                <w:sz w:val="21"/>
                <w:szCs w:val="21"/>
                <w:highlight w:val="none"/>
                <w:lang w:val="en-US" w:eastAsia="zh-CN"/>
              </w:rPr>
              <w:t>A份额</w:t>
            </w:r>
            <w:r>
              <w:rPr>
                <w:rFonts w:hint="eastAsia" w:ascii="宋体" w:hAnsi="宋体" w:cs="宋体"/>
                <w:szCs w:val="21"/>
                <w:highlight w:val="none"/>
              </w:rPr>
              <w:t>〗</w:t>
            </w:r>
            <w:r>
              <w:rPr>
                <w:rFonts w:hint="eastAsia" w:ascii="宋体" w:hAnsi="宋体" w:cs="宋体"/>
                <w:color w:val="000000"/>
                <w:szCs w:val="21"/>
                <w:highlight w:val="none"/>
              </w:rPr>
              <w:t>起点</w:t>
            </w:r>
            <w:r>
              <w:rPr>
                <w:rFonts w:hint="eastAsia" w:ascii="宋体" w:hAnsi="宋体" w:cs="宋体"/>
                <w:szCs w:val="21"/>
                <w:highlight w:val="none"/>
              </w:rPr>
              <w:t>〖1〗</w:t>
            </w:r>
            <w:r>
              <w:rPr>
                <w:rFonts w:hint="eastAsia" w:ascii="宋体" w:hAnsi="宋体" w:cs="宋体"/>
                <w:color w:val="000000"/>
                <w:szCs w:val="21"/>
                <w:highlight w:val="none"/>
              </w:rPr>
              <w:t>元整，超过认购/申购起点部分，应为</w:t>
            </w:r>
            <w:r>
              <w:rPr>
                <w:rFonts w:hint="eastAsia" w:ascii="宋体" w:hAnsi="宋体" w:cs="宋体"/>
                <w:szCs w:val="21"/>
                <w:highlight w:val="none"/>
              </w:rPr>
              <w:t>〖1〗</w:t>
            </w:r>
            <w:r>
              <w:rPr>
                <w:rFonts w:hint="eastAsia" w:ascii="宋体" w:hAnsi="宋体" w:cs="宋体"/>
                <w:color w:val="000000"/>
                <w:szCs w:val="21"/>
                <w:highlight w:val="none"/>
              </w:rPr>
              <w:t>元的整数倍。</w:t>
            </w:r>
          </w:p>
          <w:p>
            <w:pPr>
              <w:widowControl/>
              <w:spacing w:line="360" w:lineRule="auto"/>
              <w:contextualSpacing/>
              <w:rPr>
                <w:rFonts w:hint="eastAsia" w:ascii="宋体" w:hAnsi="宋体" w:cs="宋体"/>
                <w:color w:val="000000"/>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B</w:t>
            </w:r>
            <w:r>
              <w:rPr>
                <w:rFonts w:hint="eastAsia" w:ascii="宋体" w:hAnsi="宋体" w:cs="宋体"/>
                <w:b w:val="0"/>
                <w:bCs/>
                <w:color w:val="000000"/>
                <w:sz w:val="21"/>
                <w:szCs w:val="21"/>
                <w:highlight w:val="none"/>
                <w:lang w:val="en-US" w:eastAsia="zh-CN"/>
              </w:rPr>
              <w:t>份额</w:t>
            </w:r>
            <w:r>
              <w:rPr>
                <w:rFonts w:hint="eastAsia" w:ascii="宋体" w:hAnsi="宋体" w:cs="宋体"/>
                <w:szCs w:val="21"/>
                <w:highlight w:val="none"/>
              </w:rPr>
              <w:t>〗</w:t>
            </w:r>
            <w:r>
              <w:rPr>
                <w:rFonts w:hint="eastAsia" w:ascii="宋体" w:hAnsi="宋体" w:cs="宋体"/>
                <w:color w:val="000000"/>
                <w:szCs w:val="21"/>
                <w:highlight w:val="none"/>
              </w:rPr>
              <w:t>起点</w:t>
            </w:r>
            <w:r>
              <w:rPr>
                <w:rFonts w:hint="eastAsia" w:ascii="宋体" w:hAnsi="宋体" w:cs="宋体"/>
                <w:szCs w:val="21"/>
                <w:highlight w:val="none"/>
              </w:rPr>
              <w:t>〖1〗</w:t>
            </w:r>
            <w:r>
              <w:rPr>
                <w:rFonts w:hint="eastAsia" w:ascii="宋体" w:hAnsi="宋体" w:cs="宋体"/>
                <w:color w:val="000000"/>
                <w:szCs w:val="21"/>
                <w:highlight w:val="none"/>
              </w:rPr>
              <w:t>元整，超过认购/申购起点部分，应为</w:t>
            </w:r>
            <w:r>
              <w:rPr>
                <w:rFonts w:hint="eastAsia" w:ascii="宋体" w:hAnsi="宋体" w:cs="宋体"/>
                <w:szCs w:val="21"/>
                <w:highlight w:val="none"/>
              </w:rPr>
              <w:t>〖1〗</w:t>
            </w:r>
            <w:r>
              <w:rPr>
                <w:rFonts w:hint="eastAsia" w:ascii="宋体" w:hAnsi="宋体" w:cs="宋体"/>
                <w:color w:val="000000"/>
                <w:szCs w:val="21"/>
                <w:highlight w:val="none"/>
              </w:rPr>
              <w:t>元的整数倍。</w:t>
            </w:r>
          </w:p>
          <w:p>
            <w:pPr>
              <w:widowControl/>
              <w:spacing w:line="360" w:lineRule="auto"/>
              <w:contextualSpacing/>
              <w:rPr>
                <w:rFonts w:hint="eastAsia" w:ascii="宋体" w:hAnsi="宋体" w:cs="宋体"/>
                <w:color w:val="000000"/>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C</w:t>
            </w:r>
            <w:r>
              <w:rPr>
                <w:rFonts w:hint="eastAsia" w:ascii="宋体" w:hAnsi="宋体" w:cs="宋体"/>
                <w:b w:val="0"/>
                <w:bCs/>
                <w:color w:val="000000"/>
                <w:sz w:val="21"/>
                <w:szCs w:val="21"/>
                <w:highlight w:val="none"/>
                <w:lang w:val="en-US" w:eastAsia="zh-CN"/>
              </w:rPr>
              <w:t>份额</w:t>
            </w:r>
            <w:r>
              <w:rPr>
                <w:rFonts w:hint="eastAsia" w:ascii="宋体" w:hAnsi="宋体" w:cs="宋体"/>
                <w:szCs w:val="21"/>
                <w:highlight w:val="none"/>
              </w:rPr>
              <w:t>〗</w:t>
            </w:r>
            <w:r>
              <w:rPr>
                <w:rFonts w:hint="eastAsia" w:ascii="宋体" w:hAnsi="宋体" w:cs="宋体"/>
                <w:color w:val="000000"/>
                <w:szCs w:val="21"/>
                <w:highlight w:val="none"/>
              </w:rPr>
              <w:t>起点</w:t>
            </w:r>
            <w:r>
              <w:rPr>
                <w:rFonts w:hint="eastAsia" w:ascii="宋体" w:hAnsi="宋体" w:cs="宋体"/>
                <w:szCs w:val="21"/>
                <w:highlight w:val="none"/>
              </w:rPr>
              <w:t>〖1〗</w:t>
            </w:r>
            <w:r>
              <w:rPr>
                <w:rFonts w:hint="eastAsia" w:ascii="宋体" w:hAnsi="宋体" w:cs="宋体"/>
                <w:color w:val="000000"/>
                <w:szCs w:val="21"/>
                <w:highlight w:val="none"/>
              </w:rPr>
              <w:t>元整，超过认购/申购起点部分，应为</w:t>
            </w:r>
            <w:r>
              <w:rPr>
                <w:rFonts w:hint="eastAsia" w:ascii="宋体" w:hAnsi="宋体" w:cs="宋体"/>
                <w:szCs w:val="21"/>
                <w:highlight w:val="none"/>
              </w:rPr>
              <w:t>〖1〗</w:t>
            </w:r>
            <w:r>
              <w:rPr>
                <w:rFonts w:hint="eastAsia" w:ascii="宋体" w:hAnsi="宋体" w:cs="宋体"/>
                <w:color w:val="000000"/>
                <w:szCs w:val="21"/>
                <w:highlight w:val="none"/>
              </w:rPr>
              <w:t>元的整数倍。</w:t>
            </w:r>
            <w:r>
              <w:rPr>
                <w:rFonts w:hint="eastAsia" w:ascii="宋体" w:hAnsi="宋体" w:cs="宋体"/>
                <w:szCs w:val="21"/>
                <w:highlight w:val="none"/>
              </w:rPr>
              <w:t>〖</w:t>
            </w:r>
            <w:r>
              <w:rPr>
                <w:rFonts w:hint="eastAsia" w:ascii="宋体" w:hAnsi="宋体" w:cs="宋体"/>
                <w:szCs w:val="21"/>
                <w:highlight w:val="none"/>
                <w:lang w:val="en-US" w:eastAsia="zh-CN"/>
              </w:rPr>
              <w:t>P</w:t>
            </w:r>
            <w:r>
              <w:rPr>
                <w:rFonts w:hint="eastAsia" w:ascii="宋体" w:hAnsi="宋体" w:cs="宋体"/>
                <w:b w:val="0"/>
                <w:bCs/>
                <w:color w:val="000000"/>
                <w:sz w:val="21"/>
                <w:szCs w:val="21"/>
                <w:highlight w:val="none"/>
                <w:lang w:val="en-US" w:eastAsia="zh-CN"/>
              </w:rPr>
              <w:t>份额</w:t>
            </w:r>
            <w:r>
              <w:rPr>
                <w:rFonts w:hint="eastAsia" w:ascii="宋体" w:hAnsi="宋体" w:cs="宋体"/>
                <w:szCs w:val="21"/>
                <w:highlight w:val="none"/>
              </w:rPr>
              <w:t>〗</w:t>
            </w:r>
            <w:r>
              <w:rPr>
                <w:rFonts w:hint="eastAsia" w:ascii="宋体" w:hAnsi="宋体" w:cs="宋体"/>
                <w:color w:val="000000"/>
                <w:szCs w:val="21"/>
                <w:highlight w:val="none"/>
              </w:rPr>
              <w:t>起点</w:t>
            </w:r>
            <w:r>
              <w:rPr>
                <w:rFonts w:hint="eastAsia" w:ascii="宋体" w:hAnsi="宋体" w:cs="宋体"/>
                <w:szCs w:val="21"/>
                <w:highlight w:val="none"/>
              </w:rPr>
              <w:t>〖1〗</w:t>
            </w:r>
            <w:r>
              <w:rPr>
                <w:rFonts w:hint="eastAsia" w:ascii="宋体" w:hAnsi="宋体" w:cs="宋体"/>
                <w:color w:val="000000"/>
                <w:szCs w:val="21"/>
                <w:highlight w:val="none"/>
              </w:rPr>
              <w:t>元整，超过认购/申购起点部分，应为</w:t>
            </w:r>
            <w:r>
              <w:rPr>
                <w:rFonts w:hint="eastAsia" w:ascii="宋体" w:hAnsi="宋体" w:cs="宋体"/>
                <w:szCs w:val="21"/>
                <w:highlight w:val="none"/>
              </w:rPr>
              <w:t>〖1〗</w:t>
            </w:r>
            <w:r>
              <w:rPr>
                <w:rFonts w:hint="eastAsia" w:ascii="宋体" w:hAnsi="宋体" w:cs="宋体"/>
                <w:color w:val="000000"/>
                <w:szCs w:val="21"/>
                <w:highlight w:val="none"/>
              </w:rPr>
              <w:t>元的整数倍。</w:t>
            </w:r>
          </w:p>
          <w:p>
            <w:pPr>
              <w:widowControl/>
              <w:spacing w:line="360" w:lineRule="auto"/>
              <w:contextualSpacing/>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具体以销售机构销售要素为准</w:t>
            </w:r>
            <w:r>
              <w:rPr>
                <w:rFonts w:hint="eastAsia" w:ascii="宋体" w:hAnsi="宋体" w:cs="宋体"/>
                <w:color w:val="00000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认购份额</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产品成立</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Cs w:val="21"/>
                <w:highlight w:val="none"/>
              </w:rPr>
              <w:t>〖2000〗</w:t>
            </w:r>
            <w:r>
              <w:rPr>
                <w:rFonts w:hint="eastAsia" w:ascii="宋体" w:hAnsi="宋体" w:cs="宋体"/>
                <w:color w:val="000000"/>
                <w:szCs w:val="21"/>
                <w:highlight w:val="none"/>
              </w:rPr>
              <w:t>万元，则管理人可宣布本理财计划不成立并在原定理财计划成立日后</w:t>
            </w:r>
            <w:r>
              <w:rPr>
                <w:rFonts w:hint="eastAsia" w:ascii="宋体" w:hAnsi="宋体" w:cs="宋体"/>
                <w:szCs w:val="21"/>
                <w:highlight w:val="none"/>
              </w:rPr>
              <w:t>〖</w:t>
            </w:r>
            <w:r>
              <w:rPr>
                <w:rFonts w:hint="eastAsia" w:ascii="宋体" w:hAnsi="宋体" w:cs="宋体"/>
                <w:color w:val="000000"/>
                <w:szCs w:val="21"/>
                <w:highlight w:val="none"/>
              </w:rPr>
              <w:t>2</w:t>
            </w:r>
            <w:r>
              <w:rPr>
                <w:rFonts w:hint="eastAsia" w:ascii="宋体" w:hAnsi="宋体" w:cs="宋体"/>
                <w:szCs w:val="21"/>
                <w:highlight w:val="none"/>
              </w:rPr>
              <w:t>〗</w:t>
            </w:r>
            <w:r>
              <w:rPr>
                <w:rFonts w:hint="eastAsia" w:ascii="宋体" w:hAnsi="宋体" w:cs="宋体"/>
                <w:color w:val="000000"/>
                <w:szCs w:val="21"/>
                <w:highlight w:val="none"/>
              </w:rPr>
              <w:t>个工作日内通过管理人或销售机构发布不成立信息，投资者购买的理财资金将在原定成立日后2个工作日内划转至投资者指定理财账户，</w:t>
            </w:r>
            <w:r>
              <w:rPr>
                <w:rFonts w:hint="eastAsia" w:ascii="宋体" w:hAnsi="宋体" w:cs="宋体"/>
                <w:b/>
                <w:color w:val="000000"/>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申购开放期</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本理财计划申购开放期为</w:t>
            </w:r>
            <w:r>
              <w:rPr>
                <w:rFonts w:hint="eastAsia" w:ascii="宋体" w:hAnsi="宋体" w:cs="宋体"/>
                <w:szCs w:val="21"/>
                <w:highlight w:val="none"/>
              </w:rPr>
              <w:t>〖封闭期后的每个交易日〗,</w:t>
            </w:r>
            <w:r>
              <w:rPr>
                <w:rFonts w:hint="eastAsia" w:ascii="宋体" w:hAnsi="宋体" w:cs="宋体"/>
                <w:color w:val="000000"/>
                <w:kern w:val="0"/>
                <w:highlight w:val="none"/>
              </w:rPr>
              <w:t>申购确认日为开放期的下一个交易日。在开放期开放时间内提交的申购申请将作为当日申购申请处理；在开放期开放时间结束后及非开放期提交的申购申请将作为下一开放期的申购申请处理。如遇节假日，申购确认日顺延至下一个交易日，如遇特殊情况具体</w:t>
            </w:r>
            <w:r>
              <w:rPr>
                <w:rFonts w:hint="eastAsia" w:ascii="宋体" w:hAnsi="宋体" w:cs="宋体"/>
                <w:szCs w:val="21"/>
                <w:highlight w:val="none"/>
              </w:rPr>
              <w:t>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投资周期</w:t>
            </w:r>
          </w:p>
        </w:tc>
        <w:tc>
          <w:tcPr>
            <w:tcW w:w="7024" w:type="dxa"/>
            <w:noWrap w:val="0"/>
            <w:vAlign w:val="center"/>
          </w:tcPr>
          <w:p>
            <w:pPr>
              <w:widowControl/>
              <w:spacing w:line="360" w:lineRule="auto"/>
              <w:rPr>
                <w:rFonts w:ascii="宋体" w:hAnsi="宋体" w:cs="宋体"/>
                <w:color w:val="000000"/>
                <w:szCs w:val="21"/>
                <w:highlight w:val="none"/>
              </w:rPr>
            </w:pPr>
            <w:r>
              <w:rPr>
                <w:rFonts w:hint="eastAsia" w:ascii="宋体" w:hAnsi="宋体" w:cs="宋体"/>
                <w:color w:val="000000"/>
                <w:szCs w:val="21"/>
                <w:highlight w:val="none"/>
              </w:rPr>
              <w:t>本理财计划的单个投资周期一般为90天。每笔份额的单个投资周期的起始日为成立日或申购确认日或上个投资周期结束日的</w:t>
            </w:r>
            <w:r>
              <w:rPr>
                <w:rFonts w:ascii="宋体" w:hAnsi="宋体" w:cs="宋体"/>
                <w:color w:val="000000"/>
                <w:szCs w:val="21"/>
                <w:highlight w:val="none"/>
              </w:rPr>
              <w:t>次日</w:t>
            </w:r>
            <w:r>
              <w:rPr>
                <w:rFonts w:hint="eastAsia" w:ascii="宋体" w:hAnsi="宋体" w:cs="宋体"/>
                <w:color w:val="000000"/>
                <w:szCs w:val="21"/>
                <w:highlight w:val="none"/>
              </w:rPr>
              <w:t>，自起始日起每90天为一个投资周期。投资者可就每笔份额持有单个或多个投资周期。</w:t>
            </w:r>
          </w:p>
          <w:p>
            <w:pPr>
              <w:widowControl/>
              <w:spacing w:line="360" w:lineRule="auto"/>
              <w:rPr>
                <w:rFonts w:ascii="宋体" w:hAnsi="宋体" w:cs="宋体"/>
                <w:color w:val="000000"/>
                <w:szCs w:val="21"/>
                <w:highlight w:val="none"/>
              </w:rPr>
            </w:pPr>
            <w:r>
              <w:rPr>
                <w:rFonts w:hint="eastAsia" w:ascii="宋体" w:hAnsi="宋体" w:cs="宋体"/>
                <w:color w:val="000000"/>
                <w:szCs w:val="21"/>
                <w:highlight w:val="none"/>
              </w:rPr>
              <w:t>如产品终止时投资者持有份额的天数小于单个投资周期，则该笔份额的投资周期天数按实际持有天数计算。</w:t>
            </w:r>
          </w:p>
          <w:p>
            <w:pPr>
              <w:widowControl/>
              <w:spacing w:line="360" w:lineRule="auto"/>
              <w:rPr>
                <w:rFonts w:ascii="宋体" w:hAnsi="宋体" w:cs="宋体"/>
                <w:color w:val="000000"/>
                <w:szCs w:val="21"/>
                <w:highlight w:val="none"/>
              </w:rPr>
            </w:pPr>
            <w:r>
              <w:rPr>
                <w:rFonts w:hint="eastAsia" w:ascii="宋体" w:hAnsi="宋体" w:cs="宋体"/>
                <w:color w:val="000000"/>
                <w:szCs w:val="21"/>
                <w:highlight w:val="none"/>
              </w:rPr>
              <w:t>投资者可在投资周期内根据赎回规定选择当前投资周期结束后是否赎回本理财计划。投资周期结束日如遇非交易日，则自动顺延至下一交易日，该投资周期天数相应延长。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赎回规定</w:t>
            </w:r>
          </w:p>
        </w:tc>
        <w:tc>
          <w:tcPr>
            <w:tcW w:w="7024" w:type="dxa"/>
            <w:noWrap w:val="0"/>
            <w:vAlign w:val="center"/>
          </w:tcPr>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1.到期方式选择</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投资者在购买本理财计划时应对每笔份额的到期方式选择“自动赎回”或“自动续期”。如投资者选择“自动赎回”，则该笔投资份额在当前投资周期结束后自动赎回；如投资者选择“自动续期”，则该笔投资份额在当前投资周期结束后自动续期，直至投资者将到期方式修改为“自动赎回”或产品终止。</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2.到期方式修改</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在每笔份额存续</w:t>
            </w:r>
            <w:r>
              <w:rPr>
                <w:rFonts w:hint="eastAsia" w:ascii="宋体" w:hAnsi="宋体" w:cs="宋体"/>
                <w:color w:val="000000"/>
                <w:szCs w:val="21"/>
                <w:highlight w:val="none"/>
                <w:lang w:val="en-US" w:eastAsia="zh-CN"/>
              </w:rPr>
              <w:t>期间，投资者可以修改当前投资周期的到期方式，</w:t>
            </w:r>
            <w:r>
              <w:rPr>
                <w:rFonts w:hint="eastAsia" w:ascii="宋体" w:hAnsi="宋体" w:cs="宋体"/>
                <w:color w:val="000000"/>
                <w:szCs w:val="21"/>
                <w:highlight w:val="none"/>
              </w:rPr>
              <w:t>当前投资周期结束日前2个交易日</w:t>
            </w:r>
            <w:r>
              <w:rPr>
                <w:rFonts w:hint="eastAsia" w:ascii="宋体" w:hAnsi="宋体" w:cs="宋体"/>
                <w:color w:val="000000"/>
                <w:szCs w:val="21"/>
                <w:highlight w:val="none"/>
                <w:lang w:val="en-US" w:eastAsia="zh-CN"/>
              </w:rPr>
              <w:t>至该周期结束日（含）除外</w:t>
            </w:r>
            <w:r>
              <w:rPr>
                <w:rFonts w:hint="eastAsia" w:ascii="宋体" w:hAnsi="宋体" w:cs="宋体"/>
                <w:color w:val="000000"/>
                <w:szCs w:val="21"/>
                <w:highlight w:val="none"/>
              </w:rPr>
              <w:t>。</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3.赎回确认</w:t>
            </w:r>
          </w:p>
          <w:p>
            <w:pPr>
              <w:widowControl/>
              <w:spacing w:line="360" w:lineRule="auto"/>
              <w:jc w:val="left"/>
              <w:rPr>
                <w:rFonts w:ascii="宋体" w:hAnsi="宋体" w:cs="宋体"/>
                <w:color w:val="000000"/>
                <w:szCs w:val="21"/>
                <w:highlight w:val="none"/>
              </w:rPr>
            </w:pPr>
            <w:r>
              <w:rPr>
                <w:rFonts w:hint="eastAsia" w:ascii="宋体" w:hAnsi="宋体" w:cs="宋体"/>
                <w:bCs/>
                <w:szCs w:val="21"/>
                <w:highlight w:val="none"/>
              </w:rPr>
              <w:t>赎回份额将于</w:t>
            </w:r>
            <w:r>
              <w:rPr>
                <w:rFonts w:hint="eastAsia" w:ascii="宋体" w:hAnsi="宋体" w:cs="宋体"/>
                <w:color w:val="000000"/>
                <w:szCs w:val="21"/>
                <w:highlight w:val="none"/>
              </w:rPr>
              <w:t>赎回确认日确认，赎回确认日为投资者选择“自动赎回”方式当期投资周期结束日的下一个交易日。</w:t>
            </w:r>
          </w:p>
          <w:p>
            <w:pPr>
              <w:widowControl/>
              <w:spacing w:line="360" w:lineRule="auto"/>
              <w:jc w:val="left"/>
              <w:rPr>
                <w:rFonts w:ascii="宋体" w:hAnsi="宋体" w:cs="宋体"/>
                <w:bCs/>
                <w:szCs w:val="21"/>
                <w:highlight w:val="none"/>
              </w:rPr>
            </w:pPr>
            <w:r>
              <w:rPr>
                <w:rFonts w:hint="eastAsia" w:ascii="宋体" w:hAnsi="宋体" w:cs="宋体"/>
                <w:color w:val="000000"/>
                <w:szCs w:val="21"/>
                <w:highlight w:val="none"/>
              </w:rPr>
              <w:t>赎回金额=赎</w:t>
            </w:r>
            <w:r>
              <w:rPr>
                <w:rFonts w:hint="eastAsia" w:ascii="宋体" w:hAnsi="宋体" w:cs="宋体"/>
                <w:bCs/>
                <w:szCs w:val="21"/>
                <w:highlight w:val="none"/>
              </w:rPr>
              <w:t>回份额×赎回确认日前一日</w:t>
            </w:r>
            <w:r>
              <w:rPr>
                <w:rFonts w:hint="eastAsia" w:ascii="宋体" w:hAnsi="宋体" w:cs="宋体"/>
                <w:color w:val="000000"/>
                <w:szCs w:val="21"/>
                <w:highlight w:val="none"/>
              </w:rPr>
              <w:t>的单位净</w:t>
            </w:r>
            <w:r>
              <w:rPr>
                <w:rFonts w:hint="eastAsia" w:ascii="宋体" w:hAnsi="宋体" w:cs="宋体"/>
                <w:bCs/>
                <w:szCs w:val="21"/>
                <w:highlight w:val="none"/>
              </w:rPr>
              <w:t>值。</w:t>
            </w:r>
          </w:p>
          <w:p>
            <w:pPr>
              <w:widowControl/>
              <w:spacing w:line="360" w:lineRule="auto"/>
              <w:jc w:val="left"/>
              <w:rPr>
                <w:rFonts w:ascii="宋体" w:hAnsi="宋体" w:cs="宋体"/>
                <w:color w:val="000000"/>
                <w:szCs w:val="21"/>
                <w:highlight w:val="none"/>
              </w:rPr>
            </w:pPr>
            <w:r>
              <w:rPr>
                <w:rFonts w:hint="eastAsia" w:ascii="宋体" w:hAnsi="宋体" w:cs="宋体"/>
                <w:bCs/>
                <w:szCs w:val="21"/>
                <w:highlight w:val="none"/>
              </w:rPr>
              <w:t>（具体赎回规定与到期方式选择以销售机构要求为准）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交易时间</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1.本理财计划在</w:t>
            </w:r>
            <w:r>
              <w:rPr>
                <w:rFonts w:hint="eastAsia" w:ascii="宋体" w:hAnsi="宋体" w:cs="宋体"/>
                <w:color w:val="000000"/>
                <w:kern w:val="0"/>
                <w:highlight w:val="none"/>
              </w:rPr>
              <w:t>认购时间内均可进行认购或撤单。</w:t>
            </w:r>
          </w:p>
          <w:p>
            <w:pPr>
              <w:widowControl/>
              <w:spacing w:line="360" w:lineRule="auto"/>
              <w:contextualSpacing/>
              <w:rPr>
                <w:rFonts w:hint="eastAsia" w:ascii="宋体" w:hAnsi="宋体" w:cs="宋体"/>
                <w:color w:val="000000"/>
                <w:szCs w:val="21"/>
                <w:highlight w:val="none"/>
              </w:rPr>
            </w:pPr>
            <w:r>
              <w:rPr>
                <w:rFonts w:hint="eastAsia" w:ascii="宋体" w:hAnsi="宋体" w:cs="宋体"/>
                <w:color w:val="000000"/>
                <w:szCs w:val="21"/>
                <w:highlight w:val="none"/>
              </w:rPr>
              <w:t>2.本理财计划在申购开放期的工作时间内均可进行申购或撤单。</w:t>
            </w:r>
          </w:p>
          <w:p>
            <w:pPr>
              <w:widowControl/>
              <w:spacing w:line="360" w:lineRule="auto"/>
              <w:contextualSpacing/>
              <w:rPr>
                <w:rFonts w:hint="eastAsia" w:ascii="宋体" w:hAnsi="宋体" w:cs="宋体"/>
                <w:color w:val="000000"/>
                <w:szCs w:val="21"/>
                <w:highlight w:val="none"/>
              </w:rPr>
            </w:pPr>
            <w:r>
              <w:rPr>
                <w:rFonts w:hint="eastAsia" w:ascii="宋体" w:hAnsi="宋体" w:cs="宋体"/>
                <w:color w:val="000000"/>
                <w:szCs w:val="21"/>
                <w:highlight w:val="none"/>
              </w:rPr>
              <w:t>3.本理财计划的工作时间为每个交易日的上午〖9:00〗至下午〖17:00〗。</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具体以销售机构销售要素为准</w:t>
            </w:r>
            <w:r>
              <w:rPr>
                <w:rFonts w:hint="eastAsia" w:ascii="宋体" w:hAnsi="宋体" w:cs="宋体"/>
                <w:color w:val="00000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Cs w:val="21"/>
                <w:highlight w:val="none"/>
              </w:rPr>
            </w:pPr>
            <w:r>
              <w:rPr>
                <w:rFonts w:hint="eastAsia" w:ascii="宋体" w:hAnsi="宋体" w:cs="宋体"/>
                <w:color w:val="000000"/>
                <w:szCs w:val="21"/>
                <w:highlight w:val="none"/>
              </w:rPr>
              <w:t>巨额赎回</w:t>
            </w:r>
          </w:p>
        </w:tc>
        <w:tc>
          <w:tcPr>
            <w:tcW w:w="7024" w:type="dxa"/>
            <w:noWrap w:val="0"/>
            <w:vAlign w:val="center"/>
          </w:tcPr>
          <w:p>
            <w:pPr>
              <w:widowControl/>
              <w:spacing w:line="360" w:lineRule="auto"/>
              <w:contextualSpacing/>
              <w:rPr>
                <w:rFonts w:hint="eastAsia" w:ascii="宋体" w:hAnsi="宋体" w:cs="宋体"/>
                <w:szCs w:val="21"/>
                <w:highlight w:val="none"/>
              </w:rPr>
            </w:pPr>
            <w:r>
              <w:rPr>
                <w:rFonts w:hint="eastAsia" w:ascii="宋体" w:hAnsi="宋体" w:cs="宋体"/>
                <w:color w:val="000000"/>
                <w:szCs w:val="21"/>
                <w:highlight w:val="none"/>
              </w:rPr>
              <w:t>理财计划存续期内，若理财计划开放期净赎回申请份额超过上一确认日日终理财计划总份额</w:t>
            </w:r>
            <w:r>
              <w:rPr>
                <w:rFonts w:hint="eastAsia" w:ascii="宋体" w:hAnsi="宋体" w:cs="宋体"/>
                <w:szCs w:val="21"/>
                <w:highlight w:val="none"/>
              </w:rPr>
              <w:t>〖</w:t>
            </w:r>
            <w:r>
              <w:rPr>
                <w:rFonts w:hint="eastAsia" w:ascii="宋体" w:hAnsi="宋体" w:cs="宋体"/>
                <w:color w:val="000000"/>
                <w:szCs w:val="21"/>
                <w:highlight w:val="none"/>
              </w:rPr>
              <w:t>10%</w:t>
            </w:r>
            <w:r>
              <w:rPr>
                <w:rFonts w:hint="eastAsia" w:ascii="宋体" w:hAnsi="宋体" w:cs="宋体"/>
                <w:szCs w:val="21"/>
                <w:highlight w:val="none"/>
              </w:rPr>
              <w:t>〗</w:t>
            </w:r>
            <w:r>
              <w:rPr>
                <w:rFonts w:hint="eastAsia" w:ascii="宋体" w:hAnsi="宋体" w:cs="宋体"/>
                <w:color w:val="000000"/>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单户限额</w:t>
            </w:r>
          </w:p>
        </w:tc>
        <w:tc>
          <w:tcPr>
            <w:tcW w:w="7024" w:type="dxa"/>
            <w:noWrap w:val="0"/>
            <w:vAlign w:val="center"/>
          </w:tcPr>
          <w:p>
            <w:pPr>
              <w:widowControl/>
              <w:spacing w:line="360" w:lineRule="auto"/>
              <w:contextualSpacing/>
              <w:rPr>
                <w:rFonts w:hint="eastAsia" w:ascii="宋体" w:hAnsi="宋体" w:cs="宋体"/>
                <w:szCs w:val="21"/>
                <w:highlight w:val="none"/>
                <w:lang w:val="en-US" w:eastAsia="zh-CN"/>
              </w:rPr>
            </w:pPr>
            <w:r>
              <w:rPr>
                <w:rFonts w:hint="eastAsia" w:ascii="宋体" w:hAnsi="宋体" w:cs="宋体"/>
                <w:szCs w:val="21"/>
                <w:highlight w:val="none"/>
              </w:rPr>
              <w:t>〖</w:t>
            </w:r>
            <w:r>
              <w:rPr>
                <w:rFonts w:hint="eastAsia" w:ascii="宋体" w:hAnsi="宋体" w:cs="宋体"/>
                <w:b w:val="0"/>
                <w:bCs/>
                <w:color w:val="000000"/>
                <w:sz w:val="21"/>
                <w:szCs w:val="21"/>
                <w:highlight w:val="none"/>
                <w:lang w:val="en-US" w:eastAsia="zh-CN"/>
              </w:rPr>
              <w:t>A份额</w:t>
            </w:r>
            <w:r>
              <w:rPr>
                <w:rFonts w:hint="eastAsia" w:ascii="宋体" w:hAnsi="宋体" w:cs="宋体"/>
                <w:szCs w:val="21"/>
                <w:highlight w:val="none"/>
              </w:rPr>
              <w:t>〗</w:t>
            </w:r>
            <w:r>
              <w:rPr>
                <w:rFonts w:hint="eastAsia" w:ascii="宋体" w:hAnsi="宋体" w:cs="宋体"/>
                <w:szCs w:val="21"/>
                <w:highlight w:val="none"/>
                <w:lang w:val="en-US" w:eastAsia="zh-CN"/>
              </w:rPr>
              <w:t>单户持有上限金额为</w:t>
            </w: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000万〗</w:t>
            </w:r>
            <w:r>
              <w:rPr>
                <w:rFonts w:hint="eastAsia" w:ascii="宋体" w:hAnsi="宋体" w:cs="宋体"/>
                <w:szCs w:val="21"/>
                <w:highlight w:val="none"/>
                <w:lang w:val="en-US" w:eastAsia="zh-CN"/>
              </w:rPr>
              <w:t>元</w:t>
            </w:r>
          </w:p>
          <w:p>
            <w:pPr>
              <w:widowControl/>
              <w:spacing w:line="360" w:lineRule="auto"/>
              <w:contextualSpacing/>
              <w:rPr>
                <w:rFonts w:hint="eastAsia" w:ascii="宋体" w:hAnsi="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B</w:t>
            </w:r>
            <w:r>
              <w:rPr>
                <w:rFonts w:hint="eastAsia" w:ascii="宋体" w:hAnsi="宋体" w:cs="宋体"/>
                <w:b w:val="0"/>
                <w:bCs/>
                <w:color w:val="000000"/>
                <w:sz w:val="21"/>
                <w:szCs w:val="21"/>
                <w:highlight w:val="none"/>
                <w:lang w:val="en-US" w:eastAsia="zh-CN"/>
              </w:rPr>
              <w:t>份额</w:t>
            </w:r>
            <w:r>
              <w:rPr>
                <w:rFonts w:hint="eastAsia" w:ascii="宋体" w:hAnsi="宋体" w:cs="宋体"/>
                <w:szCs w:val="21"/>
                <w:highlight w:val="none"/>
              </w:rPr>
              <w:t>〗</w:t>
            </w:r>
            <w:r>
              <w:rPr>
                <w:rFonts w:hint="eastAsia" w:ascii="宋体" w:hAnsi="宋体" w:cs="宋体"/>
                <w:szCs w:val="21"/>
                <w:highlight w:val="none"/>
                <w:lang w:val="en-US" w:eastAsia="zh-CN"/>
              </w:rPr>
              <w:t>单户持有上限金额为</w:t>
            </w:r>
            <w:r>
              <w:rPr>
                <w:rFonts w:hint="eastAsia" w:ascii="宋体" w:hAnsi="宋体" w:cs="宋体"/>
                <w:szCs w:val="21"/>
                <w:highlight w:val="none"/>
              </w:rPr>
              <w:t>〖5000万〗</w:t>
            </w:r>
            <w:r>
              <w:rPr>
                <w:rFonts w:hint="eastAsia" w:ascii="宋体" w:hAnsi="宋体" w:cs="宋体"/>
                <w:szCs w:val="21"/>
                <w:highlight w:val="none"/>
                <w:lang w:val="en-US" w:eastAsia="zh-CN"/>
              </w:rPr>
              <w:t>元</w:t>
            </w:r>
          </w:p>
          <w:p>
            <w:pPr>
              <w:widowControl/>
              <w:spacing w:line="360" w:lineRule="auto"/>
              <w:contextualSpacing/>
              <w:rPr>
                <w:rFonts w:hint="eastAsia" w:ascii="宋体" w:hAnsi="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C</w:t>
            </w:r>
            <w:r>
              <w:rPr>
                <w:rFonts w:hint="eastAsia" w:ascii="宋体" w:hAnsi="宋体" w:cs="宋体"/>
                <w:b w:val="0"/>
                <w:bCs/>
                <w:color w:val="000000"/>
                <w:sz w:val="21"/>
                <w:szCs w:val="21"/>
                <w:highlight w:val="none"/>
                <w:lang w:val="en-US" w:eastAsia="zh-CN"/>
              </w:rPr>
              <w:t>份额</w:t>
            </w:r>
            <w:r>
              <w:rPr>
                <w:rFonts w:hint="eastAsia" w:ascii="宋体" w:hAnsi="宋体" w:cs="宋体"/>
                <w:szCs w:val="21"/>
                <w:highlight w:val="none"/>
              </w:rPr>
              <w:t>〗</w:t>
            </w:r>
            <w:r>
              <w:rPr>
                <w:rFonts w:hint="eastAsia" w:ascii="宋体" w:hAnsi="宋体" w:cs="宋体"/>
                <w:szCs w:val="21"/>
                <w:highlight w:val="none"/>
                <w:lang w:val="en-US" w:eastAsia="zh-CN"/>
              </w:rPr>
              <w:t>单户持有上限金额为</w:t>
            </w:r>
            <w:r>
              <w:rPr>
                <w:rFonts w:hint="eastAsia" w:ascii="宋体" w:hAnsi="宋体" w:cs="宋体"/>
                <w:szCs w:val="21"/>
                <w:highlight w:val="none"/>
              </w:rPr>
              <w:t>〖5000万〗</w:t>
            </w:r>
            <w:r>
              <w:rPr>
                <w:rFonts w:hint="eastAsia" w:ascii="宋体" w:hAnsi="宋体" w:cs="宋体"/>
                <w:szCs w:val="21"/>
                <w:highlight w:val="none"/>
                <w:lang w:val="en-US" w:eastAsia="zh-CN"/>
              </w:rPr>
              <w:t>元</w:t>
            </w:r>
          </w:p>
          <w:p>
            <w:pPr>
              <w:widowControl/>
              <w:spacing w:line="360" w:lineRule="auto"/>
              <w:contextualSpacing/>
              <w:rPr>
                <w:rFonts w:hint="eastAsia" w:ascii="宋体" w:hAnsi="宋体" w:cs="宋体"/>
                <w:szCs w:val="21"/>
                <w:highlight w:val="none"/>
                <w:lang w:val="en-US" w:eastAsia="zh-CN"/>
              </w:rPr>
            </w:pPr>
            <w:r>
              <w:rPr>
                <w:rFonts w:hint="eastAsia" w:ascii="宋体" w:hAnsi="宋体" w:cs="宋体"/>
                <w:szCs w:val="21"/>
                <w:highlight w:val="none"/>
              </w:rPr>
              <w:t>〖</w:t>
            </w:r>
            <w:r>
              <w:rPr>
                <w:rFonts w:hint="eastAsia" w:ascii="宋体" w:hAnsi="宋体" w:cs="宋体"/>
                <w:b w:val="0"/>
                <w:bCs/>
                <w:color w:val="000000"/>
                <w:sz w:val="21"/>
                <w:szCs w:val="21"/>
                <w:highlight w:val="none"/>
                <w:lang w:val="en-US" w:eastAsia="zh-CN"/>
              </w:rPr>
              <w:t>P份额</w:t>
            </w:r>
            <w:r>
              <w:rPr>
                <w:rFonts w:hint="eastAsia" w:ascii="宋体" w:hAnsi="宋体" w:cs="宋体"/>
                <w:szCs w:val="21"/>
                <w:highlight w:val="none"/>
              </w:rPr>
              <w:t>〗</w:t>
            </w:r>
            <w:r>
              <w:rPr>
                <w:rFonts w:hint="eastAsia" w:ascii="宋体" w:hAnsi="宋体" w:cs="宋体"/>
                <w:szCs w:val="21"/>
                <w:highlight w:val="none"/>
                <w:lang w:val="en-US" w:eastAsia="zh-CN"/>
              </w:rPr>
              <w:t>单户持有上限金额为</w:t>
            </w:r>
            <w:r>
              <w:rPr>
                <w:rFonts w:hint="eastAsia" w:ascii="宋体" w:hAnsi="宋体" w:cs="宋体"/>
                <w:szCs w:val="21"/>
                <w:highlight w:val="none"/>
              </w:rPr>
              <w:t>〖5000万〗</w:t>
            </w:r>
            <w:r>
              <w:rPr>
                <w:rFonts w:hint="eastAsia" w:ascii="宋体" w:hAnsi="宋体" w:cs="宋体"/>
                <w:szCs w:val="21"/>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申购份额</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bCs/>
                <w:szCs w:val="21"/>
                <w:highlight w:val="none"/>
              </w:rPr>
              <w:t>申购份额=申购金额/申购确认日前一日的单位净值。申购</w:t>
            </w:r>
            <w:r>
              <w:rPr>
                <w:rFonts w:hint="eastAsia" w:ascii="宋体" w:hAnsi="宋体" w:cs="宋体"/>
                <w:color w:val="000000"/>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单位净值</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单位净值=理财计划估值日理财计划总净值/理财计划总份额，单位净值保留小数点</w:t>
            </w:r>
            <w:r>
              <w:rPr>
                <w:rFonts w:hint="eastAsia" w:ascii="宋体" w:hAnsi="宋体" w:cs="宋体"/>
                <w:color w:val="000000"/>
                <w:szCs w:val="21"/>
                <w:highlight w:val="none"/>
                <w:lang w:val="en-US" w:eastAsia="zh-CN"/>
              </w:rPr>
              <w:t>后六位，六位后去尾</w:t>
            </w:r>
            <w:r>
              <w:rPr>
                <w:rFonts w:hint="eastAsia" w:ascii="宋体" w:hAnsi="宋体" w:cs="宋体"/>
                <w:color w:val="000000"/>
                <w:szCs w:val="21"/>
                <w:highlight w:val="none"/>
              </w:rPr>
              <w:t>。</w:t>
            </w:r>
          </w:p>
          <w:p>
            <w:pPr>
              <w:widowControl/>
              <w:spacing w:line="360" w:lineRule="auto"/>
              <w:contextualSpacing/>
              <w:rPr>
                <w:rFonts w:ascii="宋体" w:hAnsi="宋体" w:cs="宋体"/>
                <w:b/>
                <w:color w:val="000000"/>
                <w:szCs w:val="21"/>
                <w:highlight w:val="none"/>
              </w:rPr>
            </w:pPr>
            <w:r>
              <w:rPr>
                <w:rFonts w:hint="eastAsia" w:ascii="宋体" w:hAnsi="宋体" w:cs="宋体"/>
                <w:color w:val="000000"/>
                <w:szCs w:val="21"/>
                <w:highlight w:val="none"/>
              </w:rPr>
              <w:t>理财计划总净值=理财计划认购总额+理财计划所获总收益-理财计划总费用（包括但不限于管理费、托管费、</w:t>
            </w:r>
            <w:r>
              <w:rPr>
                <w:rFonts w:hint="eastAsia" w:ascii="宋体" w:hAnsi="宋体" w:cs="宋体"/>
                <w:color w:val="000000"/>
                <w:szCs w:val="21"/>
                <w:highlight w:val="none"/>
                <w:lang w:eastAsia="zh-CN"/>
              </w:rPr>
              <w:t>销售服务费</w:t>
            </w:r>
            <w:r>
              <w:rPr>
                <w:rFonts w:hint="eastAsia" w:ascii="宋体" w:hAnsi="宋体" w:cs="宋体"/>
                <w:color w:val="000000"/>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资金与收益支付方式</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1.赎回资金确认后，最快</w:t>
            </w:r>
            <w:r>
              <w:rPr>
                <w:rFonts w:hint="eastAsia" w:ascii="宋体" w:hAnsi="宋体" w:cs="宋体"/>
                <w:szCs w:val="21"/>
                <w:highlight w:val="none"/>
              </w:rPr>
              <w:t>〖1〗</w:t>
            </w:r>
            <w:r>
              <w:rPr>
                <w:rFonts w:hint="eastAsia" w:ascii="宋体" w:hAnsi="宋体" w:cs="宋体"/>
                <w:color w:val="000000"/>
                <w:szCs w:val="21"/>
                <w:highlight w:val="none"/>
              </w:rPr>
              <w:t>个工作日，最晚</w:t>
            </w:r>
            <w:r>
              <w:rPr>
                <w:rFonts w:hint="eastAsia" w:ascii="宋体" w:hAnsi="宋体" w:cs="宋体"/>
                <w:szCs w:val="21"/>
                <w:highlight w:val="none"/>
              </w:rPr>
              <w:t>〖3〗</w:t>
            </w:r>
            <w:r>
              <w:rPr>
                <w:rFonts w:hint="eastAsia" w:ascii="宋体" w:hAnsi="宋体" w:cs="宋体"/>
                <w:color w:val="000000"/>
                <w:szCs w:val="21"/>
                <w:highlight w:val="none"/>
              </w:rPr>
              <w:t>个工作日内（遇节假日顺延）理财资金与收益一次性支付。如遇资金在途或法定工作日调整，实际资金到账日以公告为准。</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2.理财计划到期后，最快</w:t>
            </w:r>
            <w:r>
              <w:rPr>
                <w:rFonts w:hint="eastAsia" w:ascii="宋体" w:hAnsi="宋体" w:cs="宋体"/>
                <w:szCs w:val="21"/>
                <w:highlight w:val="none"/>
              </w:rPr>
              <w:t>〖1〗</w:t>
            </w:r>
            <w:r>
              <w:rPr>
                <w:rFonts w:hint="eastAsia" w:ascii="宋体" w:hAnsi="宋体" w:cs="宋体"/>
                <w:color w:val="000000"/>
                <w:szCs w:val="21"/>
                <w:highlight w:val="none"/>
              </w:rPr>
              <w:t>个工作日，最晚</w:t>
            </w:r>
            <w:r>
              <w:rPr>
                <w:rFonts w:hint="eastAsia" w:ascii="宋体" w:hAnsi="宋体" w:cs="宋体"/>
                <w:szCs w:val="21"/>
                <w:highlight w:val="none"/>
              </w:rPr>
              <w:t>〖3〗</w:t>
            </w:r>
            <w:r>
              <w:rPr>
                <w:rFonts w:hint="eastAsia" w:ascii="宋体" w:hAnsi="宋体" w:cs="宋体"/>
                <w:color w:val="000000"/>
                <w:szCs w:val="21"/>
                <w:highlight w:val="none"/>
              </w:rPr>
              <w:t>个工作日内（遇节假日顺延）理财资金与收益一次性支付。如遇资金在途或法定工作日调整，实际资金到账日以公告为准。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收益分配</w:t>
            </w:r>
          </w:p>
        </w:tc>
        <w:tc>
          <w:tcPr>
            <w:tcW w:w="7024" w:type="dxa"/>
            <w:noWrap w:val="0"/>
            <w:vAlign w:val="center"/>
          </w:tcPr>
          <w:p>
            <w:pPr>
              <w:widowControl/>
              <w:spacing w:line="360" w:lineRule="auto"/>
              <w:contextualSpacing/>
              <w:rPr>
                <w:rFonts w:ascii="宋体" w:hAnsi="宋体" w:cs="宋体"/>
                <w:b/>
                <w:szCs w:val="21"/>
                <w:highlight w:val="none"/>
              </w:rPr>
            </w:pPr>
            <w:r>
              <w:rPr>
                <w:rFonts w:hint="eastAsia" w:ascii="宋体" w:hAnsi="宋体" w:cs="宋体"/>
                <w:color w:val="000000"/>
                <w:szCs w:val="21"/>
                <w:highlight w:val="none"/>
              </w:rPr>
              <w:t>在满足收益分配基准日理财计划份额净值大于1元的情况下，管理人将</w:t>
            </w:r>
            <w:r>
              <w:rPr>
                <w:rFonts w:hint="eastAsia" w:ascii="宋体" w:hAnsi="宋体" w:cs="宋体"/>
                <w:szCs w:val="21"/>
                <w:highlight w:val="none"/>
              </w:rPr>
              <w:t>〖不</w:t>
            </w:r>
            <w:r>
              <w:rPr>
                <w:rFonts w:hint="eastAsia" w:ascii="宋体" w:hAnsi="宋体" w:cs="宋体"/>
                <w:color w:val="000000"/>
                <w:szCs w:val="21"/>
                <w:highlight w:val="none"/>
              </w:rPr>
              <w:t>定期</w:t>
            </w:r>
            <w:r>
              <w:rPr>
                <w:rFonts w:hint="eastAsia" w:ascii="宋体" w:hAnsi="宋体" w:cs="宋体"/>
                <w:szCs w:val="21"/>
                <w:highlight w:val="none"/>
              </w:rPr>
              <w:t>〗</w:t>
            </w:r>
            <w:r>
              <w:rPr>
                <w:rFonts w:hint="eastAsia" w:ascii="宋体" w:hAnsi="宋体" w:cs="宋体"/>
                <w:color w:val="000000"/>
                <w:szCs w:val="21"/>
                <w:highlight w:val="none"/>
              </w:rPr>
              <w:t>将大于1元部分的收益进行收益分配。具体分配方案以管理人公告为准。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业绩比较基准</w:t>
            </w:r>
          </w:p>
        </w:tc>
        <w:tc>
          <w:tcPr>
            <w:tcW w:w="7024" w:type="dxa"/>
            <w:noWrap w:val="0"/>
            <w:vAlign w:val="center"/>
          </w:tcPr>
          <w:p>
            <w:pPr>
              <w:widowControl/>
              <w:spacing w:line="360" w:lineRule="auto"/>
              <w:jc w:val="left"/>
              <w:rPr>
                <w:rFonts w:hint="eastAsia" w:ascii="宋体" w:hAnsi="宋体" w:cs="宋体"/>
                <w:szCs w:val="21"/>
                <w:highlight w:val="none"/>
              </w:rPr>
            </w:pPr>
            <w:r>
              <w:rPr>
                <w:rFonts w:hint="eastAsia" w:ascii="宋体" w:hAnsi="宋体" w:cs="宋体"/>
                <w:szCs w:val="21"/>
                <w:highlight w:val="none"/>
              </w:rPr>
              <w:t>本理财计划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szCs w:val="21"/>
                <w:highlight w:val="none"/>
              </w:rPr>
              <w:t>业绩比较基准为〖</w:t>
            </w: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szCs w:val="21"/>
                <w:highlight w:val="none"/>
                <w:lang w:val="en-US" w:eastAsia="zh-CN"/>
              </w:rPr>
              <w:t>80</w:t>
            </w:r>
            <w:r>
              <w:rPr>
                <w:rFonts w:hint="eastAsia" w:ascii="宋体" w:hAnsi="宋体" w:cs="宋体"/>
                <w:szCs w:val="21"/>
                <w:highlight w:val="none"/>
              </w:rPr>
              <w:t>%-</w:t>
            </w:r>
            <w:r>
              <w:rPr>
                <w:rFonts w:hint="eastAsia" w:ascii="宋体" w:hAnsi="宋体" w:cs="宋体"/>
                <w:szCs w:val="21"/>
                <w:highlight w:val="none"/>
                <w:lang w:val="en-US" w:eastAsia="zh-CN"/>
              </w:rPr>
              <w:t>2.50</w:t>
            </w:r>
            <w:r>
              <w:rPr>
                <w:rFonts w:hint="eastAsia" w:ascii="宋体" w:hAnsi="宋体" w:cs="宋体"/>
                <w:szCs w:val="21"/>
                <w:highlight w:val="none"/>
              </w:rPr>
              <w:t>%〗（年化）。</w:t>
            </w:r>
          </w:p>
          <w:p>
            <w:pPr>
              <w:widowControl/>
              <w:spacing w:line="360" w:lineRule="auto"/>
              <w:jc w:val="left"/>
              <w:rPr>
                <w:rFonts w:hint="eastAsia" w:ascii="宋体" w:hAnsi="宋体" w:cs="宋体"/>
                <w:szCs w:val="21"/>
                <w:highlight w:val="none"/>
              </w:rPr>
            </w:pPr>
            <w:r>
              <w:rPr>
                <w:rFonts w:hint="eastAsia" w:ascii="宋体" w:hAnsi="宋体" w:cs="宋体"/>
                <w:szCs w:val="21"/>
                <w:highlight w:val="none"/>
              </w:rPr>
              <w:t>本理财计划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szCs w:val="21"/>
                <w:highlight w:val="none"/>
              </w:rPr>
              <w:t>业绩比较基准为〖</w:t>
            </w:r>
            <w:r>
              <w:rPr>
                <w:rFonts w:hint="eastAsia" w:ascii="宋体" w:hAnsi="宋体" w:cs="宋体"/>
                <w:szCs w:val="21"/>
                <w:highlight w:val="none"/>
                <w:lang w:val="en-US" w:eastAsia="zh-CN"/>
              </w:rPr>
              <w:t>1.90</w:t>
            </w:r>
            <w:r>
              <w:rPr>
                <w:rFonts w:hint="eastAsia" w:ascii="宋体" w:hAnsi="宋体" w:cs="宋体"/>
                <w:szCs w:val="21"/>
                <w:highlight w:val="none"/>
              </w:rPr>
              <w:t>%-</w:t>
            </w:r>
            <w:r>
              <w:rPr>
                <w:rFonts w:hint="eastAsia" w:ascii="宋体" w:hAnsi="宋体" w:cs="宋体"/>
                <w:szCs w:val="21"/>
                <w:highlight w:val="none"/>
                <w:lang w:val="en-US" w:eastAsia="zh-CN"/>
              </w:rPr>
              <w:t>2.60</w:t>
            </w:r>
            <w:r>
              <w:rPr>
                <w:rFonts w:hint="eastAsia" w:ascii="宋体" w:hAnsi="宋体" w:cs="宋体"/>
                <w:szCs w:val="21"/>
                <w:highlight w:val="none"/>
              </w:rPr>
              <w:t>%〗（年化）。</w:t>
            </w:r>
          </w:p>
          <w:p>
            <w:pPr>
              <w:widowControl/>
              <w:spacing w:line="360" w:lineRule="auto"/>
              <w:jc w:val="left"/>
              <w:rPr>
                <w:rFonts w:hint="eastAsia" w:ascii="宋体" w:hAnsi="宋体" w:cs="宋体"/>
                <w:szCs w:val="21"/>
                <w:highlight w:val="none"/>
              </w:rPr>
            </w:pPr>
            <w:r>
              <w:rPr>
                <w:rFonts w:hint="eastAsia" w:ascii="宋体" w:hAnsi="宋体" w:cs="宋体"/>
                <w:szCs w:val="21"/>
                <w:highlight w:val="none"/>
              </w:rPr>
              <w:t>本理财计划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w:t>
            </w:r>
            <w:r>
              <w:rPr>
                <w:rFonts w:hint="eastAsia" w:ascii="宋体" w:hAnsi="宋体" w:cs="宋体"/>
                <w:szCs w:val="21"/>
                <w:highlight w:val="none"/>
              </w:rPr>
              <w:t>业绩比较基准为〖</w:t>
            </w:r>
            <w:r>
              <w:rPr>
                <w:rFonts w:hint="eastAsia" w:ascii="宋体" w:hAnsi="宋体" w:cs="宋体"/>
                <w:szCs w:val="21"/>
                <w:highlight w:val="none"/>
                <w:lang w:val="en-US" w:eastAsia="zh-CN"/>
              </w:rPr>
              <w:t>2.20</w:t>
            </w:r>
            <w:r>
              <w:rPr>
                <w:rFonts w:hint="eastAsia" w:ascii="宋体" w:hAnsi="宋体" w:cs="宋体"/>
                <w:szCs w:val="21"/>
                <w:highlight w:val="none"/>
              </w:rPr>
              <w:t>%-</w:t>
            </w:r>
            <w:r>
              <w:rPr>
                <w:rFonts w:hint="eastAsia" w:ascii="宋体" w:hAnsi="宋体" w:cs="宋体"/>
                <w:szCs w:val="21"/>
                <w:highlight w:val="none"/>
                <w:lang w:val="en-US" w:eastAsia="zh-CN"/>
              </w:rPr>
              <w:t>2.90</w:t>
            </w:r>
            <w:r>
              <w:rPr>
                <w:rFonts w:hint="eastAsia" w:ascii="宋体" w:hAnsi="宋体" w:cs="宋体"/>
                <w:szCs w:val="21"/>
                <w:highlight w:val="none"/>
              </w:rPr>
              <w:t>%〗（年化）。</w:t>
            </w:r>
          </w:p>
          <w:p>
            <w:pPr>
              <w:widowControl/>
              <w:spacing w:line="360" w:lineRule="auto"/>
              <w:jc w:val="left"/>
              <w:rPr>
                <w:rFonts w:hint="eastAsia" w:ascii="宋体" w:hAnsi="宋体" w:cs="宋体"/>
                <w:szCs w:val="21"/>
                <w:highlight w:val="none"/>
                <w:lang w:eastAsia="zh-CN"/>
              </w:rPr>
            </w:pPr>
            <w:r>
              <w:rPr>
                <w:rFonts w:hint="eastAsia" w:ascii="宋体" w:hAnsi="宋体" w:cs="宋体"/>
                <w:szCs w:val="21"/>
                <w:highlight w:val="none"/>
              </w:rPr>
              <w:t>本理财计划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P份额</w:t>
            </w:r>
            <w:r>
              <w:rPr>
                <w:rFonts w:hint="eastAsia" w:ascii="宋体" w:hAnsi="宋体" w:cs="宋体"/>
                <w:sz w:val="21"/>
                <w:szCs w:val="21"/>
                <w:highlight w:val="none"/>
              </w:rPr>
              <w:t>〗</w:t>
            </w:r>
            <w:r>
              <w:rPr>
                <w:rFonts w:hint="eastAsia" w:ascii="宋体" w:hAnsi="宋体" w:cs="宋体"/>
                <w:szCs w:val="21"/>
                <w:highlight w:val="none"/>
              </w:rPr>
              <w:t>业绩比较基准为〖</w:t>
            </w:r>
            <w:r>
              <w:rPr>
                <w:rFonts w:hint="eastAsia" w:ascii="宋体" w:hAnsi="宋体" w:cs="宋体"/>
                <w:szCs w:val="21"/>
                <w:highlight w:val="none"/>
                <w:lang w:val="en-US" w:eastAsia="zh-CN"/>
              </w:rPr>
              <w:t>1.80</w:t>
            </w:r>
            <w:r>
              <w:rPr>
                <w:rFonts w:hint="eastAsia" w:ascii="宋体" w:hAnsi="宋体" w:cs="宋体"/>
                <w:szCs w:val="21"/>
                <w:highlight w:val="none"/>
              </w:rPr>
              <w:t>%-</w:t>
            </w:r>
            <w:r>
              <w:rPr>
                <w:rFonts w:hint="eastAsia" w:ascii="宋体" w:hAnsi="宋体" w:cs="宋体"/>
                <w:szCs w:val="21"/>
                <w:highlight w:val="none"/>
                <w:lang w:val="en-US" w:eastAsia="zh-CN"/>
              </w:rPr>
              <w:t>2.50</w:t>
            </w:r>
            <w:r>
              <w:rPr>
                <w:rFonts w:hint="eastAsia" w:ascii="宋体" w:hAnsi="宋体" w:cs="宋体"/>
                <w:szCs w:val="21"/>
                <w:highlight w:val="none"/>
              </w:rPr>
              <w:t>%〗（年化）。</w:t>
            </w:r>
          </w:p>
          <w:p>
            <w:pPr>
              <w:widowControl/>
              <w:spacing w:line="360" w:lineRule="auto"/>
              <w:jc w:val="left"/>
              <w:rPr>
                <w:rFonts w:ascii="宋体" w:hAnsi="宋体" w:cs="宋体"/>
                <w:b/>
                <w:bCs/>
                <w:szCs w:val="21"/>
                <w:highlight w:val="none"/>
              </w:rPr>
            </w:pPr>
            <w:r>
              <w:rPr>
                <w:rFonts w:hint="eastAsia" w:ascii="宋体" w:hAnsi="宋体" w:cs="宋体"/>
                <w:b/>
                <w:bCs/>
                <w:szCs w:val="21"/>
                <w:highlight w:val="none"/>
              </w:rPr>
              <w:t>业绩基准测算依据：产品重点投资于信用债、同业存单等资产，根据当前市场环境，预投资产收益率平均在</w:t>
            </w:r>
            <w:r>
              <w:rPr>
                <w:rFonts w:hint="eastAsia" w:ascii="宋体" w:hAnsi="宋体" w:cs="宋体"/>
                <w:b/>
                <w:bCs/>
                <w:szCs w:val="21"/>
                <w:highlight w:val="none"/>
                <w:lang w:val="en-US" w:eastAsia="zh-CN"/>
              </w:rPr>
              <w:t>1.50%-3.00</w:t>
            </w:r>
            <w:r>
              <w:rPr>
                <w:rFonts w:hint="eastAsia" w:ascii="宋体" w:hAnsi="宋体" w:cs="宋体"/>
                <w:b/>
                <w:bCs/>
                <w:szCs w:val="21"/>
                <w:highlight w:val="none"/>
              </w:rPr>
              <w:t>%左右，同时根据流动性管理需要和监管要求配置不低于5%的高流动性资产。综合来看，扣除相关税费成本后</w:t>
            </w:r>
            <w:r>
              <w:rPr>
                <w:rFonts w:hint="eastAsia" w:ascii="宋体" w:hAnsi="宋体" w:cs="宋体"/>
                <w:b/>
                <w:bCs/>
                <w:szCs w:val="21"/>
                <w:highlight w:val="none"/>
                <w:lang w:eastAsia="zh-CN"/>
              </w:rPr>
              <w:t>，</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A份额</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和</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P份额</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投资者可获得收益率的中枢</w:t>
            </w:r>
            <w:r>
              <w:rPr>
                <w:rFonts w:hint="eastAsia" w:ascii="宋体" w:hAnsi="宋体" w:cs="宋体"/>
                <w:b/>
                <w:bCs/>
                <w:sz w:val="21"/>
                <w:szCs w:val="21"/>
                <w:highlight w:val="none"/>
                <w:lang w:val="en-US" w:eastAsia="zh-CN"/>
              </w:rPr>
              <w:t>预计在</w:t>
            </w:r>
            <w:r>
              <w:rPr>
                <w:rFonts w:hint="eastAsia" w:ascii="宋体" w:hAnsi="宋体" w:cs="宋体"/>
                <w:szCs w:val="21"/>
                <w:highlight w:val="none"/>
              </w:rPr>
              <w:t>〖</w:t>
            </w:r>
            <w:r>
              <w:rPr>
                <w:rFonts w:hint="eastAsia" w:ascii="宋体" w:hAnsi="宋体" w:cs="宋体"/>
                <w:b/>
                <w:bCs/>
                <w:sz w:val="21"/>
                <w:szCs w:val="21"/>
                <w:highlight w:val="none"/>
                <w:lang w:val="en-US" w:eastAsia="zh-CN"/>
              </w:rPr>
              <w:t>1.80%</w:t>
            </w:r>
            <w:r>
              <w:rPr>
                <w:rFonts w:hint="eastAsia" w:ascii="宋体" w:hAnsi="宋体" w:cs="宋体"/>
                <w:szCs w:val="21"/>
                <w:highlight w:val="none"/>
              </w:rPr>
              <w:t>〗</w:t>
            </w:r>
            <w:r>
              <w:rPr>
                <w:rFonts w:hint="eastAsia" w:ascii="宋体" w:hAnsi="宋体" w:cs="宋体"/>
                <w:b/>
                <w:bCs/>
                <w:sz w:val="21"/>
                <w:szCs w:val="21"/>
                <w:highlight w:val="none"/>
                <w:lang w:val="en-US" w:eastAsia="zh-CN"/>
              </w:rPr>
              <w:t>左右，</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B份额</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投资者可获得收益率的中枢</w:t>
            </w:r>
            <w:r>
              <w:rPr>
                <w:rFonts w:hint="eastAsia" w:ascii="宋体" w:hAnsi="宋体" w:cs="宋体"/>
                <w:b/>
                <w:bCs/>
                <w:sz w:val="21"/>
                <w:szCs w:val="21"/>
                <w:highlight w:val="none"/>
                <w:lang w:val="en-US" w:eastAsia="zh-CN"/>
              </w:rPr>
              <w:t>预计在</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b/>
                <w:bCs/>
                <w:sz w:val="21"/>
                <w:szCs w:val="21"/>
                <w:highlight w:val="none"/>
                <w:lang w:val="en-US" w:eastAsia="zh-CN"/>
              </w:rPr>
              <w:t>.90%</w:t>
            </w:r>
            <w:r>
              <w:rPr>
                <w:rFonts w:hint="eastAsia" w:ascii="宋体" w:hAnsi="宋体" w:cs="宋体"/>
                <w:szCs w:val="21"/>
                <w:highlight w:val="none"/>
              </w:rPr>
              <w:t>〗</w:t>
            </w:r>
            <w:r>
              <w:rPr>
                <w:rFonts w:hint="eastAsia" w:ascii="宋体" w:hAnsi="宋体" w:cs="宋体"/>
                <w:b/>
                <w:bCs/>
                <w:sz w:val="21"/>
                <w:szCs w:val="21"/>
                <w:highlight w:val="none"/>
                <w:lang w:val="en-US" w:eastAsia="zh-CN"/>
              </w:rPr>
              <w:t>左右，</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C份额</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投资者可获得收益率的中枢</w:t>
            </w:r>
            <w:r>
              <w:rPr>
                <w:rFonts w:hint="eastAsia" w:ascii="宋体" w:hAnsi="宋体" w:cs="宋体"/>
                <w:b/>
                <w:bCs/>
                <w:sz w:val="21"/>
                <w:szCs w:val="21"/>
                <w:highlight w:val="none"/>
                <w:lang w:val="en-US" w:eastAsia="zh-CN"/>
              </w:rPr>
              <w:t>预计在</w:t>
            </w:r>
            <w:r>
              <w:rPr>
                <w:rFonts w:hint="eastAsia" w:ascii="宋体" w:hAnsi="宋体" w:cs="宋体"/>
                <w:szCs w:val="21"/>
                <w:highlight w:val="none"/>
              </w:rPr>
              <w:t>〖</w:t>
            </w:r>
            <w:r>
              <w:rPr>
                <w:rFonts w:hint="eastAsia" w:ascii="宋体" w:hAnsi="宋体" w:cs="宋体"/>
                <w:b/>
                <w:bCs/>
                <w:sz w:val="21"/>
                <w:szCs w:val="21"/>
                <w:highlight w:val="none"/>
                <w:lang w:val="en-US" w:eastAsia="zh-CN"/>
              </w:rPr>
              <w:t>2.20%</w:t>
            </w:r>
            <w:r>
              <w:rPr>
                <w:rFonts w:hint="eastAsia" w:ascii="宋体" w:hAnsi="宋体" w:cs="宋体"/>
                <w:szCs w:val="21"/>
                <w:highlight w:val="none"/>
              </w:rPr>
              <w:t>〗</w:t>
            </w:r>
            <w:r>
              <w:rPr>
                <w:rFonts w:hint="eastAsia" w:ascii="宋体" w:hAnsi="宋体" w:cs="宋体"/>
                <w:b/>
                <w:bCs/>
                <w:sz w:val="21"/>
                <w:szCs w:val="21"/>
                <w:highlight w:val="none"/>
                <w:lang w:val="en-US" w:eastAsia="zh-CN"/>
              </w:rPr>
              <w:t>左右</w:t>
            </w:r>
            <w:r>
              <w:rPr>
                <w:rFonts w:hint="eastAsia" w:ascii="宋体" w:hAnsi="宋体" w:cs="宋体"/>
                <w:b/>
                <w:bCs/>
                <w:szCs w:val="21"/>
                <w:highlight w:val="none"/>
              </w:rPr>
              <w:t>。</w:t>
            </w:r>
          </w:p>
          <w:p>
            <w:pPr>
              <w:widowControl/>
              <w:spacing w:line="360" w:lineRule="auto"/>
              <w:jc w:val="left"/>
              <w:rPr>
                <w:rFonts w:ascii="宋体" w:hAnsi="宋体" w:cs="宋体"/>
                <w:szCs w:val="21"/>
                <w:highlight w:val="none"/>
              </w:rPr>
            </w:pPr>
            <w:r>
              <w:rPr>
                <w:rFonts w:hint="eastAsia" w:ascii="宋体" w:hAnsi="宋体" w:cs="宋体"/>
                <w:szCs w:val="21"/>
                <w:highlight w:val="none"/>
              </w:rPr>
              <w:t>管理人有权根据市场情况及产品运作情况调整业绩基准，并至少于新业绩基准启用前</w:t>
            </w:r>
            <w:r>
              <w:rPr>
                <w:rFonts w:hint="eastAsia" w:ascii="宋体" w:hAnsi="宋体" w:cs="宋体"/>
                <w:kern w:val="0"/>
                <w:highlight w:val="none"/>
              </w:rPr>
              <w:t>〖3〗</w:t>
            </w:r>
            <w:r>
              <w:rPr>
                <w:rFonts w:hint="eastAsia" w:ascii="宋体" w:hAnsi="宋体" w:cs="宋体"/>
                <w:szCs w:val="21"/>
                <w:highlight w:val="none"/>
              </w:rPr>
              <w:t>个工作日公告。</w:t>
            </w:r>
          </w:p>
          <w:p>
            <w:pPr>
              <w:widowControl/>
              <w:spacing w:line="360" w:lineRule="auto"/>
              <w:jc w:val="left"/>
              <w:rPr>
                <w:rFonts w:hint="eastAsia" w:ascii="宋体" w:hAnsi="宋体" w:cs="宋体"/>
                <w:b/>
                <w:szCs w:val="21"/>
                <w:highlight w:val="none"/>
              </w:rPr>
            </w:pPr>
            <w:r>
              <w:rPr>
                <w:rFonts w:hint="eastAsia" w:ascii="宋体" w:hAnsi="宋体" w:cs="宋体"/>
                <w:b/>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eastAsia="zh-CN"/>
              </w:rPr>
              <w:t>不是预期收益率，</w:t>
            </w:r>
            <w:r>
              <w:rPr>
                <w:rFonts w:hint="eastAsia" w:ascii="宋体" w:hAnsi="宋体" w:cs="宋体"/>
                <w:b/>
                <w:szCs w:val="21"/>
                <w:highlight w:val="none"/>
              </w:rPr>
              <w:t>并不代表实际收益率</w:t>
            </w:r>
            <w:r>
              <w:rPr>
                <w:rFonts w:hint="eastAsia" w:ascii="宋体" w:hAnsi="宋体" w:cs="宋体"/>
                <w:b/>
                <w:sz w:val="21"/>
                <w:szCs w:val="21"/>
                <w:highlight w:val="none"/>
                <w:lang w:eastAsia="zh-CN"/>
              </w:rPr>
              <w:t>，不构成对理财计划收益的承诺</w:t>
            </w:r>
            <w:r>
              <w:rPr>
                <w:rFonts w:hint="eastAsia" w:ascii="宋体" w:hAnsi="宋体" w:cs="宋体"/>
                <w:b/>
                <w:szCs w:val="21"/>
                <w:highlight w:val="none"/>
              </w:rPr>
              <w:t>。</w:t>
            </w:r>
          </w:p>
          <w:p>
            <w:pPr>
              <w:widowControl/>
              <w:spacing w:line="360" w:lineRule="auto"/>
              <w:jc w:val="left"/>
              <w:rPr>
                <w:rFonts w:hint="eastAsia" w:ascii="宋体" w:hAnsi="宋体" w:cs="宋体"/>
                <w:b/>
                <w:szCs w:val="21"/>
                <w:highlight w:val="none"/>
              </w:rPr>
            </w:pPr>
            <w:r>
              <w:rPr>
                <w:rFonts w:hint="eastAsia" w:ascii="宋体" w:hAnsi="宋体" w:eastAsia="宋体" w:cs="宋体"/>
                <w:b/>
                <w:bCs w:val="0"/>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不代表理财计划的未来表现和实际收益，也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产品费用</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销售服务费</w:t>
            </w:r>
            <w:r>
              <w:rPr>
                <w:rFonts w:hint="eastAsia" w:ascii="宋体" w:hAnsi="宋体" w:cs="宋体"/>
                <w:color w:val="000000"/>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〖0.</w:t>
            </w:r>
            <w:r>
              <w:rPr>
                <w:rFonts w:hint="eastAsia" w:ascii="宋体" w:hAnsi="宋体" w:cs="宋体"/>
                <w:szCs w:val="21"/>
                <w:highlight w:val="none"/>
                <w:lang w:val="en-US" w:eastAsia="zh-CN"/>
              </w:rPr>
              <w:t>30</w:t>
            </w:r>
            <w:r>
              <w:rPr>
                <w:rFonts w:hint="eastAsia" w:ascii="宋体" w:hAnsi="宋体" w:cs="宋体"/>
                <w:szCs w:val="21"/>
                <w:highlight w:val="none"/>
              </w:rPr>
              <w:t>%〗</w:t>
            </w:r>
            <w:r>
              <w:rPr>
                <w:rFonts w:hint="eastAsia" w:ascii="宋体" w:hAnsi="宋体" w:cs="宋体"/>
                <w:color w:val="000000"/>
                <w:szCs w:val="21"/>
                <w:highlight w:val="none"/>
              </w:rPr>
              <w:t>的</w:t>
            </w:r>
            <w:r>
              <w:rPr>
                <w:rFonts w:hint="eastAsia" w:ascii="宋体" w:hAnsi="宋体" w:cs="宋体"/>
                <w:color w:val="000000"/>
                <w:szCs w:val="21"/>
                <w:highlight w:val="none"/>
                <w:lang w:eastAsia="zh-CN"/>
              </w:rPr>
              <w:t>销售服务费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P</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〖0.2</w:t>
            </w:r>
            <w:r>
              <w:rPr>
                <w:rFonts w:hint="eastAsia" w:ascii="宋体" w:hAnsi="宋体" w:cs="宋体"/>
                <w:szCs w:val="21"/>
                <w:highlight w:val="none"/>
                <w:lang w:val="en-US" w:eastAsia="zh-CN"/>
              </w:rPr>
              <w:t>0</w:t>
            </w:r>
            <w:r>
              <w:rPr>
                <w:rFonts w:hint="eastAsia" w:ascii="宋体" w:hAnsi="宋体" w:cs="宋体"/>
                <w:szCs w:val="21"/>
                <w:highlight w:val="none"/>
              </w:rPr>
              <w:t>%〗</w:t>
            </w:r>
            <w:r>
              <w:rPr>
                <w:rFonts w:hint="eastAsia" w:ascii="宋体" w:hAnsi="宋体" w:cs="宋体"/>
                <w:color w:val="000000"/>
                <w:szCs w:val="21"/>
                <w:highlight w:val="none"/>
              </w:rPr>
              <w:t>的</w:t>
            </w:r>
            <w:r>
              <w:rPr>
                <w:rFonts w:hint="eastAsia" w:ascii="宋体" w:hAnsi="宋体" w:cs="宋体"/>
                <w:color w:val="000000"/>
                <w:szCs w:val="21"/>
                <w:highlight w:val="none"/>
                <w:lang w:eastAsia="zh-CN"/>
              </w:rPr>
              <w:t>销售服务费</w:t>
            </w:r>
            <w:r>
              <w:rPr>
                <w:rFonts w:hint="eastAsia" w:ascii="宋体" w:hAnsi="宋体" w:cs="宋体"/>
                <w:color w:val="000000"/>
                <w:szCs w:val="21"/>
                <w:highlight w:val="none"/>
              </w:rPr>
              <w:t>。</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2.托管费：托管人收取年化</w:t>
            </w:r>
            <w:r>
              <w:rPr>
                <w:rFonts w:hint="eastAsia" w:ascii="宋体" w:hAnsi="宋体" w:cs="宋体"/>
                <w:szCs w:val="21"/>
                <w:highlight w:val="none"/>
              </w:rPr>
              <w:t>〖0.025%〗</w:t>
            </w:r>
            <w:r>
              <w:rPr>
                <w:rFonts w:hint="eastAsia" w:ascii="宋体" w:hAnsi="宋体" w:cs="宋体"/>
                <w:color w:val="000000"/>
                <w:szCs w:val="21"/>
                <w:highlight w:val="none"/>
              </w:rPr>
              <w:t>的托管费。</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3.固定管理费：</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〖0.</w:t>
            </w:r>
            <w:r>
              <w:rPr>
                <w:rFonts w:hint="eastAsia" w:ascii="宋体" w:hAnsi="宋体" w:cs="宋体"/>
                <w:szCs w:val="21"/>
                <w:highlight w:val="none"/>
                <w:lang w:val="en-US" w:eastAsia="zh-CN"/>
              </w:rPr>
              <w:t>40</w:t>
            </w:r>
            <w:r>
              <w:rPr>
                <w:rFonts w:hint="eastAsia" w:ascii="宋体" w:hAnsi="宋体" w:cs="宋体"/>
                <w:szCs w:val="21"/>
                <w:highlight w:val="none"/>
              </w:rPr>
              <w:t>%〗</w:t>
            </w:r>
            <w:r>
              <w:rPr>
                <w:rFonts w:hint="eastAsia" w:ascii="宋体" w:hAnsi="宋体" w:cs="宋体"/>
                <w:color w:val="000000"/>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Cs w:val="21"/>
                <w:highlight w:val="none"/>
              </w:rPr>
              <w:t>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Cs w:val="21"/>
                <w:highlight w:val="none"/>
              </w:rPr>
              <w:t>固定管理费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P</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〖0.5</w:t>
            </w:r>
            <w:r>
              <w:rPr>
                <w:rFonts w:hint="eastAsia" w:ascii="宋体" w:hAnsi="宋体" w:cs="宋体"/>
                <w:szCs w:val="21"/>
                <w:highlight w:val="none"/>
                <w:lang w:val="en-US" w:eastAsia="zh-CN"/>
              </w:rPr>
              <w:t>0</w:t>
            </w:r>
            <w:r>
              <w:rPr>
                <w:rFonts w:hint="eastAsia" w:ascii="宋体" w:hAnsi="宋体" w:cs="宋体"/>
                <w:szCs w:val="21"/>
                <w:highlight w:val="none"/>
              </w:rPr>
              <w:t>%〗</w:t>
            </w:r>
            <w:r>
              <w:rPr>
                <w:rFonts w:hint="eastAsia" w:ascii="宋体" w:hAnsi="宋体" w:cs="宋体"/>
                <w:color w:val="000000"/>
                <w:szCs w:val="21"/>
                <w:highlight w:val="none"/>
              </w:rPr>
              <w:t>的固定管理费。</w:t>
            </w:r>
          </w:p>
          <w:p>
            <w:pPr>
              <w:widowControl/>
              <w:spacing w:line="360" w:lineRule="auto"/>
              <w:contextualSpacing/>
              <w:rPr>
                <w:rFonts w:ascii="宋体" w:hAnsi="宋体" w:cs="宋体"/>
                <w:bCs/>
                <w:color w:val="FF0000"/>
                <w:szCs w:val="21"/>
                <w:highlight w:val="none"/>
              </w:rPr>
            </w:pPr>
            <w:r>
              <w:rPr>
                <w:rFonts w:hint="eastAsia" w:ascii="宋体" w:hAnsi="宋体" w:cs="宋体"/>
                <w:color w:val="000000"/>
                <w:szCs w:val="21"/>
                <w:highlight w:val="none"/>
              </w:rPr>
              <w:t>4.认购费：本理财计划免除认购费。</w:t>
            </w:r>
          </w:p>
          <w:p>
            <w:pPr>
              <w:widowControl/>
              <w:spacing w:line="360" w:lineRule="auto"/>
              <w:contextualSpacing/>
              <w:rPr>
                <w:rFonts w:ascii="宋体" w:hAnsi="宋体" w:cs="宋体"/>
                <w:bCs/>
                <w:szCs w:val="21"/>
                <w:highlight w:val="none"/>
              </w:rPr>
            </w:pPr>
            <w:r>
              <w:rPr>
                <w:rFonts w:hint="eastAsia" w:ascii="宋体" w:hAnsi="宋体" w:cs="宋体"/>
                <w:bCs/>
                <w:szCs w:val="21"/>
                <w:highlight w:val="none"/>
              </w:rPr>
              <w:t>5.申购费：</w:t>
            </w:r>
            <w:r>
              <w:rPr>
                <w:rFonts w:hint="eastAsia" w:ascii="宋体" w:hAnsi="宋体" w:cs="宋体"/>
                <w:color w:val="000000"/>
                <w:szCs w:val="21"/>
                <w:highlight w:val="none"/>
              </w:rPr>
              <w:t>本理财计划免除申购费。</w:t>
            </w:r>
          </w:p>
          <w:p>
            <w:pPr>
              <w:widowControl/>
              <w:spacing w:line="360" w:lineRule="auto"/>
              <w:contextualSpacing/>
              <w:rPr>
                <w:rFonts w:ascii="宋体" w:hAnsi="宋体" w:cs="宋体"/>
                <w:bCs/>
                <w:szCs w:val="21"/>
                <w:highlight w:val="none"/>
              </w:rPr>
            </w:pPr>
            <w:r>
              <w:rPr>
                <w:rFonts w:hint="eastAsia" w:ascii="宋体" w:hAnsi="宋体" w:cs="宋体"/>
                <w:bCs/>
                <w:szCs w:val="21"/>
                <w:highlight w:val="none"/>
              </w:rPr>
              <w:t>6.赎回费：</w:t>
            </w:r>
            <w:r>
              <w:rPr>
                <w:rFonts w:hint="eastAsia" w:ascii="宋体" w:hAnsi="宋体" w:cs="宋体"/>
                <w:color w:val="000000"/>
                <w:szCs w:val="21"/>
                <w:highlight w:val="none"/>
              </w:rPr>
              <w:t>本理财计划免除赎回费。</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7.浮动管理费：本理财计划不收取浮动管理费。</w:t>
            </w:r>
          </w:p>
          <w:p>
            <w:pPr>
              <w:widowControl/>
              <w:spacing w:line="360" w:lineRule="auto"/>
              <w:contextualSpacing/>
              <w:rPr>
                <w:rFonts w:ascii="宋体" w:hAnsi="宋体" w:cs="宋体"/>
                <w:color w:val="000000"/>
                <w:szCs w:val="21"/>
                <w:highlight w:val="none"/>
              </w:rPr>
            </w:pPr>
            <w:r>
              <w:rPr>
                <w:rFonts w:hint="eastAsia" w:ascii="宋体" w:hAnsi="宋体"/>
                <w:b/>
                <w:bCs/>
                <w:highlight w:val="none"/>
              </w:rPr>
              <w:t>管理人保留变更上述收取费率标准的权利，如有变更将提前</w:t>
            </w:r>
            <w:r>
              <w:rPr>
                <w:rFonts w:hint="eastAsia" w:ascii="宋体" w:hAnsi="宋体" w:cs="宋体"/>
                <w:b/>
                <w:bCs/>
                <w:kern w:val="0"/>
                <w:highlight w:val="none"/>
              </w:rPr>
              <w:t>〖</w:t>
            </w:r>
            <w:r>
              <w:rPr>
                <w:rFonts w:hint="eastAsia" w:ascii="宋体" w:hAnsi="宋体"/>
                <w:b/>
                <w:bCs/>
                <w:highlight w:val="none"/>
              </w:rPr>
              <w:t>1</w:t>
            </w:r>
            <w:r>
              <w:rPr>
                <w:rFonts w:hint="eastAsia" w:ascii="宋体" w:hAnsi="宋体" w:cs="宋体"/>
                <w:b/>
                <w:bCs/>
                <w:kern w:val="0"/>
                <w:highlight w:val="none"/>
              </w:rPr>
              <w:t>〗</w:t>
            </w:r>
            <w:r>
              <w:rPr>
                <w:rFonts w:hint="eastAsia" w:ascii="宋体" w:hAnsi="宋体"/>
                <w:b/>
                <w:bCs/>
                <w:highlight w:val="none"/>
              </w:rPr>
              <w:t>个工作日在管理人或销售机构网站公告。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产品终止</w:t>
            </w:r>
          </w:p>
        </w:tc>
        <w:tc>
          <w:tcPr>
            <w:tcW w:w="7024" w:type="dxa"/>
            <w:noWrap w:val="0"/>
            <w:vAlign w:val="center"/>
          </w:tcPr>
          <w:p>
            <w:pPr>
              <w:widowControl/>
              <w:spacing w:line="360" w:lineRule="auto"/>
              <w:contextualSpacing/>
              <w:rPr>
                <w:rFonts w:ascii="宋体" w:hAnsi="宋体" w:cs="宋体"/>
                <w:b/>
                <w:color w:val="000000"/>
                <w:kern w:val="0"/>
                <w:szCs w:val="21"/>
                <w:highlight w:val="none"/>
              </w:rPr>
            </w:pPr>
            <w:r>
              <w:rPr>
                <w:rFonts w:hint="eastAsia" w:ascii="宋体" w:hAnsi="宋体" w:cs="宋体"/>
                <w:b/>
                <w:color w:val="000000"/>
                <w:kern w:val="0"/>
                <w:szCs w:val="21"/>
                <w:highlight w:val="none"/>
              </w:rPr>
              <w:t>如遇国家金融政策出现重大调整并影响到本理财计划的正常运行的、市场收益率大幅波动可能或实质影响理财计划收益等情况，管理人有权提前终止本理财计划。具体参见说明书“交易规则”部分。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税费规定</w:t>
            </w:r>
          </w:p>
        </w:tc>
        <w:tc>
          <w:tcPr>
            <w:tcW w:w="7024" w:type="dxa"/>
            <w:noWrap w:val="0"/>
            <w:vAlign w:val="center"/>
          </w:tcPr>
          <w:p>
            <w:pPr>
              <w:spacing w:line="360" w:lineRule="auto"/>
              <w:outlineLvl w:val="9"/>
              <w:rPr>
                <w:rFonts w:ascii="宋体" w:hAnsi="宋体" w:cs="宋体"/>
                <w:color w:val="000000"/>
                <w:szCs w:val="21"/>
                <w:highlight w:val="none"/>
              </w:rPr>
            </w:pPr>
            <w:r>
              <w:rPr>
                <w:rFonts w:hint="eastAsia" w:ascii="宋体" w:hAnsi="宋体" w:cs="宋体"/>
                <w:color w:val="000000"/>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kern w:val="0"/>
                <w:szCs w:val="21"/>
                <w:highlight w:val="none"/>
              </w:rPr>
            </w:pPr>
            <w:r>
              <w:rPr>
                <w:rFonts w:hint="eastAsia" w:ascii="宋体" w:hAnsi="宋体" w:cs="宋体"/>
                <w:color w:val="000000"/>
                <w:szCs w:val="21"/>
                <w:highlight w:val="none"/>
              </w:rPr>
              <w:t>融资服务</w:t>
            </w:r>
          </w:p>
        </w:tc>
        <w:tc>
          <w:tcPr>
            <w:tcW w:w="7024" w:type="dxa"/>
            <w:noWrap w:val="0"/>
            <w:vAlign w:val="bottom"/>
          </w:tcPr>
          <w:p>
            <w:pPr>
              <w:spacing w:line="360" w:lineRule="auto"/>
              <w:rPr>
                <w:rFonts w:ascii="宋体" w:hAnsi="宋体" w:cs="宋体"/>
                <w:b/>
                <w:color w:val="000000"/>
                <w:kern w:val="0"/>
                <w:szCs w:val="21"/>
                <w:highlight w:val="none"/>
              </w:rPr>
            </w:pPr>
            <w:r>
              <w:rPr>
                <w:rFonts w:hint="eastAsia" w:ascii="宋体" w:hAnsi="宋体" w:cs="宋体"/>
                <w:b/>
                <w:color w:val="000000"/>
                <w:szCs w:val="21"/>
                <w:highlight w:val="none"/>
              </w:rPr>
              <w:t>投资者在理财期限内不能提前支取，如需质押按销售机构相关规定执行。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其他规定</w:t>
            </w:r>
          </w:p>
        </w:tc>
        <w:tc>
          <w:tcPr>
            <w:tcW w:w="70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kern w:val="0"/>
                <w:szCs w:val="21"/>
                <w:highlight w:val="none"/>
              </w:rPr>
            </w:pPr>
            <w:r>
              <w:rPr>
                <w:rFonts w:hint="eastAsia" w:ascii="宋体" w:hAnsi="宋体" w:cs="宋体"/>
                <w:color w:val="000000"/>
                <w:szCs w:val="21"/>
                <w:highlight w:val="none"/>
              </w:rPr>
              <w:t>1.认购期内按照活期存款利率计息，认购期内的利息不计入认购本金份额。到期日（或产品终止日）到理财资金返还到账日为清算期，清算期内不计付利息。</w:t>
            </w:r>
            <w:r>
              <w:rPr>
                <w:rFonts w:hint="eastAsia" w:ascii="宋体" w:hAnsi="宋体" w:cs="宋体"/>
                <w:color w:val="000000"/>
                <w:kern w:val="0"/>
                <w:szCs w:val="21"/>
                <w:highlight w:val="none"/>
              </w:rPr>
              <w:t>（具体以销售机构规定为准）</w:t>
            </w:r>
          </w:p>
          <w:p>
            <w:pPr>
              <w:spacing w:line="360" w:lineRule="auto"/>
              <w:rPr>
                <w:rFonts w:ascii="宋体" w:hAnsi="宋体" w:cs="宋体"/>
                <w:color w:val="000000"/>
                <w:kern w:val="0"/>
                <w:szCs w:val="21"/>
                <w:highlight w:val="none"/>
              </w:rPr>
            </w:pPr>
            <w:r>
              <w:rPr>
                <w:rFonts w:hint="eastAsia" w:ascii="宋体" w:hAnsi="宋体" w:cs="宋体"/>
                <w:color w:val="000000"/>
                <w:kern w:val="0"/>
                <w:highlight w:val="none"/>
              </w:rPr>
              <w:t>2.认购</w:t>
            </w:r>
            <w:r>
              <w:rPr>
                <w:rFonts w:ascii="宋体" w:hAnsi="宋体" w:cs="宋体"/>
                <w:color w:val="000000"/>
                <w:kern w:val="0"/>
                <w:highlight w:val="none"/>
              </w:rPr>
              <w:t>/</w:t>
            </w:r>
            <w:r>
              <w:rPr>
                <w:rFonts w:hint="eastAsia" w:ascii="宋体" w:hAnsi="宋体" w:cs="宋体"/>
                <w:color w:val="000000"/>
                <w:kern w:val="0"/>
                <w:highlight w:val="none"/>
              </w:rPr>
              <w:t>申购申请成功受理后，资金立即自动冻结，投资者不得要求支取和使用。但认购</w:t>
            </w:r>
            <w:r>
              <w:rPr>
                <w:rFonts w:ascii="宋体" w:hAnsi="宋体" w:cs="宋体"/>
                <w:color w:val="000000"/>
                <w:kern w:val="0"/>
                <w:highlight w:val="none"/>
              </w:rPr>
              <w:t>/</w:t>
            </w:r>
            <w:r>
              <w:rPr>
                <w:rFonts w:hint="eastAsia" w:ascii="宋体" w:hAnsi="宋体" w:cs="宋体"/>
                <w:color w:val="000000"/>
                <w:kern w:val="0"/>
                <w:highlight w:val="none"/>
              </w:rPr>
              <w:t>申购资金的冻结不代表该认购</w:t>
            </w:r>
            <w:r>
              <w:rPr>
                <w:rFonts w:ascii="宋体" w:hAnsi="宋体" w:cs="宋体"/>
                <w:color w:val="000000"/>
                <w:kern w:val="0"/>
                <w:highlight w:val="none"/>
              </w:rPr>
              <w:t>/</w:t>
            </w:r>
            <w:r>
              <w:rPr>
                <w:rFonts w:hint="eastAsia" w:ascii="宋体" w:hAnsi="宋体" w:cs="宋体"/>
                <w:color w:val="000000"/>
                <w:kern w:val="0"/>
                <w:highlight w:val="none"/>
              </w:rPr>
              <w:t>申购成功，投资者实际认购</w:t>
            </w:r>
            <w:r>
              <w:rPr>
                <w:rFonts w:ascii="宋体" w:hAnsi="宋体" w:cs="宋体"/>
                <w:color w:val="000000"/>
                <w:kern w:val="0"/>
                <w:highlight w:val="none"/>
              </w:rPr>
              <w:t>/</w:t>
            </w:r>
            <w:r>
              <w:rPr>
                <w:rFonts w:hint="eastAsia" w:ascii="宋体" w:hAnsi="宋体" w:cs="宋体"/>
                <w:color w:val="000000"/>
                <w:kern w:val="0"/>
                <w:highlight w:val="none"/>
              </w:rPr>
              <w:t>申购成功的金额以产品成立日</w:t>
            </w:r>
            <w:r>
              <w:rPr>
                <w:rFonts w:ascii="宋体" w:hAnsi="宋体" w:cs="宋体"/>
                <w:color w:val="000000"/>
                <w:kern w:val="0"/>
                <w:highlight w:val="none"/>
              </w:rPr>
              <w:t>/</w:t>
            </w:r>
            <w:r>
              <w:rPr>
                <w:rFonts w:hint="eastAsia" w:ascii="宋体" w:hAnsi="宋体" w:cs="宋体"/>
                <w:color w:val="000000"/>
                <w:kern w:val="0"/>
                <w:highlight w:val="none"/>
              </w:rPr>
              <w:t>申购确认日的管理人最终确认并实际扣款的资金为准。同时，销售机构将在产品成立日</w:t>
            </w:r>
            <w:r>
              <w:rPr>
                <w:rFonts w:ascii="宋体" w:hAnsi="宋体" w:cs="宋体"/>
                <w:color w:val="000000"/>
                <w:kern w:val="0"/>
                <w:highlight w:val="none"/>
              </w:rPr>
              <w:t>/</w:t>
            </w:r>
            <w:r>
              <w:rPr>
                <w:rFonts w:hint="eastAsia" w:ascii="宋体" w:hAnsi="宋体" w:cs="宋体"/>
                <w:color w:val="000000"/>
                <w:kern w:val="0"/>
                <w:highlight w:val="none"/>
              </w:rPr>
              <w:t>申购确认日的次一工作日内将投资者未认购</w:t>
            </w:r>
            <w:r>
              <w:rPr>
                <w:rFonts w:ascii="宋体" w:hAnsi="宋体" w:cs="宋体"/>
                <w:color w:val="000000"/>
                <w:kern w:val="0"/>
                <w:highlight w:val="none"/>
              </w:rPr>
              <w:t>/</w:t>
            </w:r>
            <w:r>
              <w:rPr>
                <w:rFonts w:hint="eastAsia" w:ascii="宋体" w:hAnsi="宋体" w:cs="宋体"/>
                <w:color w:val="000000"/>
                <w:kern w:val="0"/>
                <w:highlight w:val="none"/>
              </w:rPr>
              <w:t>申购成功的资金（如有）解除冻结。</w:t>
            </w:r>
          </w:p>
          <w:p>
            <w:p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3.管理人有权根据市场情况和本理财计划运作情况，对本理财计划的收费项目、条件、标准和方式进行调整。</w:t>
            </w:r>
          </w:p>
        </w:tc>
      </w:tr>
    </w:tbl>
    <w:p>
      <w:pPr>
        <w:spacing w:line="360" w:lineRule="auto"/>
        <w:rPr>
          <w:rFonts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ascii="宋体" w:hAnsi="宋体" w:cs="宋体"/>
          <w:b/>
          <w:color w:val="000000"/>
          <w:sz w:val="24"/>
          <w:highlight w:val="none"/>
        </w:rPr>
      </w:pPr>
    </w:p>
    <w:p>
      <w:pPr>
        <w:numPr>
          <w:ilvl w:val="0"/>
          <w:numId w:val="18"/>
        </w:numPr>
        <w:spacing w:line="360" w:lineRule="auto"/>
        <w:outlineLvl w:val="1"/>
        <w:rPr>
          <w:rFonts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19"/>
        </w:numPr>
        <w:spacing w:line="360" w:lineRule="auto"/>
        <w:jc w:val="left"/>
        <w:outlineLvl w:val="2"/>
        <w:rPr>
          <w:rFonts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0"/>
        </w:numPr>
        <w:spacing w:line="360" w:lineRule="auto"/>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固定收益类资产：包括但不限于各类债券、存款、货币市场金融工具等高流动性资产、债券基金、质押式及买断式回购，其他符合监管要求的固定收益类资产及资产管理产品。</w:t>
      </w:r>
    </w:p>
    <w:p>
      <w:pPr>
        <w:numPr>
          <w:ilvl w:val="0"/>
          <w:numId w:val="20"/>
        </w:numPr>
        <w:spacing w:line="360" w:lineRule="auto"/>
        <w:rPr>
          <w:rFonts w:ascii="宋体" w:hAnsi="宋体" w:cs="宋体"/>
          <w:bCs/>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0"/>
        </w:numPr>
        <w:spacing w:line="360" w:lineRule="auto"/>
        <w:rPr>
          <w:rFonts w:ascii="宋体" w:hAnsi="宋体" w:cs="宋体"/>
          <w:bCs/>
          <w:highlight w:val="none"/>
        </w:rPr>
      </w:pPr>
      <w:r>
        <w:rPr>
          <w:rFonts w:hint="eastAsia" w:ascii="宋体" w:hAnsi="宋体" w:cs="宋体"/>
          <w:bCs/>
          <w:sz w:val="24"/>
          <w:highlight w:val="none"/>
        </w:rPr>
        <w:t>其他符合监管要求资产：包括其他符合监管要求的资产或资产管理产品。</w:t>
      </w:r>
    </w:p>
    <w:p>
      <w:pPr>
        <w:numPr>
          <w:ilvl w:val="0"/>
          <w:numId w:val="19"/>
        </w:numPr>
        <w:spacing w:line="360" w:lineRule="auto"/>
        <w:jc w:val="left"/>
        <w:outlineLvl w:val="2"/>
        <w:rPr>
          <w:rFonts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其他符合监管要求资产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2"/>
        <w:adjustRightInd/>
        <w:spacing w:line="360" w:lineRule="auto"/>
        <w:ind w:firstLine="456" w:firstLineChars="190"/>
        <w:rPr>
          <w:rFonts w:ascii="宋体" w:hAnsi="宋体" w:cs="宋体"/>
          <w:bCs/>
          <w:color w:val="auto"/>
          <w:kern w:val="2"/>
          <w:highlight w:val="none"/>
        </w:rPr>
      </w:pPr>
      <w:r>
        <w:rPr>
          <w:rFonts w:hint="eastAsia" w:ascii="宋体" w:hAnsi="宋体" w:cs="宋体"/>
          <w:bCs/>
          <w:color w:val="auto"/>
          <w:kern w:val="2"/>
          <w:highlight w:val="none"/>
        </w:rPr>
        <w:t>本理财计划自成立日起1个月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19"/>
        </w:numPr>
        <w:spacing w:line="360" w:lineRule="auto"/>
        <w:jc w:val="left"/>
        <w:outlineLvl w:val="2"/>
        <w:rPr>
          <w:rFonts w:ascii="宋体" w:hAnsi="宋体" w:cs="宋体"/>
          <w:b/>
          <w:sz w:val="24"/>
          <w:highlight w:val="none"/>
        </w:rPr>
      </w:pPr>
      <w:r>
        <w:rPr>
          <w:rFonts w:hint="eastAsia" w:ascii="宋体" w:hAnsi="宋体" w:cs="宋体"/>
          <w:b/>
          <w:sz w:val="24"/>
          <w:highlight w:val="none"/>
        </w:rPr>
        <w:t>投资策略</w:t>
      </w:r>
    </w:p>
    <w:p>
      <w:pPr>
        <w:pStyle w:val="12"/>
        <w:numPr>
          <w:ilvl w:val="0"/>
          <w:numId w:val="21"/>
        </w:numPr>
        <w:adjustRightInd/>
        <w:spacing w:line="360" w:lineRule="auto"/>
        <w:rPr>
          <w:rFonts w:ascii="宋体" w:hAnsi="宋体" w:cs="宋体"/>
          <w:bCs/>
          <w:color w:val="auto"/>
          <w:kern w:val="2"/>
          <w:highlight w:val="none"/>
        </w:rPr>
      </w:pPr>
      <w:r>
        <w:rPr>
          <w:rFonts w:hint="eastAsia" w:ascii="宋体" w:hAnsi="宋体" w:cs="宋体"/>
          <w:bCs/>
          <w:color w:val="auto"/>
          <w:kern w:val="2"/>
          <w:highlight w:val="none"/>
        </w:rPr>
        <w:t>资产配置策略</w:t>
      </w:r>
    </w:p>
    <w:p>
      <w:pPr>
        <w:pStyle w:val="12"/>
        <w:adjustRightInd/>
        <w:spacing w:line="360" w:lineRule="auto"/>
        <w:rPr>
          <w:rFonts w:ascii="宋体" w:cs="宋体"/>
          <w:sz w:val="21"/>
          <w:szCs w:val="21"/>
          <w:highlight w:val="none"/>
        </w:rPr>
      </w:pPr>
      <w:r>
        <w:rPr>
          <w:rFonts w:hint="eastAsia" w:ascii="宋体" w:hAnsi="宋体" w:cs="宋体"/>
          <w:bCs/>
          <w:color w:val="auto"/>
          <w:kern w:val="2"/>
          <w:highlight w:val="none"/>
        </w:rPr>
        <w:t xml:space="preserve">    将通过对宏观经济形势、各项国家政策、及证券市场环境的分析来判断经济周期目前的位置，主动判断市场时机进行资产配置，确定在股票、债券、金融衍生品等各类资产上的投资比例。</w:t>
      </w:r>
    </w:p>
    <w:p>
      <w:pPr>
        <w:numPr>
          <w:ilvl w:val="0"/>
          <w:numId w:val="22"/>
        </w:numPr>
        <w:spacing w:line="360" w:lineRule="auto"/>
        <w:jc w:val="left"/>
        <w:rPr>
          <w:rFonts w:ascii="宋体" w:hAnsi="宋体" w:cs="宋体"/>
          <w:bCs/>
          <w:sz w:val="24"/>
          <w:highlight w:val="none"/>
        </w:rPr>
      </w:pPr>
      <w:r>
        <w:rPr>
          <w:rFonts w:hint="eastAsia" w:ascii="宋体" w:hAnsi="宋体" w:cs="宋体"/>
          <w:bCs/>
          <w:sz w:val="24"/>
          <w:highlight w:val="none"/>
        </w:rPr>
        <w:t>债券投资策略</w:t>
      </w:r>
    </w:p>
    <w:p>
      <w:pPr>
        <w:pStyle w:val="12"/>
        <w:adjustRightInd/>
        <w:spacing w:line="360" w:lineRule="auto"/>
        <w:ind w:firstLine="480" w:firstLineChars="200"/>
        <w:rPr>
          <w:rFonts w:ascii="宋体" w:hAnsi="宋体" w:cs="宋体"/>
          <w:bCs/>
          <w:highlight w:val="none"/>
        </w:rPr>
      </w:pPr>
      <w:r>
        <w:rPr>
          <w:rFonts w:hint="eastAsia" w:ascii="宋体" w:hAnsi="宋体" w:cs="宋体"/>
          <w:bCs/>
          <w:color w:val="auto"/>
          <w:kern w:val="2"/>
          <w:highlight w:val="none"/>
        </w:rPr>
        <w:t>管理人本着稳健投资的理念，采用安全性和流动性优先、优选投资品种，采取久期策略和信用策略来获取稳定收益。</w:t>
      </w:r>
    </w:p>
    <w:p>
      <w:pPr>
        <w:numPr>
          <w:ilvl w:val="0"/>
          <w:numId w:val="22"/>
        </w:numPr>
        <w:spacing w:line="360" w:lineRule="auto"/>
        <w:jc w:val="left"/>
        <w:rPr>
          <w:rFonts w:ascii="宋体" w:hAnsi="宋体" w:cs="宋体"/>
          <w:bCs/>
          <w:sz w:val="24"/>
          <w:highlight w:val="none"/>
        </w:rPr>
      </w:pPr>
      <w:r>
        <w:rPr>
          <w:rFonts w:hint="eastAsia" w:ascii="宋体" w:hAnsi="宋体" w:cs="宋体"/>
          <w:bCs/>
          <w:sz w:val="24"/>
          <w:highlight w:val="none"/>
        </w:rPr>
        <w:t>股票投资策略</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通过对公司可持续竞争力、治理结构、管理层素质、业绩成长性及确定性、估值等要素定性与定量结合综合评定，筛选出具备中长期投资价值的公司股票库，并通过股票库中可选投资标的公司未来1-2年期望收益率、股票有效流动性、市场风险偏好等核心要素的综合比较，选择风险收益比最具吸引力的个股，并根据投资标的公司股价驱动主要因素的变化动态调整投资组合构成。</w:t>
      </w:r>
    </w:p>
    <w:p>
      <w:pPr>
        <w:numPr>
          <w:ilvl w:val="0"/>
          <w:numId w:val="19"/>
        </w:numPr>
        <w:spacing w:line="360" w:lineRule="auto"/>
        <w:jc w:val="left"/>
        <w:outlineLvl w:val="2"/>
        <w:rPr>
          <w:rFonts w:ascii="宋体" w:hAnsi="宋体" w:cs="宋体"/>
          <w:b/>
          <w:sz w:val="24"/>
          <w:highlight w:val="none"/>
        </w:rPr>
      </w:pPr>
      <w:r>
        <w:rPr>
          <w:rFonts w:hint="eastAsia" w:ascii="宋体" w:hAnsi="宋体" w:cs="宋体"/>
          <w:b/>
          <w:sz w:val="24"/>
          <w:highlight w:val="none"/>
        </w:rPr>
        <w:t>投资限制</w:t>
      </w:r>
    </w:p>
    <w:p>
      <w:pPr>
        <w:numPr>
          <w:ilvl w:val="0"/>
          <w:numId w:val="23"/>
        </w:numPr>
        <w:spacing w:line="360" w:lineRule="auto"/>
        <w:jc w:val="left"/>
        <w:rPr>
          <w:rFonts w:ascii="宋体" w:hAnsi="宋体" w:cs="宋体"/>
          <w:bCs/>
          <w:sz w:val="24"/>
          <w:highlight w:val="none"/>
        </w:rPr>
      </w:pPr>
      <w:r>
        <w:rPr>
          <w:rFonts w:hint="eastAsia" w:ascii="宋体" w:hAnsi="宋体" w:cs="宋体"/>
          <w:bCs/>
          <w:sz w:val="24"/>
          <w:highlight w:val="none"/>
        </w:rPr>
        <w:t>投资集中度限制</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highlight w:val="none"/>
        </w:rPr>
        <w:fldChar w:fldCharType="begin"/>
      </w:r>
      <w:r>
        <w:rPr>
          <w:highlight w:val="none"/>
        </w:rPr>
        <w:instrText xml:space="preserve"> HYPERLINK "https://baike.baidu.com/item/%E8%AF%81%E5%88%B8%E6%8A%95%E8%B5%84%E5%9F%BA%E9%87%91/3746" \t "https://baike.baidu.com/item/%E5%95%86%E4%B8%9A%E9%93%B6%E8%A1%8C%E7%90%86%E8%B4%A2%E4%B8%9A%E5%8A%A1%E7%9B%91%E7%9D%A3%E7%AE%A1%E7%90%86%E5%8A%9E%E6%B3%95/_blank" </w:instrText>
      </w:r>
      <w:r>
        <w:rPr>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jc w:val="left"/>
        <w:rPr>
          <w:rFonts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流动性限制</w:t>
      </w:r>
    </w:p>
    <w:p>
      <w:pPr>
        <w:spacing w:line="360" w:lineRule="auto"/>
        <w:ind w:firstLine="480"/>
        <w:jc w:val="left"/>
        <w:rPr>
          <w:rFonts w:hint="eastAsia" w:ascii="宋体" w:hAnsi="宋体" w:cs="宋体"/>
          <w:bCs/>
          <w:sz w:val="24"/>
          <w:highlight w:val="none"/>
        </w:rPr>
      </w:pPr>
      <w:r>
        <w:rPr>
          <w:rFonts w:hint="eastAsia" w:ascii="宋体" w:hAnsi="宋体" w:cs="宋体"/>
          <w:bCs/>
          <w:sz w:val="24"/>
          <w:highlight w:val="none"/>
        </w:rPr>
        <w:t>本理财计划应当持有不低于该理财产品资产净值5%的现金或者到期日在一年以内的国债、中央银行票据和政策性金融债券。</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本理财计划直接投资于流动性受限资产的市值在开放日不得超过该理财计划资产净值的15%。</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如定期开放周期不低于90天，应当在开放日及开放日前7个工作日内持有不低于该理财计划资产净值5%的现金或者到期日在一年以内的国债、中央银行票据和政策性金融债券；如定期开放周期低于90天，应当持有不低于该理财产品资产净值5%的现金或者到期日在一年以内的国债、中央银行票据和政策性金融债券。</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在开放日前一工作日内，本理财计划7个工作日可变现资产的可变现价值应当不低于该理财计划资产净值的10%。</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本理财计划如定期开放周期低于90天，计划投资不存在活跃交易市场，并且需要采用估值技术确定公允价值的资产比例不得超过理财产品净资产50%以上。</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highlight w:val="none"/>
        </w:rPr>
        <w:fldChar w:fldCharType="begin"/>
      </w:r>
      <w:r>
        <w:rPr>
          <w:highlight w:val="none"/>
        </w:rPr>
        <w:instrText xml:space="preserve"> HYPERLINK "https://baike.baidu.com/item/%E8%B5%84%E4%BA%A7%E6%94%AF%E6%8C%81%E8%AF%81%E5%88%B8/8989161" \t "https://baike.baidu.com/item/%E5%95%86%E4%B8%9A%E9%93%B6%E8%A1%8C%E7%90%86%E8%B4%A2%E4%B8%9A%E5%8A%A1%E7%9B%91%E7%9D%A3%E7%AE%A1%E7%90%86%E5%8A%9E%E6%B3%95/_blank" </w:instrText>
      </w:r>
      <w:r>
        <w:rPr>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（五）拟投资市场、资产的流动性风险评估</w:t>
      </w:r>
    </w:p>
    <w:p>
      <w:pPr>
        <w:spacing w:line="360" w:lineRule="auto"/>
        <w:ind w:left="420"/>
        <w:jc w:val="left"/>
        <w:rPr>
          <w:rFonts w:hint="eastAsia" w:ascii="宋体" w:hAnsi="宋体" w:cs="宋体"/>
          <w:bCs/>
          <w:sz w:val="24"/>
          <w:highlight w:val="none"/>
        </w:rPr>
      </w:pPr>
      <w:r>
        <w:rPr>
          <w:rFonts w:hint="eastAsia" w:ascii="宋体" w:hAnsi="宋体" w:cs="宋体"/>
          <w:bCs/>
          <w:sz w:val="24"/>
          <w:highlight w:val="none"/>
        </w:rPr>
        <w:t>本理财计划拟投资市场可能面临的流动性风险如下：</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以上风险仅为列举性质，未能详尽列明拟投资市场和资产面临的全部流动性风险</w:t>
      </w:r>
      <w:r>
        <w:rPr>
          <w:rFonts w:ascii="宋体" w:hAnsi="宋体" w:cs="宋体"/>
          <w:bCs/>
          <w:sz w:val="24"/>
          <w:highlight w:val="none"/>
        </w:rPr>
        <w:t>可能导致投资者投资本金及收益损失</w:t>
      </w:r>
      <w:r>
        <w:rPr>
          <w:rFonts w:hint="eastAsia" w:ascii="宋体" w:hAnsi="宋体" w:cs="宋体"/>
          <w:bCs/>
          <w:sz w:val="24"/>
          <w:highlight w:val="none"/>
        </w:rPr>
        <w:t>或延期兑付</w:t>
      </w:r>
      <w:r>
        <w:rPr>
          <w:rFonts w:ascii="宋体" w:hAnsi="宋体" w:cs="宋体"/>
          <w:bCs/>
          <w:sz w:val="24"/>
          <w:highlight w:val="none"/>
        </w:rPr>
        <w:t>的所有因素</w:t>
      </w:r>
      <w:r>
        <w:rPr>
          <w:rFonts w:hint="eastAsia" w:ascii="宋体" w:hAnsi="宋体" w:cs="宋体"/>
          <w:bCs/>
          <w:sz w:val="24"/>
          <w:highlight w:val="none"/>
        </w:rPr>
        <w:t>。管理人会进行标的的分散化投资并结合对各类标的资产的预期流动性合理进行资产配置，最大程度防范流动性风险。</w:t>
      </w:r>
    </w:p>
    <w:p>
      <w:pPr>
        <w:spacing w:line="360" w:lineRule="auto"/>
        <w:jc w:val="left"/>
        <w:rPr>
          <w:rFonts w:ascii="宋体" w:hAnsi="宋体" w:cs="宋体"/>
          <w:bCs/>
          <w:sz w:val="24"/>
          <w:highlight w:val="none"/>
        </w:rPr>
      </w:pPr>
    </w:p>
    <w:p>
      <w:pPr>
        <w:numPr>
          <w:ilvl w:val="0"/>
          <w:numId w:val="27"/>
        </w:numPr>
        <w:spacing w:line="360" w:lineRule="auto"/>
        <w:jc w:val="left"/>
        <w:outlineLvl w:val="1"/>
        <w:rPr>
          <w:rFonts w:ascii="宋体" w:hAnsi="宋体" w:cs="宋体"/>
          <w:b/>
          <w:sz w:val="24"/>
          <w:highlight w:val="none"/>
        </w:rPr>
      </w:pPr>
      <w:r>
        <w:rPr>
          <w:rFonts w:hint="eastAsia" w:ascii="宋体" w:hAnsi="宋体" w:cs="宋体"/>
          <w:b/>
          <w:sz w:val="24"/>
          <w:highlight w:val="none"/>
        </w:rPr>
        <w:t>合作机构及主要职责</w:t>
      </w:r>
    </w:p>
    <w:p>
      <w:pPr>
        <w:numPr>
          <w:ilvl w:val="0"/>
          <w:numId w:val="28"/>
        </w:numPr>
        <w:spacing w:line="360" w:lineRule="auto"/>
        <w:jc w:val="left"/>
        <w:outlineLvl w:val="2"/>
        <w:rPr>
          <w:rFonts w:ascii="宋体" w:hAnsi="宋体" w:cs="宋体"/>
          <w:b/>
          <w:sz w:val="24"/>
          <w:highlight w:val="none"/>
        </w:rPr>
      </w:pPr>
      <w:r>
        <w:rPr>
          <w:rFonts w:hint="eastAsia" w:ascii="宋体" w:hAnsi="宋体" w:cs="宋体"/>
          <w:b/>
          <w:sz w:val="24"/>
          <w:highlight w:val="none"/>
        </w:rPr>
        <w:t>托管人</w:t>
      </w:r>
    </w:p>
    <w:tbl>
      <w:tblPr>
        <w:tblStyle w:val="8"/>
        <w:tblW w:w="829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6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704"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6586" w:type="dxa"/>
            <w:noWrap w:val="0"/>
            <w:vAlign w:val="center"/>
          </w:tcPr>
          <w:p>
            <w:pPr>
              <w:spacing w:line="360" w:lineRule="auto"/>
              <w:jc w:val="left"/>
              <w:rPr>
                <w:rFonts w:ascii="宋体" w:hAnsi="宋体" w:cs="宋体"/>
                <w:bCs/>
                <w:szCs w:val="21"/>
                <w:highlight w:val="none"/>
              </w:rPr>
            </w:pPr>
            <w:r>
              <w:rPr>
                <w:rFonts w:hint="eastAsia" w:ascii="宋体" w:hAnsi="宋体" w:cs="宋体"/>
                <w:bCs/>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04"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6586" w:type="dxa"/>
            <w:noWrap w:val="0"/>
            <w:vAlign w:val="center"/>
          </w:tcPr>
          <w:p>
            <w:pPr>
              <w:spacing w:line="36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04" w:type="dxa"/>
            <w:noWrap w:val="0"/>
            <w:vAlign w:val="center"/>
          </w:tcPr>
          <w:p>
            <w:pPr>
              <w:spacing w:line="24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6586" w:type="dxa"/>
            <w:noWrap w:val="0"/>
            <w:vAlign w:val="center"/>
          </w:tcPr>
          <w:p>
            <w:pPr>
              <w:spacing w:line="240" w:lineRule="auto"/>
              <w:jc w:val="left"/>
              <w:rPr>
                <w:rFonts w:ascii="宋体" w:hAnsi="宋体" w:cs="宋体"/>
                <w:bCs/>
                <w:szCs w:val="21"/>
                <w:highlight w:val="none"/>
              </w:rPr>
            </w:pPr>
            <w:r>
              <w:rPr>
                <w:rFonts w:hint="eastAsia" w:ascii="宋体" w:hAnsi="宋体" w:cs="宋体"/>
                <w:bCs/>
                <w:szCs w:val="21"/>
                <w:highlight w:val="none"/>
              </w:rPr>
              <w:t>主要提供包括账户开立、资金保管、资金结算、估值核对等理财产品托管服务。</w:t>
            </w:r>
          </w:p>
        </w:tc>
      </w:tr>
    </w:tbl>
    <w:p>
      <w:pPr>
        <w:numPr>
          <w:ilvl w:val="0"/>
          <w:numId w:val="29"/>
        </w:numPr>
        <w:spacing w:line="360" w:lineRule="auto"/>
        <w:jc w:val="left"/>
        <w:outlineLvl w:val="2"/>
        <w:rPr>
          <w:rFonts w:ascii="宋体" w:hAnsi="宋体" w:cs="宋体"/>
          <w:b/>
          <w:sz w:val="24"/>
          <w:highlight w:val="none"/>
        </w:rPr>
      </w:pPr>
      <w:r>
        <w:rPr>
          <w:rFonts w:hint="eastAsia" w:ascii="宋体" w:hAnsi="宋体" w:cs="宋体"/>
          <w:b/>
          <w:sz w:val="24"/>
          <w:highlight w:val="none"/>
        </w:rPr>
        <w:t>销售机构</w:t>
      </w:r>
    </w:p>
    <w:tbl>
      <w:tblPr>
        <w:tblStyle w:val="8"/>
        <w:tblW w:w="8277"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2352"/>
        <w:gridCol w:w="1278"/>
        <w:gridCol w:w="3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restart"/>
            <w:noWrap w:val="0"/>
            <w:vAlign w:val="center"/>
          </w:tcPr>
          <w:p>
            <w:pPr>
              <w:spacing w:line="240" w:lineRule="auto"/>
              <w:jc w:val="center"/>
              <w:rPr>
                <w:rFonts w:ascii="宋体" w:hAnsi="宋体" w:cs="宋体"/>
                <w:bCs/>
                <w:szCs w:val="21"/>
                <w:highlight w:val="none"/>
              </w:rPr>
            </w:pPr>
            <w:r>
              <w:rPr>
                <w:rFonts w:hint="eastAsia" w:ascii="宋体" w:hAnsi="宋体" w:cs="宋体"/>
                <w:bCs/>
                <w:szCs w:val="21"/>
                <w:highlight w:val="none"/>
              </w:rPr>
              <w:t>销售机构信息</w:t>
            </w:r>
          </w:p>
        </w:tc>
        <w:tc>
          <w:tcPr>
            <w:tcW w:w="2352" w:type="dxa"/>
            <w:vMerge w:val="restart"/>
            <w:noWrap w:val="0"/>
            <w:vAlign w:val="center"/>
          </w:tcPr>
          <w:p>
            <w:pPr>
              <w:spacing w:line="240" w:lineRule="auto"/>
              <w:jc w:val="center"/>
              <w:rPr>
                <w:rFonts w:ascii="宋体" w:hAnsi="宋体" w:cs="宋体"/>
                <w:bCs/>
                <w:szCs w:val="21"/>
                <w:highlight w:val="none"/>
              </w:rPr>
            </w:pPr>
            <w:r>
              <w:rPr>
                <w:rFonts w:hint="eastAsia" w:ascii="宋体" w:hAnsi="宋体" w:cs="宋体"/>
                <w:bCs/>
                <w:szCs w:val="21"/>
                <w:highlight w:val="none"/>
              </w:rPr>
              <w:t>杭州银行股份有限公司</w:t>
            </w:r>
          </w:p>
        </w:tc>
        <w:tc>
          <w:tcPr>
            <w:tcW w:w="1278" w:type="dxa"/>
            <w:noWrap w:val="0"/>
            <w:vAlign w:val="center"/>
          </w:tcPr>
          <w:p>
            <w:pPr>
              <w:spacing w:line="240" w:lineRule="auto"/>
              <w:jc w:val="center"/>
              <w:rPr>
                <w:rFonts w:ascii="宋体" w:hAnsi="宋体" w:cs="宋体"/>
                <w:bCs/>
                <w:szCs w:val="21"/>
                <w:highlight w:val="none"/>
              </w:rPr>
            </w:pPr>
            <w:r>
              <w:rPr>
                <w:rFonts w:hint="eastAsia" w:ascii="宋体" w:hAnsi="宋体" w:cs="宋体"/>
                <w:bCs/>
                <w:szCs w:val="21"/>
                <w:highlight w:val="none"/>
              </w:rPr>
              <w:t>住所</w:t>
            </w:r>
          </w:p>
        </w:tc>
        <w:tc>
          <w:tcPr>
            <w:tcW w:w="3412" w:type="dxa"/>
            <w:noWrap w:val="0"/>
            <w:vAlign w:val="center"/>
          </w:tcPr>
          <w:p>
            <w:pPr>
              <w:spacing w:line="24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center"/>
          </w:tcPr>
          <w:p>
            <w:pPr>
              <w:spacing w:line="240" w:lineRule="auto"/>
              <w:jc w:val="center"/>
              <w:rPr>
                <w:rFonts w:hint="eastAsia" w:ascii="宋体" w:hAnsi="宋体" w:cs="宋体"/>
                <w:bCs/>
                <w:szCs w:val="21"/>
                <w:highlight w:val="none"/>
              </w:rPr>
            </w:pPr>
          </w:p>
        </w:tc>
        <w:tc>
          <w:tcPr>
            <w:tcW w:w="1278" w:type="dxa"/>
            <w:noWrap w:val="0"/>
            <w:vAlign w:val="center"/>
          </w:tcPr>
          <w:p>
            <w:pPr>
              <w:spacing w:line="240" w:lineRule="auto"/>
              <w:jc w:val="center"/>
              <w:rPr>
                <w:rFonts w:ascii="宋体" w:hAnsi="宋体" w:cs="宋体"/>
                <w:bCs/>
                <w:szCs w:val="21"/>
                <w:highlight w:val="none"/>
              </w:rPr>
            </w:pPr>
            <w:r>
              <w:rPr>
                <w:rFonts w:hint="eastAsia" w:ascii="宋体" w:hAnsi="宋体" w:cs="宋体"/>
                <w:bCs/>
                <w:szCs w:val="21"/>
                <w:highlight w:val="none"/>
              </w:rPr>
              <w:t>客服热线</w:t>
            </w:r>
          </w:p>
        </w:tc>
        <w:tc>
          <w:tcPr>
            <w:tcW w:w="3412" w:type="dxa"/>
            <w:noWrap w:val="0"/>
            <w:vAlign w:val="center"/>
          </w:tcPr>
          <w:p>
            <w:pPr>
              <w:spacing w:line="240" w:lineRule="auto"/>
              <w:jc w:val="center"/>
              <w:rPr>
                <w:rFonts w:ascii="宋体" w:hAnsi="宋体" w:cs="宋体"/>
                <w:bCs/>
                <w:szCs w:val="21"/>
                <w:highlight w:val="none"/>
              </w:rPr>
            </w:pPr>
            <w:r>
              <w:rPr>
                <w:rFonts w:hint="eastAsia" w:ascii="宋体" w:hAnsi="宋体" w:cs="宋体"/>
                <w:bCs/>
                <w:szCs w:val="21"/>
                <w:highlight w:val="none"/>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spacing w:line="240" w:lineRule="auto"/>
              <w:jc w:val="center"/>
              <w:rPr>
                <w:rFonts w:hint="default" w:ascii="宋体" w:hAnsi="宋体" w:cs="宋体"/>
                <w:bCs/>
                <w:szCs w:val="21"/>
                <w:highlight w:val="none"/>
                <w:lang w:val="en-US" w:eastAsia="zh-CN"/>
              </w:rPr>
            </w:pPr>
            <w:r>
              <w:rPr>
                <w:rFonts w:hint="eastAsia" w:ascii="宋体" w:hAnsi="宋体" w:cs="宋体"/>
                <w:bCs/>
                <w:szCs w:val="21"/>
                <w:highlight w:val="none"/>
              </w:rPr>
              <w:t>深圳前海微众银行股份有限公司</w:t>
            </w:r>
          </w:p>
        </w:tc>
        <w:tc>
          <w:tcPr>
            <w:tcW w:w="1278"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住所</w:t>
            </w:r>
          </w:p>
        </w:tc>
        <w:tc>
          <w:tcPr>
            <w:tcW w:w="3412" w:type="dxa"/>
            <w:noWrap w:val="0"/>
            <w:vAlign w:val="center"/>
          </w:tcPr>
          <w:p>
            <w:pPr>
              <w:spacing w:line="240" w:lineRule="auto"/>
              <w:jc w:val="center"/>
              <w:rPr>
                <w:rFonts w:hint="default" w:ascii="宋体" w:hAnsi="宋体" w:cs="宋体"/>
                <w:bCs/>
                <w:szCs w:val="21"/>
                <w:highlight w:val="none"/>
                <w:lang w:val="en-US" w:eastAsia="zh-CN"/>
              </w:rPr>
            </w:pPr>
            <w:r>
              <w:rPr>
                <w:rFonts w:hint="eastAsia" w:ascii="宋体" w:hAnsi="宋体" w:cs="宋体"/>
                <w:bCs/>
                <w:szCs w:val="21"/>
                <w:highlight w:val="none"/>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top"/>
          </w:tcPr>
          <w:p>
            <w:pPr>
              <w:spacing w:line="240" w:lineRule="auto"/>
              <w:jc w:val="center"/>
              <w:rPr>
                <w:rFonts w:hint="eastAsia" w:ascii="宋体" w:hAnsi="宋体" w:cs="宋体"/>
                <w:bCs/>
                <w:szCs w:val="21"/>
                <w:highlight w:val="none"/>
              </w:rPr>
            </w:pPr>
          </w:p>
        </w:tc>
        <w:tc>
          <w:tcPr>
            <w:tcW w:w="1278"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客服热线</w:t>
            </w:r>
          </w:p>
        </w:tc>
        <w:tc>
          <w:tcPr>
            <w:tcW w:w="3412" w:type="dxa"/>
            <w:noWrap w:val="0"/>
            <w:vAlign w:val="center"/>
          </w:tcPr>
          <w:p>
            <w:pPr>
              <w:spacing w:line="240" w:lineRule="auto"/>
              <w:jc w:val="center"/>
              <w:rPr>
                <w:rFonts w:hint="default" w:ascii="宋体" w:hAnsi="宋体" w:cs="宋体"/>
                <w:bCs/>
                <w:szCs w:val="21"/>
                <w:highlight w:val="none"/>
                <w:lang w:val="en-US" w:eastAsia="zh-CN"/>
              </w:rPr>
            </w:pPr>
            <w:r>
              <w:rPr>
                <w:rFonts w:hint="eastAsia" w:ascii="宋体" w:hAnsi="宋体" w:cs="宋体"/>
                <w:bCs/>
                <w:szCs w:val="21"/>
                <w:highlight w:val="none"/>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吉林亿联银行股份有限公司</w:t>
            </w:r>
          </w:p>
        </w:tc>
        <w:tc>
          <w:tcPr>
            <w:tcW w:w="1278"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住所</w:t>
            </w:r>
          </w:p>
        </w:tc>
        <w:tc>
          <w:tcPr>
            <w:tcW w:w="3412" w:type="dxa"/>
            <w:noWrap w:val="0"/>
            <w:vAlign w:val="center"/>
          </w:tcPr>
          <w:p>
            <w:pPr>
              <w:spacing w:line="240" w:lineRule="auto"/>
              <w:jc w:val="center"/>
              <w:rPr>
                <w:rFonts w:hint="eastAsia" w:ascii="宋体" w:hAnsi="宋体" w:cs="宋体"/>
                <w:bCs/>
                <w:szCs w:val="21"/>
                <w:highlight w:val="none"/>
                <w:lang w:val="en-US" w:eastAsia="zh-CN"/>
              </w:rPr>
            </w:pPr>
            <w:r>
              <w:rPr>
                <w:rFonts w:hint="eastAsia" w:ascii="宋体" w:hAnsi="宋体" w:cs="宋体"/>
                <w:bCs/>
                <w:szCs w:val="21"/>
                <w:highlight w:val="none"/>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top"/>
          </w:tcPr>
          <w:p>
            <w:pPr>
              <w:spacing w:line="240" w:lineRule="auto"/>
              <w:jc w:val="center"/>
              <w:rPr>
                <w:rFonts w:hint="eastAsia" w:ascii="宋体" w:hAnsi="宋体" w:cs="宋体"/>
                <w:bCs/>
                <w:szCs w:val="21"/>
                <w:highlight w:val="none"/>
              </w:rPr>
            </w:pPr>
          </w:p>
        </w:tc>
        <w:tc>
          <w:tcPr>
            <w:tcW w:w="1278"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客服热线</w:t>
            </w:r>
          </w:p>
        </w:tc>
        <w:tc>
          <w:tcPr>
            <w:tcW w:w="3412" w:type="dxa"/>
            <w:noWrap w:val="0"/>
            <w:vAlign w:val="center"/>
          </w:tcPr>
          <w:p>
            <w:pPr>
              <w:spacing w:line="240" w:lineRule="auto"/>
              <w:jc w:val="center"/>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江苏苏宁银行股份有限公司</w:t>
            </w:r>
          </w:p>
        </w:tc>
        <w:tc>
          <w:tcPr>
            <w:tcW w:w="1278"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住所</w:t>
            </w:r>
          </w:p>
        </w:tc>
        <w:tc>
          <w:tcPr>
            <w:tcW w:w="3412"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top"/>
          </w:tcPr>
          <w:p>
            <w:pPr>
              <w:spacing w:line="240" w:lineRule="auto"/>
              <w:jc w:val="center"/>
              <w:rPr>
                <w:rFonts w:hint="eastAsia" w:ascii="宋体" w:hAnsi="宋体" w:cs="宋体"/>
                <w:bCs/>
                <w:szCs w:val="21"/>
                <w:highlight w:val="none"/>
              </w:rPr>
            </w:pPr>
          </w:p>
        </w:tc>
        <w:tc>
          <w:tcPr>
            <w:tcW w:w="1278"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客服热线</w:t>
            </w:r>
          </w:p>
        </w:tc>
        <w:tc>
          <w:tcPr>
            <w:tcW w:w="3412"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95177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厦门银行股份有限公司</w:t>
            </w:r>
          </w:p>
        </w:tc>
        <w:tc>
          <w:tcPr>
            <w:tcW w:w="1278"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住所</w:t>
            </w:r>
          </w:p>
        </w:tc>
        <w:tc>
          <w:tcPr>
            <w:tcW w:w="3412"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top"/>
          </w:tcPr>
          <w:p>
            <w:pPr>
              <w:spacing w:line="240" w:lineRule="auto"/>
              <w:jc w:val="center"/>
              <w:rPr>
                <w:rFonts w:hint="eastAsia" w:ascii="宋体" w:hAnsi="宋体" w:cs="宋体"/>
                <w:bCs/>
                <w:szCs w:val="21"/>
                <w:highlight w:val="none"/>
              </w:rPr>
            </w:pPr>
          </w:p>
        </w:tc>
        <w:tc>
          <w:tcPr>
            <w:tcW w:w="1278"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客服热线</w:t>
            </w:r>
          </w:p>
        </w:tc>
        <w:tc>
          <w:tcPr>
            <w:tcW w:w="3412"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江苏常熟农村商业银行股份有限公司</w:t>
            </w: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住所</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center"/>
          </w:tcPr>
          <w:p>
            <w:pPr>
              <w:spacing w:line="240" w:lineRule="auto"/>
              <w:jc w:val="center"/>
              <w:rPr>
                <w:rFonts w:hint="eastAsia" w:ascii="宋体" w:hAnsi="宋体" w:cs="宋体"/>
                <w:bCs/>
                <w:szCs w:val="21"/>
                <w:highlight w:val="none"/>
              </w:rPr>
            </w:pP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客服热线</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江苏江阴农村商业银行股份有限公司</w:t>
            </w: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住所</w:t>
            </w:r>
          </w:p>
        </w:tc>
        <w:tc>
          <w:tcPr>
            <w:tcW w:w="3412" w:type="dxa"/>
            <w:noWrap w:val="0"/>
            <w:vAlign w:val="bottom"/>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江苏省江阴市澄江中路1号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center"/>
          </w:tcPr>
          <w:p>
            <w:pPr>
              <w:spacing w:line="240" w:lineRule="auto"/>
              <w:jc w:val="center"/>
              <w:rPr>
                <w:rFonts w:hint="eastAsia" w:ascii="宋体" w:hAnsi="宋体" w:cs="宋体"/>
                <w:bCs/>
                <w:szCs w:val="21"/>
                <w:highlight w:val="none"/>
              </w:rPr>
            </w:pP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客服热线</w:t>
            </w:r>
          </w:p>
        </w:tc>
        <w:tc>
          <w:tcPr>
            <w:tcW w:w="3412" w:type="dxa"/>
            <w:noWrap w:val="0"/>
            <w:vAlign w:val="bottom"/>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96078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广东华兴银行股份有限公司</w:t>
            </w: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住所</w:t>
            </w:r>
          </w:p>
        </w:tc>
        <w:tc>
          <w:tcPr>
            <w:tcW w:w="3412" w:type="dxa"/>
            <w:noWrap w:val="0"/>
            <w:vAlign w:val="bottom"/>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汕头市龙湖区黄山路28号四层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center"/>
          </w:tcPr>
          <w:p>
            <w:pPr>
              <w:spacing w:line="240" w:lineRule="auto"/>
              <w:jc w:val="center"/>
              <w:rPr>
                <w:rFonts w:hint="eastAsia" w:ascii="宋体" w:hAnsi="宋体" w:cs="宋体"/>
                <w:bCs/>
                <w:szCs w:val="21"/>
                <w:highlight w:val="none"/>
              </w:rPr>
            </w:pP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客服热线</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95091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江苏紫金农村商业银行股份有限公司</w:t>
            </w: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住所</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江苏省南京市建邺区江东中路381号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center"/>
          </w:tcPr>
          <w:p>
            <w:pPr>
              <w:spacing w:line="240" w:lineRule="auto"/>
              <w:jc w:val="center"/>
              <w:rPr>
                <w:rFonts w:hint="eastAsia" w:ascii="宋体" w:hAnsi="宋体" w:cs="宋体"/>
                <w:bCs/>
                <w:szCs w:val="21"/>
                <w:highlight w:val="none"/>
              </w:rPr>
            </w:pP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客服热线</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96008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杭银理财有限责任公司</w:t>
            </w: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住所</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center"/>
          </w:tcPr>
          <w:p>
            <w:pPr>
              <w:spacing w:line="240" w:lineRule="auto"/>
              <w:jc w:val="center"/>
              <w:rPr>
                <w:rFonts w:hint="eastAsia" w:ascii="宋体" w:hAnsi="宋体" w:cs="宋体"/>
                <w:bCs/>
                <w:szCs w:val="21"/>
                <w:highlight w:val="none"/>
              </w:rPr>
            </w:pP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客服热线</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中邮邮惠万家银行有限责任公司</w:t>
            </w: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住所</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center"/>
          </w:tcPr>
          <w:p>
            <w:pPr>
              <w:spacing w:line="240" w:lineRule="auto"/>
              <w:jc w:val="center"/>
              <w:rPr>
                <w:rFonts w:hint="eastAsia" w:ascii="宋体" w:hAnsi="宋体" w:cs="宋体"/>
                <w:bCs/>
                <w:szCs w:val="21"/>
                <w:highlight w:val="none"/>
              </w:rPr>
            </w:pP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客服热线</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甘肃银行股份有限公司</w:t>
            </w: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住所</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甘肃省兰州市城关区东岗西路525—1号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center"/>
          </w:tcPr>
          <w:p>
            <w:pPr>
              <w:spacing w:line="240" w:lineRule="auto"/>
              <w:jc w:val="center"/>
              <w:rPr>
                <w:rFonts w:hint="eastAsia" w:ascii="宋体" w:hAnsi="宋体" w:cs="宋体"/>
                <w:bCs/>
                <w:szCs w:val="21"/>
                <w:highlight w:val="none"/>
              </w:rPr>
            </w:pP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客服热线</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4008696666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noWrap w:val="0"/>
            <w:vAlign w:val="center"/>
          </w:tcPr>
          <w:p>
            <w:pPr>
              <w:spacing w:line="240" w:lineRule="auto"/>
              <w:jc w:val="center"/>
              <w:rPr>
                <w:rFonts w:ascii="宋体" w:hAnsi="宋体" w:cs="宋体"/>
                <w:bCs/>
                <w:sz w:val="21"/>
                <w:szCs w:val="21"/>
                <w:highlight w:val="none"/>
              </w:rPr>
            </w:pPr>
            <w:r>
              <w:rPr>
                <w:rFonts w:hint="eastAsia" w:ascii="宋体" w:hAnsi="宋体" w:cs="宋体"/>
                <w:bCs/>
                <w:sz w:val="21"/>
                <w:szCs w:val="21"/>
                <w:highlight w:val="none"/>
              </w:rPr>
              <w:t>销售机构职责</w:t>
            </w:r>
          </w:p>
        </w:tc>
        <w:tc>
          <w:tcPr>
            <w:tcW w:w="7042" w:type="dxa"/>
            <w:gridSpan w:val="3"/>
            <w:noWrap w:val="0"/>
            <w:vAlign w:val="top"/>
          </w:tcPr>
          <w:p>
            <w:pPr>
              <w:spacing w:line="240" w:lineRule="auto"/>
              <w:jc w:val="left"/>
              <w:rPr>
                <w:rFonts w:hint="eastAsia" w:ascii="宋体" w:hAnsi="宋体" w:cs="宋体"/>
                <w:bCs/>
                <w:sz w:val="21"/>
                <w:szCs w:val="21"/>
                <w:highlight w:val="none"/>
              </w:rPr>
            </w:pPr>
            <w:r>
              <w:rPr>
                <w:rFonts w:hint="eastAsia" w:ascii="宋体" w:hAnsi="宋体" w:cs="宋体"/>
                <w:bCs/>
                <w:sz w:val="21"/>
                <w:szCs w:val="21"/>
                <w:highlight w:val="none"/>
              </w:rPr>
              <w:t>主要负责理财计划推广、投资者风险承受能力评估、投资者适当性管理、理财计划份额认购、申购及赎回办理。</w:t>
            </w:r>
          </w:p>
          <w:p>
            <w:pPr>
              <w:spacing w:line="240" w:lineRule="auto"/>
              <w:jc w:val="left"/>
              <w:rPr>
                <w:rFonts w:ascii="宋体" w:hAnsi="宋体" w:cs="宋体"/>
                <w:bCs/>
                <w:sz w:val="21"/>
                <w:szCs w:val="21"/>
                <w:highlight w:val="none"/>
              </w:rPr>
            </w:pPr>
            <w:r>
              <w:rPr>
                <w:rFonts w:hint="eastAsia" w:ascii="宋体" w:hAnsi="宋体" w:cs="宋体"/>
                <w:bCs/>
                <w:sz w:val="21"/>
                <w:szCs w:val="21"/>
                <w:highlight w:val="none"/>
              </w:rPr>
              <w:t>协助管理人负责与投资者签订理财计划合同、与投资者沟通及进行信息披露、接受投资者咨询和维护等销售服务。</w:t>
            </w:r>
          </w:p>
        </w:tc>
      </w:tr>
    </w:tbl>
    <w:p>
      <w:p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在本理财计划发行后新增准入的销售机构将以管理人对外公告</w:t>
      </w:r>
      <w:r>
        <w:rPr>
          <w:rFonts w:hint="eastAsia" w:ascii="宋体" w:hAnsi="宋体" w:cs="宋体"/>
          <w:bCs/>
          <w:color w:val="000000"/>
          <w:sz w:val="24"/>
          <w:highlight w:val="none"/>
          <w:lang w:val="en-US" w:eastAsia="zh-CN"/>
        </w:rPr>
        <w:t>及官方网站展示</w:t>
      </w:r>
      <w:r>
        <w:rPr>
          <w:rFonts w:hint="eastAsia" w:ascii="宋体" w:hAnsi="宋体" w:cs="宋体"/>
          <w:bCs/>
          <w:color w:val="000000"/>
          <w:sz w:val="24"/>
          <w:highlight w:val="none"/>
        </w:rPr>
        <w:t>为准。</w:t>
      </w:r>
    </w:p>
    <w:p>
      <w:pPr>
        <w:spacing w:line="360" w:lineRule="auto"/>
        <w:jc w:val="left"/>
        <w:rPr>
          <w:rFonts w:ascii="宋体" w:hAnsi="宋体" w:cs="宋体"/>
          <w:bCs/>
          <w:sz w:val="24"/>
          <w:highlight w:val="none"/>
        </w:rPr>
      </w:pPr>
    </w:p>
    <w:p>
      <w:pPr>
        <w:numPr>
          <w:ilvl w:val="0"/>
          <w:numId w:val="27"/>
        </w:numPr>
        <w:spacing w:line="360" w:lineRule="auto"/>
        <w:jc w:val="left"/>
        <w:outlineLvl w:val="1"/>
        <w:rPr>
          <w:rFonts w:ascii="宋体" w:hAnsi="宋体" w:cs="宋体"/>
          <w:b/>
          <w:sz w:val="24"/>
          <w:highlight w:val="none"/>
        </w:rPr>
      </w:pPr>
      <w:r>
        <w:rPr>
          <w:rFonts w:hint="eastAsia" w:ascii="宋体" w:hAnsi="宋体" w:cs="宋体"/>
          <w:b/>
          <w:sz w:val="24"/>
          <w:highlight w:val="none"/>
        </w:rPr>
        <w:t>估值</w:t>
      </w:r>
    </w:p>
    <w:p>
      <w:pPr>
        <w:numPr>
          <w:ilvl w:val="0"/>
          <w:numId w:val="30"/>
        </w:numPr>
        <w:spacing w:line="360" w:lineRule="auto"/>
        <w:jc w:val="left"/>
        <w:outlineLvl w:val="2"/>
        <w:rPr>
          <w:rFonts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本理财计划估值日为每个证券交易所的交易日，定期由理财管理人和理财托管人核对估值结果并向投资者披露，具体日期以管理人公告为准。</w:t>
      </w:r>
    </w:p>
    <w:p>
      <w:pPr>
        <w:numPr>
          <w:ilvl w:val="0"/>
          <w:numId w:val="30"/>
        </w:numPr>
        <w:spacing w:line="360" w:lineRule="auto"/>
        <w:jc w:val="left"/>
        <w:outlineLvl w:val="2"/>
        <w:rPr>
          <w:rFonts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0"/>
        </w:numPr>
        <w:spacing w:line="360" w:lineRule="auto"/>
        <w:jc w:val="left"/>
        <w:outlineLvl w:val="2"/>
        <w:rPr>
          <w:rFonts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0"/>
        </w:numPr>
        <w:spacing w:line="360" w:lineRule="auto"/>
        <w:jc w:val="left"/>
        <w:outlineLvl w:val="2"/>
        <w:rPr>
          <w:rFonts w:ascii="宋体" w:hAnsi="宋体" w:cs="宋体"/>
          <w:b/>
          <w:sz w:val="24"/>
          <w:highlight w:val="none"/>
        </w:rPr>
      </w:pPr>
      <w:r>
        <w:rPr>
          <w:rFonts w:hint="eastAsia" w:ascii="宋体" w:hAnsi="宋体" w:cs="宋体"/>
          <w:b/>
          <w:sz w:val="24"/>
          <w:highlight w:val="none"/>
        </w:rPr>
        <w:t>估值方法</w:t>
      </w:r>
    </w:p>
    <w:p>
      <w:pPr>
        <w:numPr>
          <w:ilvl w:val="0"/>
          <w:numId w:val="31"/>
        </w:numPr>
        <w:spacing w:line="360" w:lineRule="auto"/>
        <w:rPr>
          <w:rFonts w:ascii="宋体" w:hAnsi="宋体" w:cs="宋体"/>
          <w:bCs/>
          <w:color w:val="000000"/>
          <w:sz w:val="24"/>
          <w:highlight w:val="none"/>
        </w:rPr>
      </w:pPr>
      <w:r>
        <w:rPr>
          <w:rFonts w:hint="eastAsia" w:ascii="宋体" w:hAnsi="宋体" w:cs="宋体"/>
          <w:bCs/>
          <w:color w:val="000000"/>
          <w:sz w:val="24"/>
          <w:highlight w:val="none"/>
        </w:rPr>
        <w:t>存款、债券回购、拆借及存放同业</w:t>
      </w:r>
    </w:p>
    <w:p>
      <w:pPr>
        <w:pStyle w:val="12"/>
        <w:adjustRightInd/>
        <w:spacing w:line="360" w:lineRule="auto"/>
        <w:ind w:firstLine="420"/>
        <w:rPr>
          <w:rFonts w:ascii="宋体" w:hAnsi="宋体" w:cs="宋体"/>
          <w:bCs/>
          <w:kern w:val="2"/>
          <w:highlight w:val="none"/>
        </w:rPr>
      </w:pPr>
      <w:r>
        <w:rPr>
          <w:rFonts w:hint="eastAsia" w:ascii="宋体" w:hAnsi="宋体" w:cs="宋体"/>
          <w:bCs/>
          <w:kern w:val="2"/>
          <w:highlight w:val="none"/>
        </w:rPr>
        <w:t>按成本估值，逐日计提利息。</w:t>
      </w:r>
    </w:p>
    <w:p>
      <w:pPr>
        <w:numPr>
          <w:ilvl w:val="0"/>
          <w:numId w:val="31"/>
        </w:numPr>
        <w:spacing w:line="360" w:lineRule="auto"/>
        <w:rPr>
          <w:rFonts w:ascii="宋体" w:hAnsi="宋体" w:cs="宋体"/>
          <w:bCs/>
          <w:color w:val="000000"/>
          <w:sz w:val="24"/>
          <w:highlight w:val="none"/>
        </w:rPr>
      </w:pPr>
      <w:r>
        <w:rPr>
          <w:rFonts w:hint="eastAsia" w:ascii="宋体" w:hAnsi="宋体" w:cs="宋体"/>
          <w:bCs/>
          <w:color w:val="000000"/>
          <w:sz w:val="24"/>
          <w:highlight w:val="none"/>
        </w:rPr>
        <w:t>债券类资产</w:t>
      </w:r>
    </w:p>
    <w:p>
      <w:pPr>
        <w:numPr>
          <w:ilvl w:val="0"/>
          <w:numId w:val="32"/>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以收取合同现金流量为目的并持有到期的债券，按照摊余成本法估值。</w:t>
      </w:r>
    </w:p>
    <w:p>
      <w:pPr>
        <w:numPr>
          <w:ilvl w:val="0"/>
          <w:numId w:val="32"/>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以交易为目的持有的债券按市价法估值。</w:t>
      </w:r>
    </w:p>
    <w:p>
      <w:pPr>
        <w:numPr>
          <w:ilvl w:val="0"/>
          <w:numId w:val="32"/>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暂不具备活跃交易市场，或者在活跃交易市场中没有报价、也不能采用估值技术可靠计量公允价值的金融资产，按照成本法估值。</w:t>
      </w:r>
    </w:p>
    <w:p>
      <w:pPr>
        <w:numPr>
          <w:ilvl w:val="0"/>
          <w:numId w:val="31"/>
        </w:numPr>
        <w:spacing w:line="360" w:lineRule="auto"/>
        <w:rPr>
          <w:rFonts w:ascii="宋体" w:hAnsi="宋体" w:cs="宋体"/>
          <w:bCs/>
          <w:color w:val="000000"/>
          <w:sz w:val="24"/>
          <w:highlight w:val="none"/>
        </w:rPr>
      </w:pPr>
      <w:r>
        <w:rPr>
          <w:rFonts w:hint="eastAsia" w:ascii="宋体" w:hAnsi="宋体" w:cs="宋体"/>
          <w:bCs/>
          <w:color w:val="000000"/>
          <w:sz w:val="24"/>
          <w:highlight w:val="none"/>
        </w:rPr>
        <w:t>非标准化债权类资产</w:t>
      </w:r>
    </w:p>
    <w:p>
      <w:pPr>
        <w:spacing w:line="360" w:lineRule="auto"/>
        <w:ind w:left="0" w:firstLine="480" w:firstLineChars="200"/>
        <w:rPr>
          <w:rFonts w:ascii="宋体" w:hAnsi="宋体" w:cs="宋体"/>
          <w:bCs/>
          <w:color w:val="000000"/>
          <w:sz w:val="24"/>
          <w:highlight w:val="none"/>
        </w:rPr>
      </w:pPr>
      <w:r>
        <w:rPr>
          <w:rFonts w:hint="eastAsia" w:ascii="宋体" w:hAnsi="宋体" w:cs="宋体"/>
          <w:bCs/>
          <w:color w:val="000000"/>
          <w:sz w:val="24"/>
          <w:highlight w:val="none"/>
        </w:rPr>
        <w:t>以收取合同现金流量为目的并持有到期的，按照企业会计准则要求，以摊余成本法计量，否则按照估值技术确定其公允价值。</w:t>
      </w:r>
    </w:p>
    <w:p>
      <w:pPr>
        <w:numPr>
          <w:ilvl w:val="0"/>
          <w:numId w:val="31"/>
        </w:numPr>
        <w:spacing w:line="360" w:lineRule="auto"/>
        <w:rPr>
          <w:rFonts w:ascii="宋体" w:hAnsi="宋体" w:cs="宋体"/>
          <w:bCs/>
          <w:color w:val="000000"/>
          <w:sz w:val="24"/>
          <w:highlight w:val="none"/>
        </w:rPr>
      </w:pPr>
      <w:r>
        <w:rPr>
          <w:rFonts w:hint="eastAsia" w:ascii="宋体" w:hAnsi="宋体" w:cs="宋体"/>
          <w:bCs/>
          <w:color w:val="000000"/>
          <w:sz w:val="24"/>
          <w:highlight w:val="none"/>
        </w:rPr>
        <w:t>基金、信托计划、资产管理计划等资产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若合同未约定估值方案，但有确定的预期收益率的，则按成本法估值，定期计提预期收益。如该类资产存续期间发生影响资产未来现金流的重大事件的，经管理人合理判断对资产价值进行重估。</w:t>
      </w:r>
    </w:p>
    <w:p>
      <w:pPr>
        <w:numPr>
          <w:ilvl w:val="0"/>
          <w:numId w:val="31"/>
        </w:numPr>
        <w:spacing w:line="360" w:lineRule="auto"/>
        <w:rPr>
          <w:rFonts w:ascii="宋体" w:hAnsi="宋体" w:cs="宋体"/>
          <w:bCs/>
          <w:color w:val="000000"/>
          <w:sz w:val="24"/>
          <w:highlight w:val="none"/>
        </w:rPr>
      </w:pPr>
      <w:r>
        <w:rPr>
          <w:rFonts w:hint="eastAsia" w:ascii="宋体" w:hAnsi="宋体" w:cs="宋体"/>
          <w:bCs/>
          <w:color w:val="000000"/>
          <w:sz w:val="24"/>
          <w:highlight w:val="none"/>
        </w:rPr>
        <w:t>在境内证券交易所上市的股票</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以其估值日在证券交易所挂牌的市价（收盘价）估值；估值日无交易的，最近交易日后经济环境未发生重大变化且证券发行机构未发生影响证券价格的重大事件的，以最近交易日的市价（收盘价）估值；最近交易日后经济环境发生了重大变化或证券发行机构发生影响证券价格的重大事件的，参考类似投资品种的现行市价及重大变化因素调整最近交易市价；对于长期停牌股票，按行业通行的估值方法处理。</w:t>
      </w:r>
    </w:p>
    <w:p>
      <w:pPr>
        <w:numPr>
          <w:ilvl w:val="0"/>
          <w:numId w:val="31"/>
        </w:numPr>
        <w:spacing w:line="360" w:lineRule="auto"/>
        <w:rPr>
          <w:rFonts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2"/>
        <w:spacing w:line="360" w:lineRule="auto"/>
        <w:ind w:firstLine="480" w:firstLineChars="200"/>
        <w:rPr>
          <w:rFonts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其他资产存在公允价值的，按照监管要求进行公允价值估值，公允价值不能确定的按取得时的成本用成本法进行估值。国家有最新规定的按其规定进行估值。</w:t>
      </w:r>
    </w:p>
    <w:p>
      <w:pPr>
        <w:pStyle w:val="12"/>
        <w:tabs>
          <w:tab w:val="left" w:pos="0"/>
        </w:tabs>
        <w:spacing w:line="360" w:lineRule="auto"/>
        <w:ind w:firstLine="480" w:firstLineChars="200"/>
        <w:rPr>
          <w:rFonts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当理财计划管理人或托管人认为按上述方法对理财计划进行估值不能客观反映其公允价值的，可以在满足监管要求的前提下协商一致后变更估值方法，并自协商一致日后执行。</w:t>
      </w:r>
    </w:p>
    <w:p>
      <w:pPr>
        <w:pStyle w:val="12"/>
        <w:tabs>
          <w:tab w:val="left" w:pos="0"/>
        </w:tabs>
        <w:spacing w:line="360" w:lineRule="auto"/>
        <w:ind w:firstLine="482" w:firstLineChars="200"/>
        <w:rPr>
          <w:rFonts w:ascii="宋体" w:hAnsi="宋体" w:cs="宋体"/>
          <w:b/>
          <w:kern w:val="2"/>
          <w:highlight w:val="none"/>
        </w:rPr>
      </w:pPr>
      <w:r>
        <w:rPr>
          <w:rFonts w:hint="eastAsia" w:ascii="宋体" w:hAnsi="宋体" w:cs="宋体"/>
          <w:b/>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0"/>
        </w:numPr>
        <w:spacing w:line="360" w:lineRule="auto"/>
        <w:jc w:val="left"/>
        <w:outlineLvl w:val="2"/>
        <w:rPr>
          <w:rFonts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0"/>
        </w:numPr>
        <w:spacing w:line="360" w:lineRule="auto"/>
        <w:jc w:val="left"/>
        <w:outlineLvl w:val="2"/>
        <w:rPr>
          <w:rFonts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理财计划投资所涉及的交易市场遇法定节假日或因其他原因暂停营业时暂停估值，该种情况理财计划估值日期将提前到前一交易日。</w:t>
      </w:r>
    </w:p>
    <w:p>
      <w:pPr>
        <w:numPr>
          <w:ilvl w:val="0"/>
          <w:numId w:val="34"/>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left="0" w:firstLine="0"/>
        <w:jc w:val="left"/>
        <w:rPr>
          <w:rFonts w:ascii="宋体" w:hAnsi="宋体" w:cs="宋体"/>
          <w:bCs/>
          <w:color w:val="000000"/>
          <w:sz w:val="24"/>
          <w:highlight w:val="none"/>
        </w:rPr>
      </w:pPr>
      <w:r>
        <w:rPr>
          <w:rFonts w:hint="eastAsia" w:ascii="宋体" w:hAnsi="宋体" w:cs="宋体"/>
          <w:bCs/>
          <w:color w:val="000000"/>
          <w:sz w:val="24"/>
          <w:highlight w:val="none"/>
        </w:rPr>
        <w:t>当前一估值日理财计划资产净值50%以上的资产不具备活跃交易市场或者在活跃市场中无报价，且不能采用估值技术可靠计量公允价值时，管理人应当暂停该理财计划估值，并按照监管规定采取延缓支付赎回款项或暂停接受理财计划认购、赎回申请等措施。</w:t>
      </w:r>
    </w:p>
    <w:p>
      <w:pPr>
        <w:numPr>
          <w:ilvl w:val="0"/>
          <w:numId w:val="34"/>
        </w:numPr>
        <w:spacing w:line="360" w:lineRule="auto"/>
        <w:jc w:val="left"/>
        <w:rPr>
          <w:rFonts w:ascii="宋体" w:hAnsi="宋体" w:cs="宋体"/>
          <w:b/>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0"/>
        </w:numPr>
        <w:spacing w:line="360" w:lineRule="auto"/>
        <w:jc w:val="left"/>
        <w:outlineLvl w:val="2"/>
        <w:rPr>
          <w:rFonts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ascii="宋体" w:hAnsi="宋体" w:cs="宋体"/>
          <w:bCs/>
          <w:color w:val="000000"/>
          <w:sz w:val="24"/>
          <w:highlight w:val="none"/>
        </w:rPr>
      </w:pPr>
    </w:p>
    <w:p>
      <w:pPr>
        <w:numPr>
          <w:ilvl w:val="0"/>
          <w:numId w:val="27"/>
        </w:numPr>
        <w:spacing w:line="360" w:lineRule="auto"/>
        <w:jc w:val="left"/>
        <w:outlineLvl w:val="1"/>
        <w:rPr>
          <w:rFonts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jc w:val="left"/>
        <w:outlineLvl w:val="2"/>
        <w:rPr>
          <w:rFonts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jc w:val="left"/>
        <w:outlineLvl w:val="2"/>
        <w:rPr>
          <w:rFonts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jc w:val="left"/>
        <w:rPr>
          <w:rFonts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szCs w:val="21"/>
          <w:highlight w:val="none"/>
        </w:rPr>
        <w:t>〖</w:t>
      </w:r>
      <w:r>
        <w:rPr>
          <w:rFonts w:hint="eastAsia" w:ascii="宋体" w:hAnsi="宋体" w:cs="宋体"/>
          <w:bCs/>
          <w:color w:val="000000"/>
          <w:sz w:val="24"/>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 w:val="24"/>
          <w:highlight w:val="none"/>
        </w:rPr>
        <w:t>0.</w:t>
      </w:r>
      <w:r>
        <w:rPr>
          <w:rFonts w:hint="eastAsia" w:ascii="宋体" w:hAnsi="宋体" w:cs="宋体"/>
          <w:sz w:val="24"/>
          <w:highlight w:val="none"/>
          <w:lang w:val="en-US" w:eastAsia="zh-CN"/>
        </w:rPr>
        <w:t>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B</w:t>
      </w:r>
      <w:r>
        <w:rPr>
          <w:rFonts w:hint="eastAsia" w:ascii="宋体" w:hAnsi="宋体" w:eastAsia="宋体" w:cs="宋体"/>
          <w:bCs/>
          <w:color w:val="000000"/>
          <w:sz w:val="24"/>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 w:val="24"/>
          <w:highlight w:val="none"/>
        </w:rPr>
        <w:t>0.</w:t>
      </w:r>
      <w:r>
        <w:rPr>
          <w:rFonts w:hint="eastAsia" w:ascii="宋体" w:hAnsi="宋体" w:cs="宋体"/>
          <w:sz w:val="24"/>
          <w:highlight w:val="none"/>
          <w:lang w:val="en-US" w:eastAsia="zh-CN"/>
        </w:rPr>
        <w:t>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C</w:t>
      </w:r>
      <w:r>
        <w:rPr>
          <w:rFonts w:hint="eastAsia" w:ascii="宋体" w:hAnsi="宋体" w:eastAsia="宋体" w:cs="宋体"/>
          <w:bCs/>
          <w:color w:val="000000"/>
          <w:sz w:val="24"/>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 w:val="24"/>
          <w:highlight w:val="none"/>
        </w:rPr>
        <w:t>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rPr>
        <w:t>〖</w:t>
      </w:r>
      <w:r>
        <w:rPr>
          <w:rFonts w:hint="eastAsia" w:ascii="宋体" w:hAnsi="宋体" w:cs="宋体"/>
          <w:szCs w:val="21"/>
          <w:highlight w:val="none"/>
          <w:lang w:val="en-US" w:eastAsia="zh-CN"/>
        </w:rPr>
        <w:t>P</w:t>
      </w:r>
      <w:r>
        <w:rPr>
          <w:rFonts w:hint="eastAsia" w:ascii="宋体" w:hAnsi="宋体" w:cs="宋体"/>
          <w:bCs/>
          <w:color w:val="000000"/>
          <w:sz w:val="24"/>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 w:val="24"/>
          <w:highlight w:val="none"/>
        </w:rPr>
        <w:t>0.2</w:t>
      </w:r>
      <w:r>
        <w:rPr>
          <w:rFonts w:hint="eastAsia" w:ascii="宋体" w:hAnsi="宋体" w:cs="宋体"/>
          <w:sz w:val="24"/>
          <w:highlight w:val="none"/>
          <w:lang w:val="en-US" w:eastAsia="zh-CN"/>
        </w:rPr>
        <w:t>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 w:val="24"/>
          <w:highlight w:val="none"/>
        </w:rPr>
        <w:t>0.</w:t>
      </w:r>
      <w:r>
        <w:rPr>
          <w:rFonts w:hint="eastAsia" w:ascii="宋体" w:hAnsi="宋体" w:cs="宋体"/>
          <w:sz w:val="24"/>
          <w:highlight w:val="none"/>
          <w:lang w:val="en-US" w:eastAsia="zh-CN"/>
        </w:rPr>
        <w:t>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ascii="宋体" w:hAnsi="宋体" w:cs="宋体"/>
          <w:bCs/>
          <w:color w:val="FF0000"/>
          <w:sz w:val="24"/>
          <w:highlight w:val="none"/>
        </w:rPr>
      </w:pPr>
      <w:r>
        <w:rPr>
          <w:rFonts w:hint="eastAsia" w:ascii="宋体" w:hAnsi="宋体" w:cs="宋体"/>
          <w:bCs/>
          <w:color w:val="000000"/>
          <w:sz w:val="24"/>
          <w:highlight w:val="none"/>
        </w:rPr>
        <w:t>E为本理财计划</w:t>
      </w:r>
      <w:r>
        <w:rPr>
          <w:rFonts w:hint="eastAsia" w:ascii="宋体" w:hAnsi="宋体" w:cs="宋体"/>
          <w:szCs w:val="21"/>
          <w:highlight w:val="none"/>
        </w:rPr>
        <w:t>〖</w:t>
      </w:r>
      <w:r>
        <w:rPr>
          <w:rFonts w:hint="eastAsia" w:ascii="宋体" w:hAnsi="宋体" w:cs="宋体"/>
          <w:bCs/>
          <w:color w:val="000000"/>
          <w:sz w:val="24"/>
          <w:highlight w:val="none"/>
        </w:rPr>
        <w:t>前一日资产净值</w:t>
      </w:r>
      <w:r>
        <w:rPr>
          <w:rFonts w:hint="eastAsia" w:ascii="宋体" w:hAnsi="宋体" w:cs="宋体"/>
          <w:szCs w:val="21"/>
          <w:highlight w:val="none"/>
        </w:rPr>
        <w:t>〗</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jc w:val="left"/>
        <w:rPr>
          <w:rFonts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 w:val="24"/>
          <w:highlight w:val="none"/>
        </w:rPr>
        <w:t>〖0.025</w:t>
      </w:r>
      <w:r>
        <w:rPr>
          <w:rFonts w:hint="eastAsia" w:ascii="宋体" w:hAnsi="宋体" w:cs="宋体"/>
          <w:bCs/>
          <w:color w:val="000000"/>
          <w:sz w:val="24"/>
          <w:highlight w:val="none"/>
        </w:rPr>
        <w:t>%</w:t>
      </w:r>
      <w:r>
        <w:rPr>
          <w:rFonts w:hint="eastAsia" w:ascii="宋体" w:hAnsi="宋体" w:cs="宋体"/>
          <w:sz w:val="24"/>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 w:val="24"/>
          <w:highlight w:val="none"/>
        </w:rPr>
        <w:t>〖0.025</w:t>
      </w:r>
      <w:r>
        <w:rPr>
          <w:rFonts w:hint="eastAsia" w:ascii="宋体" w:hAnsi="宋体" w:cs="宋体"/>
          <w:bCs/>
          <w:color w:val="000000"/>
          <w:sz w:val="24"/>
          <w:highlight w:val="none"/>
        </w:rPr>
        <w:t>%</w:t>
      </w:r>
      <w:r>
        <w:rPr>
          <w:rFonts w:hint="eastAsia" w:ascii="宋体" w:hAnsi="宋体" w:cs="宋体"/>
          <w:sz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szCs w:val="21"/>
          <w:highlight w:val="none"/>
        </w:rPr>
        <w:t>〖</w:t>
      </w:r>
      <w:r>
        <w:rPr>
          <w:rFonts w:hint="eastAsia" w:ascii="宋体" w:hAnsi="宋体" w:cs="宋体"/>
          <w:bCs/>
          <w:color w:val="000000"/>
          <w:sz w:val="24"/>
          <w:highlight w:val="none"/>
        </w:rPr>
        <w:t>前一日资产净值</w:t>
      </w:r>
      <w:r>
        <w:rPr>
          <w:rFonts w:hint="eastAsia" w:ascii="宋体" w:hAnsi="宋体" w:cs="宋体"/>
          <w:szCs w:val="21"/>
          <w:highlight w:val="none"/>
        </w:rPr>
        <w:t>〗</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jc w:val="left"/>
        <w:rPr>
          <w:rFonts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szCs w:val="21"/>
          <w:highlight w:val="none"/>
        </w:rPr>
        <w:t>〖</w:t>
      </w:r>
      <w:r>
        <w:rPr>
          <w:rFonts w:hint="eastAsia" w:ascii="宋体" w:hAnsi="宋体" w:cs="宋体"/>
          <w:bCs/>
          <w:color w:val="000000"/>
          <w:sz w:val="24"/>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 w:val="24"/>
          <w:highlight w:val="none"/>
        </w:rPr>
        <w:t>〖0.</w:t>
      </w:r>
      <w:r>
        <w:rPr>
          <w:rFonts w:hint="eastAsia" w:ascii="宋体" w:hAnsi="宋体" w:cs="宋体"/>
          <w:sz w:val="24"/>
          <w:highlight w:val="none"/>
          <w:lang w:val="en-US" w:eastAsia="zh-CN"/>
        </w:rPr>
        <w:t>40</w:t>
      </w:r>
      <w:r>
        <w:rPr>
          <w:rFonts w:hint="eastAsia" w:ascii="宋体" w:hAnsi="宋体" w:cs="宋体"/>
          <w:bCs/>
          <w:color w:val="000000"/>
          <w:sz w:val="24"/>
          <w:highlight w:val="none"/>
        </w:rPr>
        <w:t>%</w:t>
      </w:r>
      <w:r>
        <w:rPr>
          <w:rFonts w:hint="eastAsia" w:ascii="宋体" w:hAnsi="宋体" w:cs="宋体"/>
          <w:sz w:val="24"/>
          <w:highlight w:val="none"/>
        </w:rPr>
        <w:t>〗</w:t>
      </w:r>
      <w:r>
        <w:rPr>
          <w:rFonts w:hint="eastAsia" w:ascii="宋体" w:hAnsi="宋体" w:cs="宋体"/>
          <w:bCs/>
          <w:color w:val="000000"/>
          <w:sz w:val="24"/>
          <w:highlight w:val="none"/>
        </w:rPr>
        <w:t>，</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B</w:t>
      </w:r>
      <w:r>
        <w:rPr>
          <w:rFonts w:hint="eastAsia" w:ascii="宋体" w:hAnsi="宋体" w:eastAsia="宋体" w:cs="宋体"/>
          <w:bCs/>
          <w:color w:val="000000"/>
          <w:sz w:val="24"/>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 w:val="24"/>
          <w:highlight w:val="none"/>
        </w:rPr>
        <w:t>〖0.</w:t>
      </w:r>
      <w:r>
        <w:rPr>
          <w:rFonts w:hint="eastAsia" w:ascii="宋体" w:hAnsi="宋体" w:cs="宋体"/>
          <w:sz w:val="24"/>
          <w:highlight w:val="none"/>
          <w:lang w:val="en-US" w:eastAsia="zh-CN"/>
        </w:rPr>
        <w:t>40</w:t>
      </w:r>
      <w:r>
        <w:rPr>
          <w:rFonts w:hint="eastAsia" w:ascii="宋体" w:hAnsi="宋体" w:cs="宋体"/>
          <w:bCs/>
          <w:color w:val="000000"/>
          <w:sz w:val="24"/>
          <w:highlight w:val="none"/>
        </w:rPr>
        <w:t>%</w:t>
      </w:r>
      <w:r>
        <w:rPr>
          <w:rFonts w:hint="eastAsia" w:ascii="宋体" w:hAnsi="宋体" w:cs="宋体"/>
          <w:sz w:val="24"/>
          <w:highlight w:val="none"/>
        </w:rPr>
        <w:t>〗</w:t>
      </w:r>
      <w:r>
        <w:rPr>
          <w:rFonts w:hint="eastAsia" w:ascii="宋体" w:hAnsi="宋体" w:cs="宋体"/>
          <w:bCs/>
          <w:color w:val="000000"/>
          <w:sz w:val="24"/>
          <w:highlight w:val="none"/>
        </w:rPr>
        <w:t>，</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C</w:t>
      </w:r>
      <w:r>
        <w:rPr>
          <w:rFonts w:hint="eastAsia" w:ascii="宋体" w:hAnsi="宋体" w:eastAsia="宋体" w:cs="宋体"/>
          <w:bCs/>
          <w:color w:val="000000"/>
          <w:sz w:val="24"/>
          <w:highlight w:val="none"/>
          <w:lang w:val="en-US" w:eastAsia="zh-CN"/>
        </w:rPr>
        <w:t>份额</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highlight w:val="none"/>
        </w:rPr>
        <w:t>年化</w:t>
      </w:r>
      <w:r>
        <w:rPr>
          <w:rFonts w:hint="eastAsia" w:ascii="宋体" w:hAnsi="宋体" w:cs="宋体"/>
          <w:bCs/>
          <w:color w:val="000000"/>
          <w:sz w:val="24"/>
          <w:highlight w:val="none"/>
        </w:rPr>
        <w:t>固定管理费率为</w:t>
      </w:r>
      <w:r>
        <w:rPr>
          <w:rFonts w:hint="eastAsia" w:ascii="宋体" w:hAnsi="宋体" w:cs="宋体"/>
          <w:sz w:val="24"/>
          <w:highlight w:val="none"/>
        </w:rPr>
        <w:t>〖0.</w:t>
      </w:r>
      <w:r>
        <w:rPr>
          <w:rFonts w:hint="eastAsia" w:ascii="宋体" w:hAnsi="宋体" w:cs="宋体"/>
          <w:sz w:val="24"/>
          <w:highlight w:val="none"/>
          <w:lang w:val="en-US" w:eastAsia="zh-CN"/>
        </w:rPr>
        <w:t>30</w:t>
      </w:r>
      <w:r>
        <w:rPr>
          <w:rFonts w:hint="eastAsia" w:ascii="宋体" w:hAnsi="宋体" w:cs="宋体"/>
          <w:bCs/>
          <w:color w:val="000000"/>
          <w:sz w:val="24"/>
          <w:highlight w:val="none"/>
        </w:rPr>
        <w:t>%</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szCs w:val="21"/>
          <w:highlight w:val="none"/>
        </w:rPr>
        <w:t>〖</w:t>
      </w:r>
      <w:r>
        <w:rPr>
          <w:rFonts w:hint="eastAsia" w:ascii="宋体" w:hAnsi="宋体" w:cs="宋体"/>
          <w:bCs/>
          <w:color w:val="000000"/>
          <w:sz w:val="24"/>
          <w:highlight w:val="none"/>
          <w:lang w:val="en-US" w:eastAsia="zh-CN"/>
        </w:rPr>
        <w:t>P份额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 w:val="24"/>
          <w:highlight w:val="none"/>
        </w:rPr>
        <w:t>〖0.5</w:t>
      </w:r>
      <w:r>
        <w:rPr>
          <w:rFonts w:hint="eastAsia" w:ascii="宋体" w:hAnsi="宋体" w:cs="宋体"/>
          <w:sz w:val="24"/>
          <w:highlight w:val="none"/>
          <w:lang w:val="en-US" w:eastAsia="zh-CN"/>
        </w:rPr>
        <w:t>0</w:t>
      </w:r>
      <w:r>
        <w:rPr>
          <w:rFonts w:hint="eastAsia" w:ascii="宋体" w:hAnsi="宋体" w:cs="宋体"/>
          <w:bCs/>
          <w:color w:val="000000"/>
          <w:sz w:val="24"/>
          <w:highlight w:val="none"/>
        </w:rPr>
        <w:t>%</w:t>
      </w:r>
      <w:r>
        <w:rPr>
          <w:rFonts w:hint="eastAsia" w:ascii="宋体" w:hAnsi="宋体" w:cs="宋体"/>
          <w:sz w:val="24"/>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 w:val="24"/>
          <w:highlight w:val="none"/>
        </w:rPr>
        <w:t>〖0.</w:t>
      </w:r>
      <w:r>
        <w:rPr>
          <w:rFonts w:hint="eastAsia" w:ascii="宋体" w:hAnsi="宋体" w:cs="宋体"/>
          <w:sz w:val="24"/>
          <w:highlight w:val="none"/>
          <w:lang w:val="en-US" w:eastAsia="zh-CN"/>
        </w:rPr>
        <w:t>40</w:t>
      </w:r>
      <w:r>
        <w:rPr>
          <w:rFonts w:hint="eastAsia" w:ascii="宋体" w:hAnsi="宋体" w:cs="宋体"/>
          <w:bCs/>
          <w:color w:val="000000"/>
          <w:sz w:val="24"/>
          <w:highlight w:val="none"/>
        </w:rPr>
        <w:t>%</w:t>
      </w:r>
      <w:r>
        <w:rPr>
          <w:rFonts w:hint="eastAsia" w:ascii="宋体" w:hAnsi="宋体" w:cs="宋体"/>
          <w:sz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H为每日应计提的管理费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szCs w:val="21"/>
          <w:highlight w:val="none"/>
        </w:rPr>
        <w:t>〖</w:t>
      </w:r>
      <w:r>
        <w:rPr>
          <w:rFonts w:hint="eastAsia" w:ascii="宋体" w:hAnsi="宋体" w:cs="宋体"/>
          <w:bCs/>
          <w:color w:val="000000"/>
          <w:sz w:val="24"/>
          <w:highlight w:val="none"/>
        </w:rPr>
        <w:t>前一日资产净值</w:t>
      </w:r>
      <w:r>
        <w:rPr>
          <w:rFonts w:hint="eastAsia" w:ascii="宋体" w:hAnsi="宋体" w:cs="宋体"/>
          <w:szCs w:val="21"/>
          <w:highlight w:val="none"/>
        </w:rPr>
        <w:t>〗</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固定管理费原则上按日计提。理财计划实际运作结果不达业绩比较基准时，管理人有权减免固定管理费。</w:t>
      </w:r>
    </w:p>
    <w:p>
      <w:pPr>
        <w:numPr>
          <w:ilvl w:val="0"/>
          <w:numId w:val="36"/>
        </w:numPr>
        <w:spacing w:line="360" w:lineRule="auto"/>
        <w:jc w:val="left"/>
        <w:rPr>
          <w:rFonts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jc w:val="left"/>
        <w:rPr>
          <w:rFonts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本理财计划不收取浮动管理费。</w:t>
      </w:r>
    </w:p>
    <w:p>
      <w:pPr>
        <w:numPr>
          <w:ilvl w:val="0"/>
          <w:numId w:val="39"/>
        </w:numPr>
        <w:spacing w:line="360" w:lineRule="auto"/>
        <w:jc w:val="left"/>
        <w:rPr>
          <w:rFonts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jc w:val="left"/>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
          <w:sz w:val="24"/>
          <w:highlight w:val="none"/>
        </w:rPr>
        <w:t xml:space="preserve">  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将到期方式修改为“自动赎回”以赎回本理财计划，逾期未赎回的视为同意接受上述调整且继续持有本理财计划。</w:t>
      </w:r>
    </w:p>
    <w:p>
      <w:pPr>
        <w:numPr>
          <w:ilvl w:val="0"/>
          <w:numId w:val="41"/>
        </w:numPr>
        <w:spacing w:line="360" w:lineRule="auto"/>
        <w:jc w:val="left"/>
        <w:outlineLvl w:val="2"/>
        <w:rPr>
          <w:rFonts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jc w:val="left"/>
        <w:rPr>
          <w:rFonts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ascii="宋体" w:hAnsi="宋体" w:cs="宋体"/>
          <w:b/>
          <w:sz w:val="24"/>
          <w:highlight w:val="none"/>
        </w:rPr>
      </w:pPr>
    </w:p>
    <w:p>
      <w:pPr>
        <w:numPr>
          <w:ilvl w:val="0"/>
          <w:numId w:val="27"/>
        </w:numPr>
        <w:spacing w:line="360" w:lineRule="auto"/>
        <w:jc w:val="left"/>
        <w:outlineLvl w:val="1"/>
        <w:rPr>
          <w:rFonts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jc w:val="left"/>
        <w:outlineLvl w:val="2"/>
        <w:rPr>
          <w:rFonts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投资者理财收益＝赎回份额×</w:t>
      </w:r>
      <w:r>
        <w:rPr>
          <w:rFonts w:hint="eastAsia" w:ascii="宋体" w:hAnsi="宋体" w:cs="宋体"/>
          <w:bCs/>
          <w:color w:val="000000"/>
          <w:sz w:val="24"/>
          <w:highlight w:val="none"/>
          <w:lang w:val="en-US" w:eastAsia="zh-CN"/>
        </w:rPr>
        <w:t>赎回确认日前一日</w:t>
      </w:r>
      <w:r>
        <w:rPr>
          <w:rFonts w:hint="eastAsia" w:ascii="宋体" w:hAnsi="宋体" w:cs="宋体"/>
          <w:bCs/>
          <w:color w:val="000000"/>
          <w:sz w:val="24"/>
          <w:highlight w:val="none"/>
        </w:rPr>
        <w:t>（产品终止日）单位净值+份额持有期间累计分红-认购或申购金额</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份额=认购或申购金额/成立日或申购确认日前一日的单位净值。</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lang w:val="en-US" w:eastAsia="zh-CN"/>
        </w:rPr>
        <w:t>赎回确认日前一日</w:t>
      </w:r>
      <w:r>
        <w:rPr>
          <w:rFonts w:hint="eastAsia" w:ascii="宋体" w:hAnsi="宋体" w:cs="宋体"/>
          <w:bCs/>
          <w:color w:val="000000"/>
          <w:sz w:val="24"/>
          <w:highlight w:val="none"/>
        </w:rPr>
        <w:t>（产品终止日）单位净值为提取相关费用及税费后的单位理财计划份额净值。</w:t>
      </w:r>
    </w:p>
    <w:p>
      <w:pPr>
        <w:numPr>
          <w:ilvl w:val="0"/>
          <w:numId w:val="43"/>
        </w:numPr>
        <w:spacing w:line="360" w:lineRule="auto"/>
        <w:jc w:val="left"/>
        <w:outlineLvl w:val="2"/>
        <w:rPr>
          <w:rFonts w:ascii="宋体" w:hAnsi="宋体" w:cs="宋体"/>
          <w:b/>
          <w:sz w:val="24"/>
          <w:highlight w:val="none"/>
        </w:rPr>
      </w:pPr>
      <w:r>
        <w:rPr>
          <w:rFonts w:hint="eastAsia" w:ascii="宋体" w:hAnsi="宋体" w:cs="宋体"/>
          <w:b/>
          <w:sz w:val="24"/>
          <w:highlight w:val="none"/>
        </w:rPr>
        <w:t>示例说明</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示例一</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〗为例，假设购买时理财计划净值为1.00元，折算份额为100,000.00份，假设投资理财计划364天。赎回时扣除托管费、固定管理费、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（如有）后，如理财计划单位净值为1.0426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，期间无分红，此时，(1.0426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/1.00-1)×365/364=4.27%，即投资收益达到〖4.27%〗，投资者最终收益为：100,000.00×(1.0426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-1.00）=4,260.00（元）</w:t>
      </w:r>
      <w:r>
        <w:rPr>
          <w:rFonts w:hint="eastAsia" w:ascii="宋体" w:hAnsi="宋体" w:cs="宋体"/>
          <w:bCs/>
          <w:color w:val="000000"/>
          <w:sz w:val="24"/>
          <w:highlight w:val="none"/>
          <w:lang w:eastAsia="zh-CN"/>
        </w:rPr>
        <w:t>。</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示例二</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〗为例，假设购买时理财计划净值为1.00元，折算份额为100,000.00份，假设投资理财计划364天。赎回时扣除托管费、固定管理费、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（如有）后，如理财计划单位净值为0.9975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，期间无分红，投资者最终收益为：100,000.00×（0.9975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-1.00）=-250.00（元）。</w:t>
      </w:r>
    </w:p>
    <w:p>
      <w:pPr>
        <w:numPr>
          <w:ilvl w:val="0"/>
          <w:numId w:val="43"/>
        </w:numPr>
        <w:spacing w:line="360" w:lineRule="auto"/>
        <w:jc w:val="left"/>
        <w:outlineLvl w:val="2"/>
        <w:rPr>
          <w:rFonts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numPr>
          <w:ilvl w:val="0"/>
          <w:numId w:val="27"/>
        </w:numPr>
        <w:spacing w:line="360" w:lineRule="auto"/>
        <w:jc w:val="left"/>
        <w:outlineLvl w:val="1"/>
        <w:rPr>
          <w:rFonts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jc w:val="left"/>
        <w:outlineLvl w:val="2"/>
        <w:rPr>
          <w:rFonts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6"/>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0"/>
        </w:num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3. 如新增认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jc w:val="left"/>
        <w:outlineLvl w:val="2"/>
        <w:rPr>
          <w:rFonts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销售机构有权以投资者签署的理财协议书中约定的投资金额为限从投资者理财账户中进行资金扣划，无需投资者另行授权。</w:t>
      </w:r>
    </w:p>
    <w:p>
      <w:pPr>
        <w:numPr>
          <w:ilvl w:val="0"/>
          <w:numId w:val="47"/>
        </w:numPr>
        <w:spacing w:line="360" w:lineRule="auto"/>
        <w:jc w:val="left"/>
        <w:rPr>
          <w:rFonts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jc w:val="left"/>
        <w:outlineLvl w:val="2"/>
        <w:rPr>
          <w:rFonts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本理财计划在每个申购开放期的开放日工作时间可进行申购，申购申请将在申购确认日进行确认。申购确认日如遇非交易日则自动顺延至下一交易日，如遇特殊情况具体以管理人公告为准。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color w:val="000000"/>
          <w:sz w:val="24"/>
          <w:highlight w:val="none"/>
        </w:rPr>
        <w:t>投资者</w:t>
      </w:r>
      <w:r>
        <w:rPr>
          <w:rFonts w:hint="eastAsia" w:ascii="宋体" w:hAnsi="宋体" w:cs="宋体"/>
          <w:bCs/>
          <w:sz w:val="24"/>
          <w:highlight w:val="none"/>
        </w:rPr>
        <w:t>须</w:t>
      </w:r>
      <w:r>
        <w:rPr>
          <w:rFonts w:hint="eastAsia" w:ascii="宋体" w:hAnsi="宋体" w:cs="宋体"/>
          <w:bCs/>
          <w:color w:val="000000"/>
          <w:sz w:val="24"/>
          <w:highlight w:val="none"/>
        </w:rPr>
        <w:t>在购买本理财计划时应对每笔份额的到期方式选择“自动赎回”或“自动续期”。如投资者选择“自动赎回”，则该笔投资份额在当前投资周期结束后自动赎回；如投资者选择“自动续期”，则该笔投资份额在当前投资周期结束后自动续期，直至投资者将到期方式修改为“自动赎回”或产品终止。具体赎回到期方式以销售机构要求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根据每笔份额的投资起始日、投资周期和投资者选择的到期方式自动计算投资周期结束日，即当该笔份额在投资者选择“自动赎回”后，于当期投资周期结束日的下一个交易日，即赎回确认日进行赎回份额确认。投资周期结束日如遇非交易日，则顺延至下一个交易日。</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工作时间为每个交易日上午〖9:00〗至下午〖17:00〗。</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具体以销售机构销售要素为准</w:t>
      </w:r>
      <w:r>
        <w:rPr>
          <w:rFonts w:hint="eastAsia" w:ascii="宋体" w:hAnsi="宋体" w:eastAsia="宋体" w:cs="宋体"/>
          <w:bCs/>
          <w:sz w:val="24"/>
          <w:szCs w:val="24"/>
          <w:highlight w:val="none"/>
          <w:lang w:eastAsia="zh-CN"/>
        </w:rPr>
        <w:t>）</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如</w:t>
      </w:r>
      <w:r>
        <w:rPr>
          <w:rFonts w:hint="eastAsia" w:ascii="宋体" w:hAnsi="宋体" w:cs="宋体"/>
          <w:bCs/>
          <w:color w:val="000000"/>
          <w:sz w:val="24"/>
          <w:highlight w:val="none"/>
        </w:rPr>
        <w:t>新增申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赎回资金确认后，最快〖1〗个工作日，最晚〖3〗个工作日内（遇节假日顺延）理财资金与收益将一次性支付。如遇资金在途或法定工作日调整，实际资金到账日以公告为准。</w:t>
      </w:r>
    </w:p>
    <w:p>
      <w:pPr>
        <w:numPr>
          <w:ilvl w:val="0"/>
          <w:numId w:val="48"/>
        </w:numPr>
        <w:spacing w:line="360" w:lineRule="auto"/>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期净赎回申请份额超过上一确认日日终理财计划总份额〖10%〗时，即构成巨额赎回。如连续2日（含）以上开放日发生巨额赎回，对于已经接受的赎回申请，管理人可以延缓支付赎回款项，但延缓期限不得超过20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投资周期重新进行赎回申请。</w:t>
      </w:r>
    </w:p>
    <w:p>
      <w:pPr>
        <w:numPr>
          <w:ilvl w:val="0"/>
          <w:numId w:val="50"/>
        </w:numPr>
        <w:spacing w:line="360" w:lineRule="auto"/>
        <w:ind w:firstLine="480" w:firstLineChars="200"/>
        <w:jc w:val="left"/>
        <w:rPr>
          <w:rFonts w:hint="eastAsia" w:ascii="宋体" w:hAnsi="Wingdings" w:cs="宋体"/>
          <w:b/>
          <w:color w:val="000000"/>
          <w:kern w:val="0"/>
          <w:sz w:val="24"/>
          <w:highlight w:val="none"/>
        </w:rPr>
      </w:pPr>
      <w:r>
        <w:rPr>
          <w:rFonts w:hint="eastAsia" w:ascii="宋体" w:hAnsi="宋体" w:cs="宋体"/>
          <w:bCs/>
          <w:sz w:val="24"/>
          <w:highlight w:val="none"/>
        </w:rPr>
        <w:t>在理财计划存续期内，管理人有权根据市场情况调整巨额赎回金额比例，并及时进行对外公告。</w:t>
      </w:r>
    </w:p>
    <w:p>
      <w:pPr>
        <w:numPr>
          <w:ilvl w:val="0"/>
          <w:numId w:val="48"/>
        </w:numPr>
        <w:spacing w:line="360" w:lineRule="auto"/>
        <w:jc w:val="left"/>
        <w:rPr>
          <w:rFonts w:hint="eastAsia" w:ascii="宋体" w:hAnsi="宋体" w:cs="宋体"/>
          <w:bCs/>
          <w:sz w:val="24"/>
          <w:highlight w:val="none"/>
        </w:rPr>
      </w:pPr>
      <w:r>
        <w:rPr>
          <w:rFonts w:hint="eastAsia" w:ascii="宋体" w:hAnsi="宋体" w:cs="宋体"/>
          <w:bCs/>
          <w:sz w:val="24"/>
          <w:highlight w:val="none"/>
        </w:rPr>
        <w:t>暂停申购、赎回及延期支付赎回的情形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理财计划资产规模过大，继续接受申购可能对理财计划业绩产生负面影响，从而损害现有份额持有人利益的情形时。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法律法规规定或监管机构认定的其他情形。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当继续</w:t>
      </w:r>
      <w:r>
        <w:rPr>
          <w:rFonts w:ascii="宋体" w:hAnsi="宋体" w:cs="宋体"/>
          <w:bCs/>
          <w:sz w:val="24"/>
          <w:highlight w:val="none"/>
        </w:rPr>
        <w:t>接受赎回申请将损害存量投资者利益的情形</w:t>
      </w:r>
      <w:r>
        <w:rPr>
          <w:rFonts w:hint="eastAsia" w:ascii="宋体" w:hAnsi="宋体" w:cs="宋体"/>
          <w:bCs/>
          <w:sz w:val="24"/>
          <w:highlight w:val="none"/>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w:t>
      </w:r>
      <w:r>
        <w:rPr>
          <w:rFonts w:ascii="宋体" w:hAnsi="宋体" w:cs="宋体"/>
          <w:bCs/>
          <w:sz w:val="24"/>
          <w:highlight w:val="none"/>
        </w:rPr>
        <w:t>前一估值日</w:t>
      </w:r>
      <w:r>
        <w:rPr>
          <w:rFonts w:hint="eastAsia" w:ascii="宋体" w:hAnsi="宋体" w:cs="宋体"/>
          <w:bCs/>
          <w:sz w:val="24"/>
          <w:highlight w:val="none"/>
        </w:rPr>
        <w:t>理财计划</w:t>
      </w:r>
      <w:r>
        <w:rPr>
          <w:rFonts w:ascii="宋体" w:hAnsi="宋体" w:cs="宋体"/>
          <w:bCs/>
          <w:sz w:val="24"/>
          <w:highlight w:val="none"/>
        </w:rPr>
        <w:t>资产净值50%以上的资产不具备活跃交易市场或者在活跃市场中无报价，且不能采用估值技术可靠计量公允价值</w:t>
      </w:r>
      <w:r>
        <w:rPr>
          <w:rFonts w:hint="eastAsia" w:ascii="宋体" w:hAnsi="宋体" w:cs="宋体"/>
          <w:bCs/>
          <w:sz w:val="24"/>
          <w:highlight w:val="none"/>
        </w:rPr>
        <w:t>的情形</w:t>
      </w:r>
      <w:r>
        <w:rPr>
          <w:rFonts w:ascii="宋体" w:hAnsi="宋体" w:cs="宋体"/>
          <w:bCs/>
          <w:sz w:val="24"/>
          <w:highlight w:val="none"/>
        </w:rPr>
        <w:t>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法律法规规定或监管机构认定的其他情形。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因不可抗力等原因，导致管理人接受赎回申请后无法及时兑付的情形时。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连续</w:t>
      </w:r>
      <w:r>
        <w:rPr>
          <w:rFonts w:ascii="宋体" w:hAnsi="宋体" w:cs="宋体"/>
          <w:bCs/>
          <w:sz w:val="24"/>
          <w:highlight w:val="none"/>
        </w:rPr>
        <w:t>2</w:t>
      </w:r>
      <w:r>
        <w:rPr>
          <w:rFonts w:hint="eastAsia" w:ascii="宋体" w:hAnsi="宋体" w:cs="宋体"/>
          <w:bCs/>
          <w:sz w:val="24"/>
          <w:highlight w:val="none"/>
        </w:rPr>
        <w:t>日</w:t>
      </w:r>
      <w:r>
        <w:rPr>
          <w:rFonts w:ascii="宋体" w:hAnsi="宋体" w:cs="宋体"/>
          <w:bCs/>
          <w:sz w:val="24"/>
          <w:highlight w:val="none"/>
        </w:rPr>
        <w:t>（含）以上开放日发生巨额赎回的</w:t>
      </w:r>
      <w:r>
        <w:rPr>
          <w:rFonts w:hint="eastAsia" w:ascii="宋体" w:hAnsi="宋体" w:cs="宋体"/>
          <w:bCs/>
          <w:sz w:val="24"/>
          <w:highlight w:val="none"/>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当前</w:t>
      </w:r>
      <w:r>
        <w:rPr>
          <w:rFonts w:ascii="宋体" w:hAnsi="宋体" w:cs="宋体"/>
          <w:bCs/>
          <w:sz w:val="24"/>
          <w:highlight w:val="none"/>
        </w:rPr>
        <w:t>一估值日</w:t>
      </w:r>
      <w:r>
        <w:rPr>
          <w:rFonts w:hint="eastAsia" w:ascii="宋体" w:hAnsi="宋体" w:cs="宋体"/>
          <w:bCs/>
          <w:sz w:val="24"/>
          <w:highlight w:val="none"/>
        </w:rPr>
        <w:t>理财计划</w:t>
      </w:r>
      <w:r>
        <w:rPr>
          <w:rFonts w:ascii="宋体" w:hAnsi="宋体" w:cs="宋体"/>
          <w:bCs/>
          <w:sz w:val="24"/>
          <w:highlight w:val="none"/>
        </w:rPr>
        <w:t>资产净值50%以上的资产不具备活跃交易市场或者在活跃市场中无报价，且不能采用估值技术可靠计量公允价值</w:t>
      </w:r>
      <w:r>
        <w:rPr>
          <w:rFonts w:hint="eastAsia" w:ascii="宋体" w:hAnsi="宋体" w:cs="宋体"/>
          <w:bCs/>
          <w:sz w:val="24"/>
          <w:highlight w:val="none"/>
        </w:rPr>
        <w:t>的情形</w:t>
      </w:r>
      <w:r>
        <w:rPr>
          <w:rFonts w:ascii="宋体" w:hAnsi="宋体" w:cs="宋体"/>
          <w:bCs/>
          <w:sz w:val="24"/>
          <w:highlight w:val="none"/>
        </w:rPr>
        <w:t>时</w:t>
      </w:r>
      <w:r>
        <w:rPr>
          <w:rFonts w:hint="eastAsia" w:ascii="宋体" w:hAnsi="宋体" w:cs="宋体"/>
          <w:bCs/>
          <w:sz w:val="24"/>
          <w:highlight w:val="none"/>
        </w:rPr>
        <w:t>。</w:t>
      </w:r>
    </w:p>
    <w:p>
      <w:pPr>
        <w:numPr>
          <w:ilvl w:val="0"/>
          <w:numId w:val="53"/>
        </w:numPr>
        <w:spacing w:line="360" w:lineRule="auto"/>
        <w:ind w:firstLine="480" w:firstLineChars="200"/>
        <w:jc w:val="left"/>
        <w:rPr>
          <w:rFonts w:hint="eastAsia" w:ascii="宋体" w:hAnsi="Wingdings" w:cs="宋体"/>
          <w:b/>
          <w:color w:val="000000"/>
          <w:kern w:val="0"/>
          <w:sz w:val="24"/>
          <w:highlight w:val="none"/>
        </w:rPr>
      </w:pPr>
      <w:r>
        <w:rPr>
          <w:rFonts w:hint="eastAsia" w:ascii="宋体" w:hAnsi="宋体" w:cs="宋体"/>
          <w:bCs/>
          <w:sz w:val="24"/>
          <w:highlight w:val="none"/>
        </w:rPr>
        <w:t>法律法规规定或监管机构认定的其他情形。</w:t>
      </w:r>
    </w:p>
    <w:p>
      <w:pPr>
        <w:numPr>
          <w:ilvl w:val="0"/>
          <w:numId w:val="45"/>
        </w:numPr>
        <w:spacing w:line="360" w:lineRule="auto"/>
        <w:jc w:val="left"/>
        <w:outlineLvl w:val="2"/>
        <w:rPr>
          <w:rFonts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1〗个工作日、最晚〖3〗个工作日内（遇节假日顺延）将资金按规定的要求划入投资者授权指定的理财账户。</w:t>
      </w:r>
    </w:p>
    <w:p>
      <w:pPr>
        <w:numPr>
          <w:ilvl w:val="0"/>
          <w:numId w:val="45"/>
        </w:numPr>
        <w:spacing w:line="360" w:lineRule="auto"/>
        <w:jc w:val="left"/>
        <w:outlineLvl w:val="2"/>
        <w:rPr>
          <w:rFonts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在理财计划期限内，管理人根据投资情况行使终止权，于本理财计划终止日前</w:t>
      </w:r>
      <w:r>
        <w:rPr>
          <w:rFonts w:hint="eastAsia" w:ascii="宋体" w:hAnsi="宋体" w:cs="宋体"/>
          <w:sz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highlight w:val="none"/>
        </w:rPr>
        <w:t>〖</w:t>
      </w:r>
      <w:r>
        <w:rPr>
          <w:rFonts w:hint="eastAsia" w:ascii="宋体" w:hAnsi="宋体" w:cs="宋体"/>
          <w:szCs w:val="21"/>
          <w:highlight w:val="none"/>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如发生以下事项时，管理人可对本理财计划行使全部终止权：</w:t>
      </w:r>
    </w:p>
    <w:p>
      <w:pPr>
        <w:numPr>
          <w:ilvl w:val="0"/>
          <w:numId w:val="54"/>
        </w:numPr>
        <w:spacing w:line="360" w:lineRule="auto"/>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4"/>
        </w:numPr>
        <w:spacing w:line="360" w:lineRule="auto"/>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spacing w:line="360" w:lineRule="auto"/>
        <w:jc w:val="left"/>
        <w:rPr>
          <w:rFonts w:ascii="宋体" w:hAnsi="宋体" w:cs="宋体"/>
          <w:b/>
          <w:sz w:val="24"/>
          <w:highlight w:val="none"/>
        </w:rPr>
      </w:pPr>
    </w:p>
    <w:p>
      <w:pPr>
        <w:numPr>
          <w:ilvl w:val="0"/>
          <w:numId w:val="27"/>
        </w:numPr>
        <w:spacing w:line="360" w:lineRule="auto"/>
        <w:jc w:val="left"/>
        <w:outlineLvl w:val="1"/>
        <w:rPr>
          <w:rFonts w:ascii="宋体" w:hAnsi="宋体" w:cs="宋体"/>
          <w:b/>
          <w:sz w:val="24"/>
          <w:highlight w:val="none"/>
        </w:rPr>
      </w:pPr>
      <w:r>
        <w:rPr>
          <w:rFonts w:hint="eastAsia" w:ascii="宋体" w:hAnsi="宋体" w:cs="宋体"/>
          <w:b/>
          <w:sz w:val="24"/>
          <w:highlight w:val="none"/>
        </w:rPr>
        <w:t>信息披露</w:t>
      </w:r>
    </w:p>
    <w:p>
      <w:pPr>
        <w:numPr>
          <w:ilvl w:val="0"/>
          <w:numId w:val="55"/>
        </w:numPr>
        <w:spacing w:line="360" w:lineRule="auto"/>
        <w:jc w:val="left"/>
        <w:outlineLvl w:val="2"/>
        <w:rPr>
          <w:rFonts w:ascii="宋体" w:hAnsi="宋体" w:cs="宋体"/>
          <w:b/>
          <w:sz w:val="24"/>
          <w:highlight w:val="none"/>
        </w:rPr>
      </w:pPr>
      <w:r>
        <w:rPr>
          <w:rFonts w:hint="eastAsia" w:ascii="宋体" w:hAnsi="宋体" w:cs="宋体"/>
          <w:b/>
          <w:sz w:val="24"/>
          <w:highlight w:val="none"/>
        </w:rPr>
        <w:t>披露内容及时间</w:t>
      </w:r>
    </w:p>
    <w:p>
      <w:pPr>
        <w:numPr>
          <w:ilvl w:val="0"/>
          <w:numId w:val="56"/>
        </w:numPr>
        <w:spacing w:line="360" w:lineRule="auto"/>
        <w:jc w:val="left"/>
        <w:rPr>
          <w:rFonts w:ascii="宋体" w:hAnsi="宋体" w:cs="宋体"/>
          <w:b/>
          <w:sz w:val="24"/>
          <w:highlight w:val="none"/>
        </w:rPr>
      </w:pPr>
      <w:r>
        <w:rPr>
          <w:rFonts w:hint="eastAsia" w:ascii="宋体" w:hAnsi="宋体" w:cs="宋体"/>
          <w:b/>
          <w:sz w:val="24"/>
          <w:highlight w:val="none"/>
        </w:rPr>
        <w:t>认购信息披露</w:t>
      </w:r>
    </w:p>
    <w:p>
      <w:pPr>
        <w:numPr>
          <w:ilvl w:val="0"/>
          <w:numId w:val="57"/>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理财计划合同：管理人应在正式办理理财计划份额认购前披露，包括风险揭示书、产品说明书、投资者权益须知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理财计划投资协议书及理财计划销售协议书。</w:t>
      </w:r>
    </w:p>
    <w:p>
      <w:pPr>
        <w:numPr>
          <w:ilvl w:val="0"/>
          <w:numId w:val="57"/>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56"/>
        </w:numPr>
        <w:spacing w:line="360" w:lineRule="auto"/>
        <w:jc w:val="left"/>
        <w:rPr>
          <w:rFonts w:ascii="宋体" w:hAnsi="宋体" w:cs="宋体"/>
          <w:b/>
          <w:sz w:val="24"/>
          <w:highlight w:val="none"/>
        </w:rPr>
      </w:pPr>
      <w:r>
        <w:rPr>
          <w:rFonts w:hint="eastAsia" w:ascii="宋体" w:hAnsi="宋体" w:cs="宋体"/>
          <w:b/>
          <w:sz w:val="24"/>
          <w:highlight w:val="none"/>
        </w:rPr>
        <w:t>运作信息披露</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理财计划净值：管理人应在理财计划成立后，每个开放确认日后2</w:t>
      </w:r>
      <w:r>
        <w:rPr>
          <w:rFonts w:ascii="宋体" w:hAnsi="宋体" w:cs="宋体"/>
          <w:bCs/>
          <w:color w:val="000000"/>
          <w:sz w:val="24"/>
          <w:highlight w:val="none"/>
        </w:rPr>
        <w:t>个工作日内披露本理财计划净值</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58"/>
        </w:num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6"/>
        </w:numPr>
        <w:spacing w:line="360" w:lineRule="auto"/>
        <w:jc w:val="left"/>
        <w:rPr>
          <w:rFonts w:ascii="宋体" w:hAnsi="宋体" w:cs="宋体"/>
          <w:b/>
          <w:sz w:val="24"/>
          <w:highlight w:val="none"/>
        </w:rPr>
      </w:pPr>
      <w:r>
        <w:rPr>
          <w:rFonts w:hint="eastAsia" w:ascii="宋体" w:hAnsi="宋体" w:cs="宋体"/>
          <w:b/>
          <w:sz w:val="24"/>
          <w:highlight w:val="none"/>
        </w:rPr>
        <w:t>临时信息披露</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重大事项公告：管理人应在发生可能对理财计划投资者或者理财计划收益产生重大事项的事件后2个工作日内发布重大事项公告。</w:t>
      </w:r>
    </w:p>
    <w:p>
      <w:pPr>
        <w:numPr>
          <w:ilvl w:val="0"/>
          <w:numId w:val="59"/>
        </w:num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临时公告：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管理人应当及时披露除重大事项以外的其他信息，包括但不限于理财计划终止、变更理财计划管理人和托管人、涉及理财计划管理业务的重大诉讼、涉及费率相关事项的变动、理财计划延期兑付等。</w:t>
      </w:r>
    </w:p>
    <w:p>
      <w:pPr>
        <w:numPr>
          <w:ilvl w:val="0"/>
          <w:numId w:val="55"/>
        </w:numPr>
        <w:spacing w:line="360" w:lineRule="auto"/>
        <w:jc w:val="left"/>
        <w:outlineLvl w:val="2"/>
        <w:rPr>
          <w:rFonts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ascii="宋体" w:hAnsi="宋体" w:cs="宋体"/>
          <w:b/>
          <w:sz w:val="24"/>
          <w:highlight w:val="none"/>
        </w:rPr>
      </w:pPr>
    </w:p>
    <w:p>
      <w:pPr>
        <w:numPr>
          <w:ilvl w:val="0"/>
          <w:numId w:val="27"/>
        </w:numPr>
        <w:spacing w:line="360" w:lineRule="auto"/>
        <w:jc w:val="left"/>
        <w:outlineLvl w:val="1"/>
        <w:rPr>
          <w:rFonts w:ascii="宋体" w:hAnsi="宋体" w:cs="宋体"/>
          <w:b/>
          <w:sz w:val="24"/>
          <w:highlight w:val="none"/>
        </w:rPr>
      </w:pPr>
      <w:r>
        <w:rPr>
          <w:rFonts w:hint="eastAsia" w:ascii="宋体" w:hAnsi="宋体" w:cs="宋体"/>
          <w:b/>
          <w:sz w:val="24"/>
          <w:highlight w:val="none"/>
        </w:rPr>
        <w:t>其他</w:t>
      </w:r>
    </w:p>
    <w:p>
      <w:pPr>
        <w:numPr>
          <w:ilvl w:val="0"/>
          <w:numId w:val="60"/>
        </w:numPr>
        <w:spacing w:line="360" w:lineRule="auto"/>
        <w:jc w:val="left"/>
        <w:outlineLvl w:val="2"/>
        <w:rPr>
          <w:rFonts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0"/>
        </w:numPr>
        <w:spacing w:line="360" w:lineRule="auto"/>
        <w:jc w:val="left"/>
        <w:outlineLvl w:val="2"/>
        <w:rPr>
          <w:rFonts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0"/>
        </w:numPr>
        <w:spacing w:line="360" w:lineRule="auto"/>
        <w:jc w:val="left"/>
        <w:outlineLvl w:val="2"/>
        <w:rPr>
          <w:rFonts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管理人所在地有管辖权的人民法院诉讼解决。</w:t>
      </w:r>
    </w:p>
    <w:p>
      <w:pPr>
        <w:numPr>
          <w:ilvl w:val="0"/>
          <w:numId w:val="60"/>
        </w:numPr>
        <w:spacing w:line="360" w:lineRule="auto"/>
        <w:jc w:val="left"/>
        <w:outlineLvl w:val="2"/>
        <w:rPr>
          <w:rFonts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outlineLvl w:val="1"/>
        <w:rPr>
          <w:rFonts w:hint="eastAsia" w:ascii="宋体" w:hAnsi="宋体" w:cs="宋体"/>
          <w:b/>
          <w:bCs/>
          <w:color w:val="000000"/>
          <w:sz w:val="44"/>
          <w:szCs w:val="44"/>
          <w:highlight w:val="none"/>
        </w:rPr>
      </w:pPr>
      <w:r>
        <w:rPr>
          <w:rFonts w:hint="eastAsia" w:ascii="宋体" w:hAnsi="宋体" w:cs="宋体"/>
          <w:sz w:val="28"/>
          <w:szCs w:val="28"/>
          <w:highlight w:val="none"/>
        </w:rPr>
        <w:t>（202101版）</w:t>
      </w:r>
    </w:p>
    <w:p>
      <w:pPr>
        <w:spacing w:line="360" w:lineRule="auto"/>
        <w:jc w:val="center"/>
        <w:outlineLvl w:val="2"/>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1"/>
        </w:numPr>
        <w:spacing w:line="360" w:lineRule="auto"/>
        <w:outlineLvl w:val="2"/>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2"/>
        </w:numPr>
        <w:spacing w:line="360" w:lineRule="auto"/>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2"/>
        </w:numPr>
        <w:spacing w:line="360" w:lineRule="auto"/>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2"/>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val="en-US" w:eastAsia="zh-CN"/>
        </w:rPr>
        <w:t>和</w:t>
      </w:r>
      <w:r>
        <w:rPr>
          <w:rFonts w:hint="eastAsia" w:ascii="宋体" w:hAnsi="宋体" w:cs="宋体"/>
          <w:kern w:val="0"/>
          <w:sz w:val="24"/>
          <w:highlight w:val="none"/>
        </w:rPr>
        <w:t>理财计划销售协议书）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2"/>
        </w:numPr>
        <w:spacing w:line="360" w:lineRule="auto"/>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2"/>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3"/>
        </w:numPr>
        <w:spacing w:line="360" w:lineRule="auto"/>
        <w:outlineLvl w:val="2"/>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等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63"/>
        </w:numPr>
        <w:spacing w:line="360" w:lineRule="auto"/>
        <w:outlineLvl w:val="2"/>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4"/>
        </w:numPr>
        <w:spacing w:line="360" w:lineRule="auto"/>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4"/>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4"/>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5"/>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5"/>
        </w:numPr>
        <w:spacing w:line="360" w:lineRule="auto"/>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5"/>
        </w:numPr>
        <w:spacing w:line="360" w:lineRule="auto"/>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5"/>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6"/>
        </w:numPr>
        <w:spacing w:line="360" w:lineRule="auto"/>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6"/>
        </w:numPr>
        <w:spacing w:line="360" w:lineRule="auto"/>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6"/>
        </w:num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产品说明书和风险揭示书的基础上，充分认识投资本理财计划需要承担的风险。</w:t>
      </w:r>
    </w:p>
    <w:p>
      <w:pPr>
        <w:spacing w:line="360" w:lineRule="auto"/>
        <w:ind w:firstLine="482" w:firstLineChars="200"/>
        <w:outlineLvl w:val="2"/>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2"/>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2"/>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7"/>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7"/>
        </w:numPr>
        <w:spacing w:line="360" w:lineRule="auto"/>
        <w:rPr>
          <w:rFonts w:hint="eastAsia" w:ascii="宋体" w:hAnsi="宋体" w:cs="宋体"/>
          <w:kern w:val="0"/>
          <w:sz w:val="24"/>
          <w:highlight w:val="none"/>
        </w:rPr>
      </w:pPr>
      <w:r>
        <w:rPr>
          <w:rFonts w:hint="eastAsia" w:ascii="宋体" w:hAnsi="宋体" w:cs="宋体"/>
          <w:kern w:val="0"/>
          <w:sz w:val="24"/>
          <w:highlight w:val="none"/>
        </w:rPr>
        <w:t>联络方式</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在杭州银行（作为销售机构）购买本理财计划的请联系杭州银行，杭州银行客户服务热线：95398、4008888508，杭州银行官方网站：www.hzbank.com.cn。</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在其他销售机构购买理财计划的，请联系其他销售机构，联系方式以其披露为准。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杭银理财联络方式：</w:t>
      </w:r>
    </w:p>
    <w:p>
      <w:pPr>
        <w:pStyle w:val="13"/>
        <w:numPr>
          <w:ilvl w:val="0"/>
          <w:numId w:val="68"/>
        </w:numPr>
        <w:spacing w:line="360" w:lineRule="auto"/>
        <w:ind w:firstLineChars="0"/>
        <w:rPr>
          <w:rFonts w:hint="eastAsia" w:ascii="宋体" w:hAnsi="宋体" w:cs="宋体"/>
          <w:kern w:val="0"/>
          <w:sz w:val="24"/>
          <w:highlight w:val="none"/>
        </w:rPr>
      </w:pPr>
      <w:r>
        <w:rPr>
          <w:rFonts w:hint="eastAsia" w:ascii="宋体" w:hAnsi="宋体" w:cs="宋体"/>
          <w:kern w:val="0"/>
          <w:sz w:val="24"/>
          <w:highlight w:val="none"/>
        </w:rPr>
        <w:t>官方网站：暂无</w:t>
      </w:r>
    </w:p>
    <w:p>
      <w:pPr>
        <w:pStyle w:val="13"/>
        <w:numPr>
          <w:ilvl w:val="0"/>
          <w:numId w:val="68"/>
        </w:numPr>
        <w:spacing w:line="360" w:lineRule="auto"/>
        <w:ind w:firstLineChars="0"/>
        <w:rPr>
          <w:rFonts w:hint="eastAsia" w:ascii="宋体" w:hAnsi="宋体" w:cs="宋体"/>
          <w:kern w:val="0"/>
          <w:sz w:val="24"/>
          <w:highlight w:val="none"/>
        </w:rPr>
      </w:pPr>
      <w:r>
        <w:rPr>
          <w:rFonts w:hint="eastAsia" w:ascii="宋体" w:hAnsi="宋体" w:cs="宋体"/>
          <w:kern w:val="0"/>
          <w:sz w:val="24"/>
          <w:highlight w:val="none"/>
        </w:rPr>
        <w:t>公司地址：杭州市拱墅区庆春路38号金龙财富中心6楼</w:t>
      </w:r>
    </w:p>
    <w:p>
      <w:pPr>
        <w:pStyle w:val="13"/>
        <w:numPr>
          <w:ilvl w:val="0"/>
          <w:numId w:val="68"/>
        </w:numPr>
        <w:spacing w:line="360" w:lineRule="auto"/>
        <w:ind w:firstLineChars="0"/>
        <w:rPr>
          <w:rFonts w:hint="eastAsia" w:ascii="宋体" w:hAnsi="宋体" w:cs="宋体"/>
          <w:kern w:val="0"/>
          <w:sz w:val="24"/>
          <w:highlight w:val="none"/>
        </w:rPr>
      </w:pPr>
      <w:r>
        <w:rPr>
          <w:rFonts w:hint="eastAsia" w:ascii="宋体" w:hAnsi="宋体" w:cs="宋体"/>
          <w:kern w:val="0"/>
          <w:sz w:val="24"/>
          <w:highlight w:val="none"/>
        </w:rPr>
        <w:t>若上述联系方式变更，杭银理财将提前通过原官方网站及时告知投资者。</w:t>
      </w:r>
    </w:p>
    <w:p>
      <w:pPr>
        <w:jc w:val="center"/>
        <w:outlineLvl w:val="0"/>
        <w:rPr>
          <w:rFonts w:hint="eastAsia"/>
          <w:b/>
          <w:sz w:val="44"/>
          <w:szCs w:val="44"/>
          <w:highlight w:val="none"/>
        </w:rPr>
      </w:pPr>
      <w:r>
        <w:rPr>
          <w:rFonts w:hint="eastAsia" w:ascii="宋体" w:hAnsi="宋体" w:cs="宋体"/>
          <w:bCs/>
          <w:color w:val="000000"/>
          <w:sz w:val="24"/>
          <w:highlight w:val="none"/>
        </w:rPr>
        <w:br w:type="page"/>
      </w:r>
      <w:bookmarkStart w:id="0" w:name="_GoBack"/>
      <w:bookmarkEnd w:id="0"/>
      <w:r>
        <w:rPr>
          <w:rFonts w:hint="eastAsia"/>
          <w:b/>
          <w:sz w:val="44"/>
          <w:szCs w:val="44"/>
          <w:highlight w:val="none"/>
        </w:rPr>
        <w:t>杭银理财理财计划投资协议书</w:t>
      </w:r>
    </w:p>
    <w:p>
      <w:pPr>
        <w:jc w:val="center"/>
        <w:outlineLvl w:val="9"/>
        <w:rPr>
          <w:rFonts w:hint="eastAsia"/>
          <w:b/>
          <w:sz w:val="44"/>
          <w:szCs w:val="44"/>
          <w:highlight w:val="none"/>
        </w:rPr>
      </w:pPr>
      <w:r>
        <w:rPr>
          <w:rFonts w:hint="eastAsia" w:ascii="宋体" w:hAnsi="宋体" w:cs="宋体"/>
          <w:sz w:val="28"/>
          <w:szCs w:val="28"/>
          <w:highlight w:val="none"/>
        </w:rPr>
        <w:t>（202101版）</w:t>
      </w:r>
    </w:p>
    <w:p>
      <w:pPr>
        <w:jc w:val="center"/>
        <w:rPr>
          <w:rFonts w:hint="eastAsia"/>
          <w:b/>
          <w:sz w:val="32"/>
          <w:szCs w:val="32"/>
          <w:highlight w:val="none"/>
        </w:rPr>
      </w:pP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特别提示：杭银理财理财计划投资协议书与投资者权益须知、风险揭示书</w:t>
      </w:r>
      <w:r>
        <w:rPr>
          <w:rFonts w:hint="eastAsia"/>
          <w:b/>
          <w:bCs/>
          <w:sz w:val="24"/>
          <w:highlight w:val="none"/>
          <w:lang w:eastAsia="zh-CN"/>
        </w:rPr>
        <w:t>、</w:t>
      </w:r>
      <w:r>
        <w:rPr>
          <w:rFonts w:hint="eastAsia" w:ascii="宋体" w:hAnsi="宋体" w:cs="宋体"/>
          <w:b/>
          <w:sz w:val="24"/>
          <w:highlight w:val="none"/>
        </w:rPr>
        <w:t>理财计划销售协议书</w:t>
      </w:r>
      <w:r>
        <w:rPr>
          <w:rFonts w:hint="eastAsia"/>
          <w:b/>
          <w:bCs/>
          <w:sz w:val="24"/>
          <w:highlight w:val="none"/>
        </w:rPr>
        <w:t>及理财计划说明书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numPr>
          <w:ilvl w:val="0"/>
          <w:numId w:val="69"/>
        </w:numPr>
        <w:spacing w:line="360" w:lineRule="auto"/>
        <w:ind w:firstLine="482" w:firstLineChars="200"/>
        <w:outlineLvl w:val="9"/>
        <w:rPr>
          <w:rFonts w:hint="eastAsia" w:ascii="宋体" w:hAnsi="宋体"/>
          <w:b/>
          <w:bCs/>
          <w:sz w:val="24"/>
          <w:highlight w:val="none"/>
        </w:rPr>
      </w:pPr>
      <w:r>
        <w:rPr>
          <w:rFonts w:hint="eastAsia"/>
          <w:b/>
          <w:bCs/>
          <w:sz w:val="24"/>
          <w:highlight w:val="none"/>
        </w:rPr>
        <w:t>名词释义</w:t>
      </w:r>
    </w:p>
    <w:p>
      <w:pPr>
        <w:spacing w:line="360" w:lineRule="auto"/>
        <w:ind w:firstLine="480" w:firstLineChars="200"/>
        <w:outlineLvl w:val="9"/>
        <w:rPr>
          <w:rFonts w:hint="eastAsia"/>
          <w:bCs/>
          <w:sz w:val="24"/>
          <w:highlight w:val="none"/>
        </w:rPr>
      </w:pPr>
      <w:r>
        <w:rPr>
          <w:rFonts w:hint="eastAsia"/>
          <w:bCs/>
          <w:sz w:val="24"/>
          <w:highlight w:val="none"/>
        </w:rPr>
        <w:t>详见理财计划说明书“释义”部分。</w:t>
      </w:r>
    </w:p>
    <w:p>
      <w:pPr>
        <w:numPr>
          <w:ilvl w:val="0"/>
          <w:numId w:val="69"/>
        </w:numPr>
        <w:spacing w:line="360" w:lineRule="auto"/>
        <w:ind w:firstLine="482" w:firstLineChars="200"/>
        <w:outlineLvl w:val="9"/>
        <w:rPr>
          <w:rFonts w:hint="eastAsia"/>
          <w:b/>
          <w:sz w:val="24"/>
          <w:highlight w:val="none"/>
        </w:rPr>
      </w:pPr>
      <w:r>
        <w:rPr>
          <w:rFonts w:hint="eastAsia"/>
          <w:b/>
          <w:sz w:val="24"/>
          <w:highlight w:val="none"/>
        </w:rPr>
        <w:t>投资者权利与义务</w:t>
      </w:r>
    </w:p>
    <w:p>
      <w:pPr>
        <w:widowControl/>
        <w:numPr>
          <w:ilvl w:val="0"/>
          <w:numId w:val="70"/>
        </w:numPr>
        <w:spacing w:line="360" w:lineRule="auto"/>
        <w:contextualSpacing/>
        <w:outlineLvl w:val="9"/>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0"/>
        </w:numPr>
        <w:spacing w:line="360" w:lineRule="auto"/>
        <w:contextualSpacing/>
        <w:outlineLvl w:val="9"/>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0"/>
        </w:numPr>
        <w:spacing w:line="360" w:lineRule="auto"/>
        <w:contextualSpacing/>
        <w:outlineLvl w:val="9"/>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0"/>
        </w:numPr>
        <w:spacing w:line="360" w:lineRule="auto"/>
        <w:contextualSpacing/>
        <w:outlineLvl w:val="9"/>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0"/>
        </w:numPr>
        <w:spacing w:line="360" w:lineRule="auto"/>
        <w:contextualSpacing/>
        <w:outlineLvl w:val="9"/>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0"/>
        </w:numPr>
        <w:spacing w:line="360" w:lineRule="auto"/>
        <w:contextualSpacing/>
        <w:outlineLvl w:val="9"/>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0"/>
        </w:numPr>
        <w:spacing w:line="360" w:lineRule="auto"/>
        <w:contextualSpacing/>
        <w:outlineLvl w:val="9"/>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0"/>
        </w:numPr>
        <w:spacing w:line="360" w:lineRule="auto"/>
        <w:contextualSpacing/>
        <w:outlineLvl w:val="9"/>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0"/>
        </w:numPr>
        <w:spacing w:line="360" w:lineRule="auto"/>
        <w:contextualSpacing/>
        <w:outlineLvl w:val="9"/>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outlineLvl w:val="9"/>
        <w:rPr>
          <w:b/>
          <w:sz w:val="24"/>
          <w:highlight w:val="none"/>
        </w:rPr>
      </w:pPr>
    </w:p>
    <w:p>
      <w:pPr>
        <w:numPr>
          <w:ilvl w:val="0"/>
          <w:numId w:val="69"/>
        </w:numPr>
        <w:spacing w:line="360" w:lineRule="auto"/>
        <w:ind w:firstLine="482" w:firstLineChars="200"/>
        <w:outlineLvl w:val="9"/>
        <w:rPr>
          <w:rFonts w:hint="eastAsia"/>
          <w:b/>
          <w:sz w:val="24"/>
          <w:highlight w:val="none"/>
        </w:rPr>
      </w:pPr>
      <w:r>
        <w:rPr>
          <w:rFonts w:hint="eastAsia"/>
          <w:b/>
          <w:sz w:val="24"/>
          <w:highlight w:val="none"/>
        </w:rPr>
        <w:t>管理人权利与义务</w:t>
      </w:r>
    </w:p>
    <w:p>
      <w:pPr>
        <w:widowControl/>
        <w:numPr>
          <w:ilvl w:val="0"/>
          <w:numId w:val="71"/>
        </w:numPr>
        <w:spacing w:line="360" w:lineRule="auto"/>
        <w:contextualSpacing/>
        <w:outlineLvl w:val="9"/>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1"/>
        </w:numPr>
        <w:spacing w:line="360" w:lineRule="auto"/>
        <w:contextualSpacing/>
        <w:outlineLvl w:val="9"/>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1"/>
        </w:numPr>
        <w:spacing w:line="360" w:lineRule="auto"/>
        <w:contextualSpacing/>
        <w:outlineLvl w:val="9"/>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1"/>
        </w:numPr>
        <w:spacing w:line="360" w:lineRule="auto"/>
        <w:contextualSpacing/>
        <w:outlineLvl w:val="9"/>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1"/>
        </w:numPr>
        <w:spacing w:line="360" w:lineRule="auto"/>
        <w:contextualSpacing/>
        <w:outlineLvl w:val="9"/>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1"/>
        </w:numPr>
        <w:spacing w:line="360" w:lineRule="auto"/>
        <w:contextualSpacing/>
        <w:outlineLvl w:val="9"/>
        <w:rPr>
          <w:rFonts w:ascii="宋体" w:hAnsi="宋体"/>
          <w:sz w:val="24"/>
          <w:highlight w:val="none"/>
        </w:rPr>
      </w:pPr>
      <w:r>
        <w:rPr>
          <w:rFonts w:hint="eastAsia" w:ascii="宋体" w:hAnsi="宋体"/>
          <w:sz w:val="24"/>
          <w:highlight w:val="none"/>
        </w:rPr>
        <w:t>管理人应当选择具有证券投资基金托管业务资格的金融机构、银行业理财登记托管机构或者</w:t>
      </w:r>
      <w:r>
        <w:rPr>
          <w:rFonts w:hint="eastAsia" w:ascii="宋体" w:hAnsi="宋体" w:eastAsia="宋体" w:cs="宋体"/>
          <w:bCs/>
          <w:sz w:val="24"/>
          <w:highlight w:val="none"/>
        </w:rPr>
        <w:t>银行保险监督管理</w:t>
      </w:r>
      <w:r>
        <w:rPr>
          <w:rFonts w:hint="eastAsia" w:ascii="宋体" w:hAnsi="宋体" w:cs="宋体"/>
          <w:bCs/>
          <w:sz w:val="24"/>
          <w:highlight w:val="none"/>
        </w:rPr>
        <w:t>委员会规定</w:t>
      </w:r>
      <w:r>
        <w:rPr>
          <w:rFonts w:hint="eastAsia" w:ascii="宋体" w:hAnsi="宋体"/>
          <w:sz w:val="24"/>
          <w:highlight w:val="none"/>
        </w:rPr>
        <w:t xml:space="preserve">的其他机构托管理财计划。 </w:t>
      </w:r>
    </w:p>
    <w:p>
      <w:pPr>
        <w:widowControl/>
        <w:numPr>
          <w:ilvl w:val="0"/>
          <w:numId w:val="71"/>
        </w:numPr>
        <w:spacing w:line="360" w:lineRule="auto"/>
        <w:contextualSpacing/>
        <w:outlineLvl w:val="9"/>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1"/>
        </w:numPr>
        <w:spacing w:line="360" w:lineRule="auto"/>
        <w:contextualSpacing/>
        <w:outlineLvl w:val="9"/>
        <w:rPr>
          <w:rFonts w:ascii="宋体" w:hAnsi="宋体"/>
          <w:sz w:val="24"/>
          <w:highlight w:val="none"/>
        </w:rPr>
      </w:pPr>
      <w:r>
        <w:rPr>
          <w:rFonts w:hint="eastAsia" w:ascii="宋体" w:hAnsi="宋体"/>
          <w:sz w:val="24"/>
          <w:highlight w:val="none"/>
        </w:rPr>
        <w:t xml:space="preserve">管理人有权按照法律法规和监管要求，报送投资者身份信息及其持有理财计划信息；在管理人办理与理财计划相关事项所需的情况下，投资者同意并授权管理人向管理人集团成员、服务机构及其他管理人认为必要的业务合作机构提供管理人获取的投资者信息。管理人应向上述被披露方明确其保护投资者信息的职责并要求其承担相应保密义务。 </w:t>
      </w:r>
    </w:p>
    <w:p>
      <w:pPr>
        <w:widowControl/>
        <w:numPr>
          <w:ilvl w:val="0"/>
          <w:numId w:val="71"/>
        </w:numPr>
        <w:spacing w:line="360" w:lineRule="auto"/>
        <w:contextualSpacing/>
        <w:outlineLvl w:val="9"/>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outlineLvl w:val="9"/>
        <w:rPr>
          <w:b/>
          <w:sz w:val="24"/>
          <w:highlight w:val="none"/>
        </w:rPr>
      </w:pPr>
    </w:p>
    <w:p>
      <w:pPr>
        <w:numPr>
          <w:ilvl w:val="0"/>
          <w:numId w:val="69"/>
        </w:numPr>
        <w:spacing w:line="360" w:lineRule="auto"/>
        <w:ind w:firstLine="482" w:firstLineChars="200"/>
        <w:outlineLvl w:val="9"/>
        <w:rPr>
          <w:rFonts w:hint="eastAsia"/>
          <w:b/>
          <w:sz w:val="24"/>
          <w:highlight w:val="none"/>
        </w:rPr>
      </w:pPr>
      <w:r>
        <w:rPr>
          <w:rFonts w:hint="eastAsia"/>
          <w:b/>
          <w:sz w:val="24"/>
          <w:highlight w:val="none"/>
        </w:rPr>
        <w:t>理财计划认（申）购、赎回及终止</w:t>
      </w:r>
    </w:p>
    <w:p>
      <w:pPr>
        <w:widowControl/>
        <w:numPr>
          <w:ilvl w:val="0"/>
          <w:numId w:val="72"/>
        </w:numPr>
        <w:spacing w:line="360" w:lineRule="auto"/>
        <w:contextualSpacing/>
        <w:outlineLvl w:val="9"/>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2"/>
        </w:numPr>
        <w:spacing w:line="360" w:lineRule="auto"/>
        <w:contextualSpacing/>
        <w:outlineLvl w:val="9"/>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2"/>
        </w:numPr>
        <w:spacing w:line="360" w:lineRule="auto"/>
        <w:contextualSpacing/>
        <w:outlineLvl w:val="9"/>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2"/>
        </w:numPr>
        <w:spacing w:line="360" w:lineRule="auto"/>
        <w:contextualSpacing/>
        <w:outlineLvl w:val="9"/>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2"/>
        </w:numPr>
        <w:spacing w:line="360" w:lineRule="auto"/>
        <w:contextualSpacing/>
        <w:outlineLvl w:val="9"/>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2"/>
        </w:numPr>
        <w:spacing w:line="360" w:lineRule="auto"/>
        <w:contextualSpacing/>
        <w:outlineLvl w:val="9"/>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outlineLvl w:val="9"/>
        <w:rPr>
          <w:b/>
          <w:sz w:val="24"/>
          <w:highlight w:val="none"/>
        </w:rPr>
      </w:pPr>
    </w:p>
    <w:p>
      <w:pPr>
        <w:numPr>
          <w:ilvl w:val="0"/>
          <w:numId w:val="69"/>
        </w:numPr>
        <w:spacing w:line="360" w:lineRule="auto"/>
        <w:ind w:firstLine="482" w:firstLineChars="200"/>
        <w:outlineLvl w:val="9"/>
        <w:rPr>
          <w:rFonts w:hint="eastAsia"/>
          <w:b/>
          <w:sz w:val="24"/>
          <w:highlight w:val="none"/>
        </w:rPr>
      </w:pPr>
      <w:r>
        <w:rPr>
          <w:rFonts w:hint="eastAsia"/>
          <w:b/>
          <w:sz w:val="24"/>
          <w:highlight w:val="none"/>
        </w:rPr>
        <w:t>税收处理</w:t>
      </w:r>
    </w:p>
    <w:p>
      <w:pPr>
        <w:widowControl/>
        <w:spacing w:line="360" w:lineRule="auto"/>
        <w:ind w:firstLine="480" w:firstLineChars="200"/>
        <w:contextualSpacing/>
        <w:outlineLvl w:val="9"/>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outlineLvl w:val="9"/>
        <w:rPr>
          <w:rFonts w:ascii="宋体" w:hAnsi="宋体"/>
          <w:sz w:val="24"/>
          <w:highlight w:val="none"/>
        </w:rPr>
      </w:pPr>
    </w:p>
    <w:p>
      <w:pPr>
        <w:numPr>
          <w:ilvl w:val="0"/>
          <w:numId w:val="69"/>
        </w:numPr>
        <w:spacing w:line="360" w:lineRule="auto"/>
        <w:ind w:firstLine="482" w:firstLineChars="200"/>
        <w:outlineLvl w:val="9"/>
        <w:rPr>
          <w:rFonts w:hint="eastAsia"/>
          <w:b/>
          <w:sz w:val="24"/>
          <w:highlight w:val="none"/>
        </w:rPr>
      </w:pPr>
      <w:r>
        <w:rPr>
          <w:rFonts w:hint="eastAsia"/>
          <w:b/>
          <w:sz w:val="24"/>
          <w:highlight w:val="none"/>
        </w:rPr>
        <w:t>违约责任及免责条款</w:t>
      </w:r>
    </w:p>
    <w:p>
      <w:pPr>
        <w:widowControl/>
        <w:numPr>
          <w:ilvl w:val="0"/>
          <w:numId w:val="73"/>
        </w:numPr>
        <w:spacing w:line="360" w:lineRule="auto"/>
        <w:contextualSpacing/>
        <w:outlineLvl w:val="9"/>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支取，本合同自动终止。因提前终止而产生的损失及相关费用由投资者承担。本合同前述情况终止的，理财本金不计付支取日前的理财收益，也不计付存款利息。</w:t>
      </w:r>
    </w:p>
    <w:p>
      <w:pPr>
        <w:widowControl/>
        <w:numPr>
          <w:ilvl w:val="0"/>
          <w:numId w:val="73"/>
        </w:numPr>
        <w:spacing w:line="360" w:lineRule="auto"/>
        <w:contextualSpacing/>
        <w:outlineLvl w:val="9"/>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3"/>
        </w:numPr>
        <w:spacing w:line="360" w:lineRule="auto"/>
        <w:contextualSpacing/>
        <w:outlineLvl w:val="9"/>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3"/>
        </w:numPr>
        <w:spacing w:line="360" w:lineRule="auto"/>
        <w:contextualSpacing/>
        <w:outlineLvl w:val="9"/>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3"/>
        </w:numPr>
        <w:spacing w:line="360" w:lineRule="auto"/>
        <w:contextualSpacing/>
        <w:outlineLvl w:val="9"/>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3"/>
        </w:numPr>
        <w:spacing w:line="360" w:lineRule="auto"/>
        <w:contextualSpacing/>
        <w:outlineLvl w:val="9"/>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outlineLvl w:val="9"/>
        <w:rPr>
          <w:rFonts w:ascii="宋体" w:hAnsi="宋体"/>
          <w:sz w:val="24"/>
          <w:highlight w:val="none"/>
        </w:rPr>
      </w:pPr>
    </w:p>
    <w:p>
      <w:pPr>
        <w:numPr>
          <w:ilvl w:val="0"/>
          <w:numId w:val="69"/>
        </w:numPr>
        <w:spacing w:line="360" w:lineRule="auto"/>
        <w:ind w:firstLine="482" w:firstLineChars="200"/>
        <w:outlineLvl w:val="9"/>
        <w:rPr>
          <w:b/>
          <w:sz w:val="24"/>
          <w:highlight w:val="none"/>
        </w:rPr>
      </w:pPr>
      <w:r>
        <w:rPr>
          <w:rFonts w:hint="eastAsia"/>
          <w:b/>
          <w:sz w:val="24"/>
          <w:highlight w:val="none"/>
        </w:rPr>
        <w:t>适用法律与争议解决</w:t>
      </w:r>
    </w:p>
    <w:p>
      <w:pPr>
        <w:widowControl/>
        <w:spacing w:line="360" w:lineRule="auto"/>
        <w:ind w:firstLine="480" w:firstLineChars="200"/>
        <w:contextualSpacing/>
        <w:outlineLvl w:val="9"/>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的法律和行政法规。本合同项下的及与之有关的一切争议，投资者与管理人双方应首先协商解决，协商不成的，应提交管理人所在地人民法院司法裁决。诉讼期间，未涉及争议的条款仍继续履行。</w:t>
      </w:r>
    </w:p>
    <w:p>
      <w:pPr>
        <w:spacing w:line="360" w:lineRule="auto"/>
        <w:ind w:left="482"/>
        <w:outlineLvl w:val="9"/>
        <w:rPr>
          <w:b/>
          <w:sz w:val="24"/>
          <w:highlight w:val="none"/>
        </w:rPr>
      </w:pPr>
    </w:p>
    <w:p>
      <w:pPr>
        <w:numPr>
          <w:ilvl w:val="0"/>
          <w:numId w:val="69"/>
        </w:numPr>
        <w:spacing w:line="360" w:lineRule="auto"/>
        <w:ind w:firstLine="482" w:firstLineChars="200"/>
        <w:outlineLvl w:val="9"/>
        <w:rPr>
          <w:rFonts w:hint="eastAsia"/>
          <w:b/>
          <w:sz w:val="24"/>
          <w:highlight w:val="none"/>
        </w:rPr>
      </w:pPr>
      <w:r>
        <w:rPr>
          <w:rFonts w:hint="eastAsia"/>
          <w:b/>
          <w:sz w:val="24"/>
          <w:highlight w:val="none"/>
        </w:rPr>
        <w:t>协议生效和终止</w:t>
      </w:r>
    </w:p>
    <w:p>
      <w:pPr>
        <w:widowControl/>
        <w:numPr>
          <w:ilvl w:val="0"/>
          <w:numId w:val="74"/>
        </w:numPr>
        <w:spacing w:line="360" w:lineRule="auto"/>
        <w:contextualSpacing/>
        <w:outlineLvl w:val="9"/>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4"/>
        </w:numPr>
        <w:spacing w:line="360" w:lineRule="auto"/>
        <w:contextualSpacing/>
        <w:outlineLvl w:val="9"/>
        <w:rPr>
          <w:rFonts w:hint="eastAsia" w:ascii="宋体" w:hAnsi="宋体"/>
          <w:sz w:val="24"/>
          <w:highlight w:val="none"/>
        </w:rPr>
      </w:pPr>
      <w:r>
        <w:rPr>
          <w:rFonts w:hint="eastAsia" w:ascii="宋体" w:hAnsi="宋体"/>
          <w:sz w:val="24"/>
          <w:highlight w:val="none"/>
        </w:rPr>
        <w:t xml:space="preserve">本协议书以纸质书面形式订立的，自投资者签字和销售机构代表管理人签署盖章之后立即生效。协议一式两份，投资者和管理人双方各执一份，具有同等法律效力。 </w:t>
      </w:r>
    </w:p>
    <w:p>
      <w:pPr>
        <w:widowControl/>
        <w:numPr>
          <w:ilvl w:val="0"/>
          <w:numId w:val="74"/>
        </w:numPr>
        <w:spacing w:line="360" w:lineRule="auto"/>
        <w:contextualSpacing/>
        <w:outlineLvl w:val="9"/>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4"/>
        </w:numPr>
        <w:spacing w:line="360" w:lineRule="auto"/>
        <w:contextualSpacing/>
        <w:outlineLvl w:val="9"/>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outlineLvl w:val="9"/>
        <w:rPr>
          <w:rFonts w:ascii="宋体" w:hAnsi="宋体"/>
          <w:sz w:val="24"/>
          <w:highlight w:val="none"/>
        </w:rPr>
      </w:pPr>
    </w:p>
    <w:p>
      <w:pPr>
        <w:numPr>
          <w:ilvl w:val="0"/>
          <w:numId w:val="69"/>
        </w:numPr>
        <w:spacing w:line="360" w:lineRule="auto"/>
        <w:ind w:firstLine="482" w:firstLineChars="200"/>
        <w:outlineLvl w:val="9"/>
        <w:rPr>
          <w:b/>
          <w:sz w:val="24"/>
          <w:highlight w:val="none"/>
        </w:rPr>
      </w:pPr>
      <w:r>
        <w:rPr>
          <w:rFonts w:hint="eastAsia"/>
          <w:b/>
          <w:sz w:val="24"/>
          <w:highlight w:val="none"/>
        </w:rPr>
        <w:t>附则</w:t>
      </w:r>
    </w:p>
    <w:p>
      <w:pPr>
        <w:widowControl/>
        <w:numPr>
          <w:ilvl w:val="0"/>
          <w:numId w:val="75"/>
        </w:numPr>
        <w:spacing w:line="360" w:lineRule="auto"/>
        <w:contextualSpacing/>
        <w:outlineLvl w:val="9"/>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5"/>
        </w:numPr>
        <w:spacing w:line="360" w:lineRule="auto"/>
        <w:contextualSpacing/>
        <w:outlineLvl w:val="9"/>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5"/>
        </w:numPr>
        <w:spacing w:line="360" w:lineRule="auto"/>
        <w:contextualSpacing/>
        <w:outlineLvl w:val="9"/>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outlineLvl w:val="9"/>
        <w:rPr>
          <w:rFonts w:ascii="宋体" w:hAnsi="宋体" w:cs="宋体"/>
          <w:bCs/>
          <w:color w:val="000000"/>
          <w:sz w:val="24"/>
          <w:highlight w:val="none"/>
        </w:rPr>
      </w:pPr>
    </w:p>
    <w:p>
      <w:pPr>
        <w:spacing w:line="360" w:lineRule="auto"/>
        <w:ind w:firstLine="480" w:firstLineChars="200"/>
        <w:outlineLvl w:val="9"/>
        <w:rPr>
          <w:rFonts w:ascii="宋体" w:hAnsi="宋体" w:cs="宋体"/>
          <w:bCs/>
          <w:color w:val="000000"/>
          <w:sz w:val="24"/>
          <w:highlight w:val="none"/>
        </w:rPr>
      </w:pPr>
    </w:p>
    <w:p>
      <w:pPr>
        <w:pStyle w:val="6"/>
        <w:widowControl/>
        <w:spacing w:line="360" w:lineRule="auto"/>
        <w:jc w:val="right"/>
        <w:outlineLvl w:val="9"/>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ind w:firstLine="480" w:firstLineChars="200"/>
        <w:outlineLvl w:val="9"/>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spacing w:line="360" w:lineRule="auto"/>
        <w:ind w:firstLine="0" w:firstLineChars="0"/>
        <w:rPr>
          <w:rFonts w:ascii="宋体" w:hAnsi="宋体" w:cs="宋体"/>
          <w:bCs/>
          <w:color w:val="000000"/>
          <w:sz w:val="24"/>
          <w:highlight w:val="none"/>
        </w:rPr>
      </w:pPr>
    </w:p>
    <w:p>
      <w:pPr>
        <w:pStyle w:val="6"/>
        <w:widowControl/>
        <w:spacing w:line="360" w:lineRule="auto"/>
        <w:jc w:val="center"/>
        <w:outlineLvl w:val="0"/>
        <w:rPr>
          <w:rFonts w:ascii="宋体" w:hAnsi="宋体" w:cs="宋体"/>
          <w:kern w:val="0"/>
          <w:sz w:val="21"/>
          <w:szCs w:val="21"/>
          <w:highlight w:val="none"/>
        </w:rPr>
      </w:pPr>
      <w:r>
        <w:rPr>
          <w:rFonts w:hint="eastAsia" w:ascii="宋体" w:hAnsi="宋体" w:cs="宋体"/>
          <w:b/>
          <w:sz w:val="32"/>
          <w:szCs w:val="32"/>
          <w:highlight w:val="none"/>
        </w:rPr>
        <w:t>杭银理财理财计划销售协议书</w:t>
      </w:r>
    </w:p>
    <w:p>
      <w:pPr>
        <w:jc w:val="center"/>
        <w:rPr>
          <w:rFonts w:ascii="宋体" w:hAnsi="宋体" w:cs="宋体"/>
          <w:highlight w:val="none"/>
        </w:rPr>
      </w:pPr>
      <w:r>
        <w:rPr>
          <w:rFonts w:hint="eastAsia" w:ascii="宋体" w:hAnsi="宋体" w:cs="宋体"/>
          <w:szCs w:val="21"/>
          <w:highlight w:val="none"/>
        </w:rPr>
        <w:t>（202101版）</w:t>
      </w:r>
    </w:p>
    <w:p>
      <w:pPr>
        <w:autoSpaceDE w:val="0"/>
        <w:spacing w:line="360" w:lineRule="auto"/>
        <w:jc w:val="center"/>
        <w:rPr>
          <w:highlight w:val="none"/>
        </w:rPr>
      </w:pPr>
    </w:p>
    <w:p>
      <w:pPr>
        <w:autoSpaceDE w:val="0"/>
        <w:spacing w:line="360" w:lineRule="auto"/>
        <w:ind w:firstLine="482" w:firstLineChars="200"/>
        <w:rPr>
          <w:rFonts w:ascii="宋体" w:hAnsi="宋体"/>
          <w:b/>
          <w:sz w:val="24"/>
          <w:highlight w:val="none"/>
        </w:rPr>
      </w:pPr>
      <w:r>
        <w:rPr>
          <w:rFonts w:hint="eastAsia" w:ascii="宋体" w:hAnsi="宋体"/>
          <w:b/>
          <w:sz w:val="24"/>
          <w:highlight w:val="none"/>
        </w:rPr>
        <w:t>特别提示：《杭银理财理财计划销售协议书（202101版）》与对应期次的理财计划投资协议书、投资者权益须知、风险揭示书及理财计划产品说明书共同构成完整且不可分割的理财计划合同。杭银理财有限责任公司（以下简称“杭银理财”）建议投资者在购买理财计划前认真阅读全套理财计划合同，投资者签署本协议书（含电子渠道签署）即视为已详细阅读理财计划合同并知悉相关风险，自愿投资购买理财计划、遵守合同约定并承担相应风险。</w:t>
      </w:r>
    </w:p>
    <w:p>
      <w:pPr>
        <w:autoSpaceDE w:val="0"/>
        <w:spacing w:line="360" w:lineRule="auto"/>
        <w:ind w:firstLine="482" w:firstLineChars="200"/>
        <w:rPr>
          <w:rFonts w:ascii="宋体" w:hAnsi="宋体"/>
          <w:b/>
          <w:sz w:val="24"/>
          <w:highlight w:val="none"/>
        </w:rPr>
      </w:pPr>
      <w:r>
        <w:rPr>
          <w:rFonts w:hint="eastAsia" w:ascii="宋体" w:hAnsi="宋体"/>
          <w:b/>
          <w:sz w:val="24"/>
          <w:highlight w:val="none"/>
        </w:rPr>
        <w:t>理财非存款、产品有风险、投资须谨慎，理财计划过往业绩不代表其未来表现，不等于理财计划实际收益。</w:t>
      </w:r>
    </w:p>
    <w:p>
      <w:pPr>
        <w:widowControl/>
        <w:autoSpaceDE w:val="0"/>
        <w:spacing w:line="360" w:lineRule="auto"/>
        <w:ind w:firstLine="480" w:firstLineChars="200"/>
        <w:rPr>
          <w:rFonts w:ascii="宋体" w:hAnsi="宋体"/>
          <w:sz w:val="24"/>
          <w:highlight w:val="none"/>
        </w:rPr>
      </w:pPr>
      <w:r>
        <w:rPr>
          <w:rFonts w:hint="eastAsia" w:ascii="宋体" w:hAnsi="宋体"/>
          <w:sz w:val="24"/>
          <w:highlight w:val="none"/>
        </w:rPr>
        <w:t>理财计划销售的相关法律主体为发行理财计划的理财公司、接受理财公司委托销售其发行理财计划的代理销售机构（以下简称“代理销售机构”）和投资者三方。理财公司是理财计划的设计发行方与管理人，代理销售机构面向投资者实施销售行为，两方共同承担理财计划的合规销售和投资者合法权益保护义务。</w:t>
      </w:r>
    </w:p>
    <w:p>
      <w:pPr>
        <w:widowControl/>
        <w:autoSpaceDE w:val="0"/>
        <w:spacing w:line="360" w:lineRule="auto"/>
        <w:ind w:firstLine="480" w:firstLineChars="200"/>
        <w:rPr>
          <w:rFonts w:ascii="宋体" w:hAnsi="宋体"/>
          <w:sz w:val="24"/>
          <w:highlight w:val="none"/>
        </w:rPr>
      </w:pPr>
      <w:r>
        <w:rPr>
          <w:rFonts w:hint="eastAsia" w:ascii="宋体" w:hAnsi="宋体"/>
          <w:sz w:val="24"/>
          <w:highlight w:val="none"/>
        </w:rPr>
        <w:t>投资者与代理销售机构经平等友好协商，本着自愿、诚实信用原则，就投资者购买代理销售机构代理销售的理财计划有关事宜达成如下协议（以下简称“本协议”）：</w:t>
      </w:r>
    </w:p>
    <w:p>
      <w:pPr>
        <w:widowControl/>
        <w:autoSpaceDE w:val="0"/>
        <w:spacing w:line="360" w:lineRule="auto"/>
        <w:ind w:firstLine="480" w:firstLineChars="200"/>
        <w:outlineLvl w:val="9"/>
        <w:rPr>
          <w:rFonts w:ascii="宋体" w:hAnsi="宋体"/>
          <w:sz w:val="24"/>
          <w:highlight w:val="none"/>
        </w:rPr>
      </w:pPr>
    </w:p>
    <w:p>
      <w:pPr>
        <w:widowControl/>
        <w:numPr>
          <w:ilvl w:val="0"/>
          <w:numId w:val="76"/>
        </w:numPr>
        <w:autoSpaceDE w:val="0"/>
        <w:spacing w:line="360" w:lineRule="auto"/>
        <w:ind w:firstLine="482" w:firstLineChars="200"/>
        <w:outlineLvl w:val="9"/>
        <w:rPr>
          <w:rFonts w:ascii="宋体" w:hAnsi="宋体"/>
          <w:b/>
          <w:sz w:val="24"/>
          <w:highlight w:val="none"/>
        </w:rPr>
      </w:pPr>
      <w:r>
        <w:rPr>
          <w:rFonts w:hint="eastAsia" w:ascii="宋体" w:hAnsi="宋体"/>
          <w:b/>
          <w:sz w:val="24"/>
          <w:highlight w:val="none"/>
        </w:rPr>
        <w:t>名词释义</w:t>
      </w:r>
    </w:p>
    <w:p>
      <w:pPr>
        <w:widowControl/>
        <w:autoSpaceDE w:val="0"/>
        <w:spacing w:line="360" w:lineRule="auto"/>
        <w:ind w:firstLine="480" w:firstLineChars="200"/>
        <w:jc w:val="left"/>
        <w:outlineLvl w:val="9"/>
        <w:rPr>
          <w:rFonts w:ascii="宋体" w:hAnsi="宋体"/>
          <w:sz w:val="24"/>
          <w:highlight w:val="none"/>
        </w:rPr>
      </w:pPr>
      <w:r>
        <w:rPr>
          <w:rFonts w:hint="eastAsia" w:ascii="宋体" w:hAnsi="宋体"/>
          <w:sz w:val="24"/>
          <w:highlight w:val="none"/>
        </w:rPr>
        <w:t>详见对应期次的理财计划产品说明书“释义”部分。</w:t>
      </w:r>
    </w:p>
    <w:p>
      <w:pPr>
        <w:widowControl/>
        <w:autoSpaceDE w:val="0"/>
        <w:spacing w:line="360" w:lineRule="auto"/>
        <w:ind w:firstLine="480" w:firstLineChars="200"/>
        <w:jc w:val="left"/>
        <w:outlineLvl w:val="9"/>
        <w:rPr>
          <w:rFonts w:ascii="宋体" w:hAnsi="宋体"/>
          <w:sz w:val="24"/>
          <w:highlight w:val="none"/>
        </w:rPr>
      </w:pPr>
    </w:p>
    <w:p>
      <w:pPr>
        <w:widowControl/>
        <w:numPr>
          <w:ilvl w:val="0"/>
          <w:numId w:val="76"/>
        </w:numPr>
        <w:autoSpaceDE w:val="0"/>
        <w:spacing w:line="360" w:lineRule="auto"/>
        <w:ind w:firstLine="482" w:firstLineChars="200"/>
        <w:outlineLvl w:val="9"/>
        <w:rPr>
          <w:rFonts w:ascii="宋体" w:hAnsi="宋体"/>
          <w:b/>
          <w:sz w:val="24"/>
          <w:highlight w:val="none"/>
        </w:rPr>
      </w:pPr>
      <w:r>
        <w:rPr>
          <w:rFonts w:hint="eastAsia" w:ascii="宋体" w:hAnsi="宋体"/>
          <w:b/>
          <w:sz w:val="24"/>
          <w:highlight w:val="none"/>
        </w:rPr>
        <w:t>投资者权利与义务</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szCs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黑体"/>
          <w:color w:val="000000"/>
          <w:szCs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szCs w:val="24"/>
          <w:highlight w:val="none"/>
        </w:rPr>
        <w:t>投资者保证自身完全了解理财投资的性质，投资所涉及的风险以及自身风险承受能力，在慎重考虑后独立作出交易决定。</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b/>
          <w:szCs w:val="24"/>
          <w:highlight w:val="none"/>
        </w:rPr>
        <w:t>投资者购买代理销售机构代理销售的私募理财计划后，可以享有24 小时的投资冷静期，在投资冷静期内，如投资者改变投资决定，应提出解除相应理财计划合同文件申请，代理销售机构将及时退还投资者的全部投资款项。</w:t>
      </w:r>
      <w:r>
        <w:rPr>
          <w:rFonts w:hint="eastAsia" w:ascii="宋体" w:hAnsi="宋体" w:cs="黑体"/>
          <w:szCs w:val="24"/>
          <w:highlight w:val="none"/>
        </w:rPr>
        <w:t>投资冷静期相关约定详见理财计划产品说明书。</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szCs w:val="24"/>
          <w:highlight w:val="none"/>
        </w:rPr>
        <w:t>投资者保证其有权利签署本协议和履行本协议所述的义务，并已为此采取一切所需的行为。</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szCs w:val="24"/>
          <w:highlight w:val="none"/>
        </w:rPr>
        <w:t>投资者保证执行及交付任何文件或履行本协议项下的义务，均不会违反任何适用法律、法规、法令或法律限制；不会违反任何法院或政府机关所作出的适用于投资者或投资者任何资产的判决或指令；不会违反对投资者或投资者任何资产有约束力的任何重大协议条款。投资者应在签署本协议的同时在其授权指定的账户中（以下简称“授权指定账户”）存入足额的资金以确保账户余额大于或等于认/申购金额。</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b/>
          <w:szCs w:val="24"/>
          <w:highlight w:val="none"/>
        </w:rPr>
        <w:t>投资者在此确认代理销售机构的系统记录以及录音、录像构成对投资者操作行为（包括但不限于购买、赎回、撤单）的有效证据，并且在双方发生争议时可以作为合法有效的证据使用</w:t>
      </w:r>
      <w:r>
        <w:rPr>
          <w:rFonts w:hint="eastAsia" w:ascii="宋体" w:hAnsi="宋体" w:cs="黑体"/>
          <w:szCs w:val="24"/>
          <w:highlight w:val="none"/>
        </w:rPr>
        <w:t>。</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szCs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代理销售机构对此不承担任何责任。 </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szCs w:val="24"/>
          <w:highlight w:val="none"/>
        </w:rPr>
        <w:t xml:space="preserve">在本理财计划存续期内，如有权机关要求代理销售机构配合对投资者理财份额、理财账户、授权指定账户进行查封、冻结或扣划的，代理销售机构有权根据实际情况采取相应措施。代理销售机构对上述后果不承担任何责任。 </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szCs w:val="24"/>
          <w:highlight w:val="none"/>
        </w:rPr>
        <w:t>本协议终止前，投资者不得将授权指定账户销户。若发生因投资者注销授权指定账户造成理财计划无法正常兑付的，代理销售机构不承担任何责任。</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szCs w:val="24"/>
          <w:highlight w:val="none"/>
        </w:rPr>
        <w:t xml:space="preserve">投资者应确保其提供的所有资料真实、完整、合法、有效，如果有任何变更，投资者应及时通知代理销售机构并办理变更手续。如因投资者未及时通知代理销售机构并办理相应的变更手续，由此导致的一切后果由投资者自行承担，代理销售机构对此不承担任何责任。 </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szCs w:val="24"/>
          <w:highlight w:val="none"/>
        </w:rPr>
        <w:t>投资者对本协议及其条款负有保密义务，未经代理销售机构书面许可，不得向任何组织、个人提供或泄露与代理销售机构有关的业务资料及信息，但法律、法规另有规定的除外。</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szCs w:val="24"/>
          <w:highlight w:val="none"/>
        </w:rPr>
        <w:t>投资者进行投资时，应严格遵守反洗钱相关法规的规定，切实履行反洗钱及反恐怖融资义务。</w:t>
      </w:r>
    </w:p>
    <w:p>
      <w:pPr>
        <w:pStyle w:val="6"/>
        <w:widowControl/>
        <w:numPr>
          <w:ilvl w:val="0"/>
          <w:numId w:val="77"/>
        </w:numPr>
        <w:spacing w:line="360" w:lineRule="auto"/>
        <w:contextualSpacing/>
        <w:outlineLvl w:val="9"/>
        <w:rPr>
          <w:rFonts w:ascii="宋体" w:hAnsi="宋体" w:cs="黑体"/>
          <w:b/>
          <w:szCs w:val="24"/>
          <w:highlight w:val="none"/>
        </w:rPr>
      </w:pPr>
      <w:r>
        <w:rPr>
          <w:rFonts w:hint="eastAsia" w:ascii="宋体" w:hAnsi="宋体" w:cs="黑体"/>
          <w:b/>
          <w:szCs w:val="24"/>
          <w:highlight w:val="none"/>
        </w:rPr>
        <w:t>投资者个人信息授权</w:t>
      </w:r>
    </w:p>
    <w:p>
      <w:pPr>
        <w:pStyle w:val="6"/>
        <w:widowControl/>
        <w:spacing w:line="360" w:lineRule="auto"/>
        <w:ind w:firstLine="482" w:firstLineChars="200"/>
        <w:outlineLvl w:val="9"/>
        <w:rPr>
          <w:rFonts w:ascii="宋体" w:hAnsi="宋体" w:cs="黑体"/>
          <w:b/>
          <w:szCs w:val="24"/>
          <w:highlight w:val="none"/>
        </w:rPr>
      </w:pPr>
      <w:r>
        <w:rPr>
          <w:rFonts w:hint="eastAsia" w:ascii="宋体" w:hAnsi="宋体" w:cs="黑体"/>
          <w:b/>
          <w:szCs w:val="24"/>
          <w:highlight w:val="none"/>
        </w:rPr>
        <w:t>基于代理销售机构履行本协议、进行服务管理和风险管理、报送监管信息等需要，履行反洗钱、投资者资质审核和销售适当性等法律法规和监管要求的义务，投资者在此同意并授权代理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pStyle w:val="6"/>
        <w:widowControl/>
        <w:spacing w:line="360" w:lineRule="auto"/>
        <w:ind w:firstLine="482" w:firstLineChars="200"/>
        <w:outlineLvl w:val="9"/>
        <w:rPr>
          <w:rFonts w:ascii="宋体" w:hAnsi="宋体" w:cs="黑体"/>
          <w:b/>
          <w:szCs w:val="24"/>
          <w:highlight w:val="none"/>
        </w:rPr>
      </w:pPr>
    </w:p>
    <w:p>
      <w:pPr>
        <w:widowControl/>
        <w:numPr>
          <w:ilvl w:val="0"/>
          <w:numId w:val="76"/>
        </w:numPr>
        <w:autoSpaceDE w:val="0"/>
        <w:spacing w:line="360" w:lineRule="auto"/>
        <w:ind w:firstLine="482" w:firstLineChars="200"/>
        <w:outlineLvl w:val="9"/>
        <w:rPr>
          <w:rFonts w:ascii="宋体" w:hAnsi="宋体"/>
          <w:b/>
          <w:sz w:val="24"/>
          <w:highlight w:val="none"/>
        </w:rPr>
      </w:pPr>
      <w:r>
        <w:rPr>
          <w:rFonts w:hint="eastAsia" w:ascii="宋体" w:hAnsi="宋体"/>
          <w:b/>
          <w:sz w:val="24"/>
          <w:highlight w:val="none"/>
        </w:rPr>
        <w:t>代理销售机构的权利与义务</w:t>
      </w:r>
    </w:p>
    <w:p>
      <w:pPr>
        <w:pStyle w:val="6"/>
        <w:widowControl/>
        <w:numPr>
          <w:ilvl w:val="0"/>
          <w:numId w:val="78"/>
        </w:numPr>
        <w:autoSpaceDE w:val="0"/>
        <w:spacing w:line="360" w:lineRule="auto"/>
        <w:contextualSpacing/>
        <w:jc w:val="left"/>
        <w:outlineLvl w:val="9"/>
        <w:rPr>
          <w:rFonts w:ascii="宋体" w:hAnsi="宋体" w:cs="黑体"/>
          <w:szCs w:val="24"/>
          <w:highlight w:val="none"/>
        </w:rPr>
      </w:pPr>
      <w:r>
        <w:rPr>
          <w:rFonts w:hint="eastAsia" w:ascii="宋体" w:hAnsi="宋体" w:cs="黑体"/>
          <w:szCs w:val="24"/>
          <w:highlight w:val="none"/>
        </w:rPr>
        <w:t>代理销售机构应对拟销售的理财计划开展尽职调查，承担审批职责，并纳入本机构统一专门名单管理，不得仅以管理人相关产品资料或其出具意见作为审批依据。代理销售机构应当根据本机构的方式和方法，独立、审慎地对代理销售的理财计划进行销售评级。销售评级与管理人产品评级结果不一致的，代理销售机构应当采用对应较高风险等级的评级结果并予以披露。</w:t>
      </w:r>
    </w:p>
    <w:p>
      <w:pPr>
        <w:pStyle w:val="6"/>
        <w:widowControl/>
        <w:numPr>
          <w:ilvl w:val="0"/>
          <w:numId w:val="78"/>
        </w:numPr>
        <w:autoSpaceDE w:val="0"/>
        <w:spacing w:line="360" w:lineRule="auto"/>
        <w:contextualSpacing/>
        <w:jc w:val="left"/>
        <w:outlineLvl w:val="9"/>
        <w:rPr>
          <w:rFonts w:ascii="宋体" w:hAnsi="宋体" w:cs="黑体"/>
          <w:szCs w:val="24"/>
          <w:highlight w:val="none"/>
        </w:rPr>
      </w:pPr>
      <w:r>
        <w:rPr>
          <w:rFonts w:hint="eastAsia" w:ascii="宋体" w:hAnsi="宋体" w:cs="黑体"/>
          <w:b/>
          <w:szCs w:val="24"/>
          <w:highlight w:val="none"/>
        </w:rPr>
        <w:t>代理销售机构非本计划的发行、管理机构，对本计划的业绩不承担任何保证和其他经济责任，不承担本计划的投资、兑付和风险管理责任</w:t>
      </w:r>
      <w:r>
        <w:rPr>
          <w:rFonts w:hint="eastAsia" w:ascii="宋体" w:hAnsi="宋体" w:cs="黑体"/>
          <w:szCs w:val="24"/>
          <w:highlight w:val="none"/>
        </w:rPr>
        <w:t>。</w:t>
      </w:r>
    </w:p>
    <w:p>
      <w:pPr>
        <w:pStyle w:val="6"/>
        <w:widowControl/>
        <w:numPr>
          <w:ilvl w:val="0"/>
          <w:numId w:val="78"/>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代理销售机构应定期对购买其代理销售的理财计划的非机构投资者进行有效风险承受能力评估，并保证向投资者推介及销售与其风险承受能力匹配的产品。</w:t>
      </w:r>
    </w:p>
    <w:p>
      <w:pPr>
        <w:pStyle w:val="6"/>
        <w:widowControl/>
        <w:numPr>
          <w:ilvl w:val="0"/>
          <w:numId w:val="78"/>
        </w:numPr>
        <w:autoSpaceDE w:val="0"/>
        <w:spacing w:line="360" w:lineRule="auto"/>
        <w:contextualSpacing/>
        <w:jc w:val="left"/>
        <w:outlineLvl w:val="9"/>
        <w:rPr>
          <w:rFonts w:ascii="宋体" w:hAnsi="宋体" w:cs="黑体"/>
          <w:szCs w:val="24"/>
          <w:highlight w:val="none"/>
        </w:rPr>
      </w:pPr>
      <w:r>
        <w:rPr>
          <w:rFonts w:hint="eastAsia" w:ascii="宋体" w:hAnsi="宋体" w:cs="黑体"/>
          <w:szCs w:val="24"/>
          <w:highlight w:val="none"/>
        </w:rPr>
        <w:t>对于通过营业网点向非机构投资者销售理财计划的，代理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pStyle w:val="6"/>
        <w:widowControl/>
        <w:numPr>
          <w:ilvl w:val="0"/>
          <w:numId w:val="78"/>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代理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pStyle w:val="6"/>
        <w:widowControl/>
        <w:numPr>
          <w:ilvl w:val="0"/>
          <w:numId w:val="78"/>
        </w:numPr>
        <w:autoSpaceDE w:val="0"/>
        <w:spacing w:line="360" w:lineRule="auto"/>
        <w:contextualSpacing/>
        <w:jc w:val="left"/>
        <w:outlineLvl w:val="9"/>
        <w:rPr>
          <w:rFonts w:ascii="宋体" w:hAnsi="宋体" w:cs="黑体"/>
          <w:szCs w:val="24"/>
          <w:highlight w:val="none"/>
        </w:rPr>
      </w:pPr>
      <w:r>
        <w:rPr>
          <w:rFonts w:hint="eastAsia" w:ascii="宋体" w:hAnsi="宋体" w:cs="黑体"/>
          <w:szCs w:val="24"/>
          <w:highlight w:val="none"/>
        </w:rPr>
        <w:t>代理销售机构应建立健全上岗资格、持续培训、信息公示与查询核实等制度并有效执行。未经代理销售机构进行上岗资格认定并签订劳动合同，任何人员不得从事理财计划销售业务活动。</w:t>
      </w:r>
    </w:p>
    <w:p>
      <w:pPr>
        <w:pStyle w:val="6"/>
        <w:widowControl/>
        <w:numPr>
          <w:ilvl w:val="0"/>
          <w:numId w:val="78"/>
        </w:numPr>
        <w:autoSpaceDE w:val="0"/>
        <w:spacing w:line="360" w:lineRule="auto"/>
        <w:contextualSpacing/>
        <w:jc w:val="left"/>
        <w:outlineLvl w:val="9"/>
        <w:rPr>
          <w:rFonts w:ascii="宋体" w:hAnsi="宋体" w:cs="黑体"/>
          <w:szCs w:val="24"/>
          <w:highlight w:val="none"/>
        </w:rPr>
      </w:pPr>
      <w:r>
        <w:rPr>
          <w:rFonts w:hint="eastAsia" w:ascii="宋体" w:hAnsi="宋体" w:cs="黑体"/>
          <w:szCs w:val="24"/>
          <w:highlight w:val="none"/>
        </w:rPr>
        <w:t>代理销售机构应对所有销售人员信息进行登记和公示。销售人员在向投资者宣传销售理财计划前进行自我介绍并告知信息查询和核实渠道，便于投资者查询核实，防止伪冒身份和虚假宣传。</w:t>
      </w:r>
    </w:p>
    <w:p>
      <w:pPr>
        <w:pStyle w:val="6"/>
        <w:widowControl/>
        <w:numPr>
          <w:ilvl w:val="0"/>
          <w:numId w:val="78"/>
        </w:numPr>
        <w:autoSpaceDE w:val="0"/>
        <w:spacing w:line="360" w:lineRule="auto"/>
        <w:contextualSpacing/>
        <w:jc w:val="left"/>
        <w:outlineLvl w:val="9"/>
        <w:rPr>
          <w:rFonts w:ascii="宋体" w:hAnsi="宋体" w:cs="黑体"/>
          <w:szCs w:val="24"/>
          <w:highlight w:val="none"/>
        </w:rPr>
      </w:pPr>
      <w:r>
        <w:rPr>
          <w:rFonts w:hint="eastAsia" w:ascii="宋体" w:hAnsi="宋体" w:cs="黑体"/>
          <w:szCs w:val="24"/>
          <w:highlight w:val="none"/>
        </w:rPr>
        <w:t>代理销售机构对投资者负有信息保密义务，未经投资者书面许可，乙方不得向任何组织、个人提供或泄露与甲方有关的业务资料及信息，但法律、法规另有规定的除外。</w:t>
      </w:r>
    </w:p>
    <w:p>
      <w:pPr>
        <w:pStyle w:val="6"/>
        <w:widowControl/>
        <w:numPr>
          <w:ilvl w:val="0"/>
          <w:numId w:val="78"/>
        </w:numPr>
        <w:autoSpaceDE w:val="0"/>
        <w:spacing w:line="360" w:lineRule="auto"/>
        <w:contextualSpacing/>
        <w:jc w:val="left"/>
        <w:outlineLvl w:val="9"/>
        <w:rPr>
          <w:rFonts w:ascii="宋体" w:hAnsi="宋体" w:cs="黑体"/>
          <w:szCs w:val="24"/>
          <w:highlight w:val="none"/>
        </w:rPr>
      </w:pPr>
      <w:r>
        <w:rPr>
          <w:rFonts w:hint="eastAsia" w:ascii="宋体" w:hAnsi="宋体" w:cs="黑体"/>
          <w:szCs w:val="24"/>
          <w:highlight w:val="none"/>
        </w:rPr>
        <w:t>代理销售机构应按照法律法规、监管规定、理财计划合同的约定收取销售费用，并如实核算、记账。未经载明，不得对不同投资者适用不同费率。</w:t>
      </w:r>
    </w:p>
    <w:p>
      <w:pPr>
        <w:pStyle w:val="6"/>
        <w:widowControl/>
        <w:numPr>
          <w:ilvl w:val="0"/>
          <w:numId w:val="78"/>
        </w:numPr>
        <w:autoSpaceDE w:val="0"/>
        <w:spacing w:line="360" w:lineRule="auto"/>
        <w:contextualSpacing/>
        <w:jc w:val="left"/>
        <w:outlineLvl w:val="9"/>
        <w:rPr>
          <w:rFonts w:ascii="宋体" w:hAnsi="宋体" w:cs="黑体"/>
          <w:szCs w:val="24"/>
          <w:highlight w:val="none"/>
        </w:rPr>
      </w:pPr>
      <w:r>
        <w:rPr>
          <w:rFonts w:hint="eastAsia" w:ascii="宋体" w:hAnsi="宋体" w:cs="黑体"/>
          <w:szCs w:val="24"/>
          <w:highlight w:val="none"/>
        </w:rPr>
        <w:t>理财计划销售结算资金属于理财计划投资者，代理销售机构不得挪用理财计划销售结算资金或将理财计划销售结算资金归入自有资产。</w:t>
      </w:r>
    </w:p>
    <w:p>
      <w:pPr>
        <w:pStyle w:val="6"/>
        <w:widowControl/>
        <w:numPr>
          <w:ilvl w:val="0"/>
          <w:numId w:val="78"/>
        </w:numPr>
        <w:autoSpaceDE w:val="0"/>
        <w:spacing w:line="360" w:lineRule="auto"/>
        <w:contextualSpacing/>
        <w:jc w:val="left"/>
        <w:outlineLvl w:val="9"/>
        <w:rPr>
          <w:rFonts w:ascii="宋体" w:hAnsi="宋体" w:cs="黑体"/>
          <w:szCs w:val="24"/>
          <w:highlight w:val="none"/>
        </w:rPr>
      </w:pPr>
      <w:r>
        <w:rPr>
          <w:rFonts w:hint="eastAsia" w:ascii="宋体" w:hAnsi="宋体" w:cs="黑体"/>
          <w:szCs w:val="24"/>
          <w:highlight w:val="none"/>
        </w:rPr>
        <w:t>代理销售机构应遵守相关法律、法规、监管规定及理财计划合同约定，诚实守信、勤勉尽责，向购买理财计划的投资者充分传递管理人披露的产品相关信息并进行充分的风险揭示。</w:t>
      </w:r>
    </w:p>
    <w:p>
      <w:pPr>
        <w:pStyle w:val="6"/>
        <w:widowControl/>
        <w:numPr>
          <w:ilvl w:val="0"/>
          <w:numId w:val="78"/>
        </w:numPr>
        <w:autoSpaceDE w:val="0"/>
        <w:spacing w:line="360" w:lineRule="auto"/>
        <w:contextualSpacing/>
        <w:jc w:val="left"/>
        <w:outlineLvl w:val="9"/>
        <w:rPr>
          <w:rFonts w:ascii="宋体" w:hAnsi="宋体" w:cs="黑体"/>
          <w:szCs w:val="24"/>
          <w:highlight w:val="none"/>
        </w:rPr>
      </w:pPr>
      <w:r>
        <w:rPr>
          <w:rFonts w:hint="eastAsia" w:ascii="宋体" w:hAnsi="宋体" w:cs="黑体"/>
          <w:szCs w:val="24"/>
          <w:highlight w:val="none"/>
        </w:rPr>
        <w:t>代理销售机构应当充分利用科技手段，加强对伪冒网站、伪冒产品等监测，有效防范各类欺诈风险。</w:t>
      </w:r>
    </w:p>
    <w:p>
      <w:pPr>
        <w:pStyle w:val="6"/>
        <w:widowControl/>
        <w:autoSpaceDE w:val="0"/>
        <w:spacing w:line="360" w:lineRule="auto"/>
        <w:ind w:left="482"/>
        <w:contextualSpacing/>
        <w:jc w:val="left"/>
        <w:outlineLvl w:val="9"/>
        <w:rPr>
          <w:rFonts w:ascii="宋体" w:hAnsi="宋体" w:cs="黑体"/>
          <w:b/>
          <w:szCs w:val="24"/>
          <w:highlight w:val="none"/>
        </w:rPr>
      </w:pPr>
    </w:p>
    <w:p>
      <w:pPr>
        <w:widowControl/>
        <w:numPr>
          <w:ilvl w:val="0"/>
          <w:numId w:val="76"/>
        </w:numPr>
        <w:autoSpaceDE w:val="0"/>
        <w:spacing w:line="360" w:lineRule="auto"/>
        <w:ind w:firstLine="482" w:firstLineChars="200"/>
        <w:outlineLvl w:val="9"/>
        <w:rPr>
          <w:rFonts w:ascii="宋体" w:hAnsi="宋体"/>
          <w:b/>
          <w:sz w:val="24"/>
          <w:highlight w:val="none"/>
        </w:rPr>
      </w:pPr>
      <w:r>
        <w:rPr>
          <w:rFonts w:hint="eastAsia" w:ascii="宋体" w:hAnsi="宋体"/>
          <w:b/>
          <w:sz w:val="24"/>
          <w:highlight w:val="none"/>
        </w:rPr>
        <w:t>理财计划认（申）购、赎回及终止</w:t>
      </w:r>
    </w:p>
    <w:p>
      <w:pPr>
        <w:pStyle w:val="6"/>
        <w:widowControl/>
        <w:numPr>
          <w:ilvl w:val="0"/>
          <w:numId w:val="79"/>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 xml:space="preserve">理财计划认/申购办理流程：参照投资者权益须知约定。 </w:t>
      </w:r>
    </w:p>
    <w:p>
      <w:pPr>
        <w:pStyle w:val="6"/>
        <w:widowControl/>
        <w:numPr>
          <w:ilvl w:val="0"/>
          <w:numId w:val="79"/>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理财计划认/申购确认：管理人根据代理销售渠道提供的交易信息及资金划付对投资者相应认/申购进行确认。</w:t>
      </w:r>
    </w:p>
    <w:p>
      <w:pPr>
        <w:pStyle w:val="6"/>
        <w:widowControl/>
        <w:numPr>
          <w:ilvl w:val="0"/>
          <w:numId w:val="79"/>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 xml:space="preserve">理财计划不成立：若在募集期结束日，本理财计划发行规模未能达到对应期次的理财计划产品说明书规定的要求，则本理财计划不成立，代理销售机构将按对应期次的理财计划产品说明书约定条款向投资者进行公告，并将及时解除对投资者授权指定账户中认购资金的冻结。 </w:t>
      </w:r>
    </w:p>
    <w:p>
      <w:pPr>
        <w:pStyle w:val="6"/>
        <w:widowControl/>
        <w:numPr>
          <w:ilvl w:val="0"/>
          <w:numId w:val="79"/>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 xml:space="preserve">理财计划投资品种、投资起点金额、收益支付方式：参照对应期次的理财计划产品说明书中的条款约定。 </w:t>
      </w:r>
    </w:p>
    <w:p>
      <w:pPr>
        <w:pStyle w:val="6"/>
        <w:widowControl/>
        <w:numPr>
          <w:ilvl w:val="0"/>
          <w:numId w:val="79"/>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理财计划赎回/终止兑付：在正常情况下，管理人和代理销售机构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理财计划产品说明书约定管理人对理财计划进行延期或转换时，代理销售机构将于原约定清算日前通过信息披露途径及时通知，并根据实际情况进行后续处理。</w:t>
      </w:r>
    </w:p>
    <w:p>
      <w:pPr>
        <w:pStyle w:val="6"/>
        <w:widowControl/>
        <w:numPr>
          <w:ilvl w:val="0"/>
          <w:numId w:val="79"/>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资金清算：理财计划终止或份额赎回时，管理人按理财计划合同约定划付至代理销售机构清算账户后，由代理销售机构向投资者划付投资者应得资金。如因投资者清算账户余额不足，或代理销售机构未及时足额划付资金，或代理销售机构清算账户内资金被依法冻结或扣划，或代理销售机构清算账户处于被挂失、冻结、注销或其他非正常状态等原因而导致交易失败，对于因上述原因导致的交易失败可能带来的任何损失及预期损失，投资者须自行承担或向代理销售机构依法主张。</w:t>
      </w:r>
    </w:p>
    <w:p>
      <w:pPr>
        <w:pStyle w:val="6"/>
        <w:widowControl/>
        <w:autoSpaceDE w:val="0"/>
        <w:spacing w:line="360" w:lineRule="auto"/>
        <w:ind w:left="178" w:leftChars="85"/>
        <w:contextualSpacing/>
        <w:outlineLvl w:val="9"/>
        <w:rPr>
          <w:rFonts w:ascii="宋体" w:hAnsi="宋体" w:cs="黑体"/>
          <w:b/>
          <w:szCs w:val="24"/>
          <w:highlight w:val="none"/>
        </w:rPr>
      </w:pPr>
    </w:p>
    <w:p>
      <w:pPr>
        <w:widowControl/>
        <w:numPr>
          <w:ilvl w:val="0"/>
          <w:numId w:val="76"/>
        </w:numPr>
        <w:autoSpaceDE w:val="0"/>
        <w:spacing w:line="360" w:lineRule="auto"/>
        <w:ind w:firstLine="482" w:firstLineChars="200"/>
        <w:outlineLvl w:val="9"/>
        <w:rPr>
          <w:rFonts w:ascii="宋体" w:hAnsi="宋体"/>
          <w:b/>
          <w:sz w:val="24"/>
          <w:highlight w:val="none"/>
        </w:rPr>
      </w:pPr>
      <w:r>
        <w:rPr>
          <w:rFonts w:hint="eastAsia" w:ascii="宋体" w:hAnsi="宋体"/>
          <w:b/>
          <w:sz w:val="24"/>
          <w:highlight w:val="none"/>
        </w:rPr>
        <w:t>违约责任及免责条款</w:t>
      </w:r>
    </w:p>
    <w:p>
      <w:pPr>
        <w:pStyle w:val="6"/>
        <w:widowControl/>
        <w:numPr>
          <w:ilvl w:val="0"/>
          <w:numId w:val="80"/>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若因投资者原因导致司法或行政等有权机关采取强制措施对其理财本金、收益进行部分或全部被扣划，均视投资者本人就全部理财本金进行了提前支取，本协议自动终止。因提前终止而产生的损失及相关费用由投资者承担。本协议因前述情况终止的，理财本金不计付支取日前的理财收益，也不计付存款利息。</w:t>
      </w:r>
    </w:p>
    <w:p>
      <w:pPr>
        <w:pStyle w:val="6"/>
        <w:widowControl/>
        <w:numPr>
          <w:ilvl w:val="0"/>
          <w:numId w:val="80"/>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投资者违反本协议第二条内容，应承担相应违约责任。代理销售机构对由此导致的理财业务交易延误、中断、终止及投资者损失不承担任何责任，并有权单方终止双方理财业务关系。因投资者违反双方约定给代理销售机构或全体投资者造成损失的，投资者应承担相应的赔偿责任。</w:t>
      </w:r>
    </w:p>
    <w:p>
      <w:pPr>
        <w:pStyle w:val="6"/>
        <w:widowControl/>
        <w:numPr>
          <w:ilvl w:val="0"/>
          <w:numId w:val="80"/>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若由于代理销售机构过错导致理财计划资产发生损失，代理销售机构应按其过错承担赔偿责任，代理销售机构赔偿的款项计入理财计划的资产和收益。</w:t>
      </w:r>
    </w:p>
    <w:p>
      <w:pPr>
        <w:pStyle w:val="6"/>
        <w:widowControl/>
        <w:numPr>
          <w:ilvl w:val="0"/>
          <w:numId w:val="80"/>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由于地震、火灾、战争等不可抗力或突发重大卫生公共事件等不可预测事件造成的交易中断、延误等风险及损失，管理人不承担责任；但代理销售机构应在上述情况发生后在条件允许时及时通知投资者并采取一切必要且可能的措施阻止损失扩大。</w:t>
      </w:r>
    </w:p>
    <w:p>
      <w:pPr>
        <w:pStyle w:val="6"/>
        <w:widowControl/>
        <w:numPr>
          <w:ilvl w:val="0"/>
          <w:numId w:val="80"/>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因国家有关法律、法规、规章、政策的修改或新的法律、法规、规章、政策颁布以及紧急措施的出台导致的风险及损失，代理销售机构不承担责任。</w:t>
      </w:r>
    </w:p>
    <w:p>
      <w:pPr>
        <w:pStyle w:val="6"/>
        <w:widowControl/>
        <w:autoSpaceDE w:val="0"/>
        <w:spacing w:line="360" w:lineRule="auto"/>
        <w:outlineLvl w:val="9"/>
        <w:rPr>
          <w:rFonts w:ascii="宋体" w:hAnsi="宋体" w:cs="黑体"/>
          <w:b/>
          <w:szCs w:val="24"/>
          <w:highlight w:val="none"/>
        </w:rPr>
      </w:pPr>
    </w:p>
    <w:p>
      <w:pPr>
        <w:widowControl/>
        <w:numPr>
          <w:ilvl w:val="0"/>
          <w:numId w:val="76"/>
        </w:numPr>
        <w:autoSpaceDE w:val="0"/>
        <w:spacing w:line="360" w:lineRule="auto"/>
        <w:ind w:firstLine="482" w:firstLineChars="200"/>
        <w:outlineLvl w:val="9"/>
        <w:rPr>
          <w:rFonts w:ascii="宋体" w:hAnsi="宋体"/>
          <w:b/>
          <w:sz w:val="24"/>
          <w:highlight w:val="none"/>
        </w:rPr>
      </w:pPr>
      <w:r>
        <w:rPr>
          <w:rFonts w:hint="eastAsia" w:ascii="宋体" w:hAnsi="宋体"/>
          <w:b/>
          <w:sz w:val="24"/>
          <w:highlight w:val="none"/>
        </w:rPr>
        <w:t>适用法律与争议解决</w:t>
      </w:r>
    </w:p>
    <w:p>
      <w:pPr>
        <w:pStyle w:val="6"/>
        <w:widowControl/>
        <w:autoSpaceDE w:val="0"/>
        <w:spacing w:line="360" w:lineRule="auto"/>
        <w:ind w:firstLine="480" w:firstLineChars="200"/>
        <w:outlineLvl w:val="9"/>
        <w:rPr>
          <w:rFonts w:ascii="宋体" w:hAnsi="宋体" w:cs="黑体"/>
          <w:szCs w:val="24"/>
          <w:highlight w:val="none"/>
        </w:rPr>
      </w:pPr>
      <w:r>
        <w:rPr>
          <w:rFonts w:hint="eastAsia" w:ascii="宋体" w:hAnsi="宋体" w:cs="黑体"/>
          <w:szCs w:val="24"/>
          <w:highlight w:val="none"/>
        </w:rPr>
        <w:t>本协议适用中华人民共和国（仅为明确本合同适用法律规则，不含香港特别行政区、澳门特别行政区及中国台湾地区）的法律和行政法规。本协议项下的及与之有关的一切争议，投资者与代理销售机构双方应首先协商解决，协商不成的，应提交代理销售机构所在地人民法院诉讼解决。诉讼期间，未涉及争议的条款仍需继续履行。</w:t>
      </w:r>
    </w:p>
    <w:p>
      <w:pPr>
        <w:pStyle w:val="6"/>
        <w:widowControl/>
        <w:autoSpaceDE w:val="0"/>
        <w:spacing w:line="360" w:lineRule="auto"/>
        <w:ind w:firstLine="482" w:firstLineChars="200"/>
        <w:outlineLvl w:val="9"/>
        <w:rPr>
          <w:rFonts w:ascii="宋体" w:hAnsi="宋体" w:cs="黑体"/>
          <w:b/>
          <w:szCs w:val="24"/>
          <w:highlight w:val="none"/>
        </w:rPr>
      </w:pPr>
    </w:p>
    <w:p>
      <w:pPr>
        <w:widowControl/>
        <w:numPr>
          <w:ilvl w:val="0"/>
          <w:numId w:val="76"/>
        </w:numPr>
        <w:autoSpaceDE w:val="0"/>
        <w:spacing w:line="360" w:lineRule="auto"/>
        <w:ind w:firstLine="482" w:firstLineChars="200"/>
        <w:outlineLvl w:val="9"/>
        <w:rPr>
          <w:rFonts w:ascii="宋体" w:hAnsi="宋体"/>
          <w:b/>
          <w:sz w:val="24"/>
          <w:highlight w:val="none"/>
        </w:rPr>
      </w:pPr>
      <w:r>
        <w:rPr>
          <w:rFonts w:hint="eastAsia" w:ascii="宋体" w:hAnsi="宋体"/>
          <w:b/>
          <w:sz w:val="24"/>
          <w:highlight w:val="none"/>
        </w:rPr>
        <w:t>协议生效和终止</w:t>
      </w:r>
    </w:p>
    <w:p>
      <w:pPr>
        <w:pStyle w:val="6"/>
        <w:widowControl/>
        <w:numPr>
          <w:ilvl w:val="0"/>
          <w:numId w:val="81"/>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 xml:space="preserve">投资者和代理销售机构双方认可本协议可以纸质或电子数据等形式提交、订立或确认。 </w:t>
      </w:r>
    </w:p>
    <w:p>
      <w:pPr>
        <w:pStyle w:val="6"/>
        <w:widowControl/>
        <w:numPr>
          <w:ilvl w:val="0"/>
          <w:numId w:val="81"/>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 xml:space="preserve">本协议书以纸质书面形式订立的，自投资者签字和代理销售机构签章之后立即生效。协议一式叁份，投资者、管理人和代理销售机构各执壹份，具有同等法律效力。 </w:t>
      </w:r>
    </w:p>
    <w:p>
      <w:pPr>
        <w:pStyle w:val="6"/>
        <w:widowControl/>
        <w:numPr>
          <w:ilvl w:val="0"/>
          <w:numId w:val="81"/>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本协议书以数据电文形式订立的，投资者在代理销售机构的电子银行渠道（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pStyle w:val="6"/>
        <w:widowControl/>
        <w:numPr>
          <w:ilvl w:val="0"/>
          <w:numId w:val="81"/>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投资者和代理销售机构双方在本协议及对应期次的理财计划产品说明书项下权利义务履行完毕之日，本协议自动终止。</w:t>
      </w:r>
    </w:p>
    <w:p>
      <w:pPr>
        <w:pStyle w:val="6"/>
        <w:widowControl/>
        <w:autoSpaceDE w:val="0"/>
        <w:spacing w:line="360" w:lineRule="auto"/>
        <w:ind w:left="420"/>
        <w:contextualSpacing/>
        <w:outlineLvl w:val="9"/>
        <w:rPr>
          <w:rFonts w:ascii="宋体" w:hAnsi="宋体" w:cs="黑体"/>
          <w:szCs w:val="24"/>
          <w:highlight w:val="none"/>
        </w:rPr>
      </w:pPr>
    </w:p>
    <w:p>
      <w:pPr>
        <w:widowControl/>
        <w:numPr>
          <w:ilvl w:val="0"/>
          <w:numId w:val="76"/>
        </w:numPr>
        <w:autoSpaceDE w:val="0"/>
        <w:spacing w:line="360" w:lineRule="auto"/>
        <w:ind w:firstLine="482" w:firstLineChars="200"/>
        <w:outlineLvl w:val="9"/>
        <w:rPr>
          <w:rFonts w:ascii="宋体" w:hAnsi="宋体"/>
          <w:b/>
          <w:sz w:val="24"/>
          <w:highlight w:val="none"/>
        </w:rPr>
      </w:pPr>
      <w:r>
        <w:rPr>
          <w:rFonts w:hint="eastAsia" w:ascii="宋体" w:hAnsi="宋体"/>
          <w:b/>
          <w:sz w:val="24"/>
          <w:highlight w:val="none"/>
        </w:rPr>
        <w:t xml:space="preserve">附则 </w:t>
      </w:r>
    </w:p>
    <w:p>
      <w:pPr>
        <w:pStyle w:val="6"/>
        <w:widowControl/>
        <w:numPr>
          <w:ilvl w:val="0"/>
          <w:numId w:val="82"/>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如果投资者与代理销售机构之间存在多份理财计划销售协议书，则每一协议书分别与其所对应的理财计划产品说明书等销售文本单独构成一个理财计划合同，各个合同之间互相独立，每一合同的效力及履行情况均独立于其他合同。</w:t>
      </w:r>
    </w:p>
    <w:p>
      <w:pPr>
        <w:pStyle w:val="6"/>
        <w:widowControl/>
        <w:numPr>
          <w:ilvl w:val="0"/>
          <w:numId w:val="82"/>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如果由于任何原因使本合同下的任何条款或内容成为无效或被依法撤销，本合同其他条款或内容的合法性、有效性和可执行性不受影响。</w:t>
      </w:r>
    </w:p>
    <w:p>
      <w:pPr>
        <w:pStyle w:val="6"/>
        <w:widowControl/>
        <w:numPr>
          <w:ilvl w:val="0"/>
          <w:numId w:val="82"/>
        </w:numPr>
        <w:autoSpaceDE w:val="0"/>
        <w:spacing w:line="360" w:lineRule="auto"/>
        <w:contextualSpacing/>
        <w:outlineLvl w:val="9"/>
        <w:rPr>
          <w:rFonts w:ascii="宋体" w:hAnsi="宋体" w:cs="宋体"/>
          <w:szCs w:val="24"/>
          <w:highlight w:val="none"/>
        </w:rPr>
      </w:pPr>
      <w:r>
        <w:rPr>
          <w:rFonts w:hint="eastAsia" w:ascii="宋体" w:hAnsi="宋体" w:cs="黑体"/>
          <w:szCs w:val="24"/>
          <w:highlight w:val="none"/>
        </w:rPr>
        <w:t>在理财计划存续期内，如因监管政策或法律法规发生变化，在不损害投资者利益的前提下，管理人有权单方对理财计划合同销售文件进行修订。</w:t>
      </w:r>
    </w:p>
    <w:p>
      <w:pPr>
        <w:pStyle w:val="6"/>
        <w:widowControl/>
        <w:tabs>
          <w:tab w:val="left" w:pos="0"/>
        </w:tabs>
        <w:autoSpaceDE w:val="0"/>
        <w:spacing w:line="360" w:lineRule="auto"/>
        <w:ind w:left="420"/>
        <w:contextualSpacing/>
        <w:outlineLvl w:val="9"/>
        <w:rPr>
          <w:rFonts w:ascii="宋体" w:hAnsi="宋体" w:cs="宋体"/>
          <w:szCs w:val="24"/>
          <w:highlight w:val="none"/>
        </w:rPr>
      </w:pPr>
    </w:p>
    <w:p>
      <w:pPr>
        <w:widowControl/>
        <w:spacing w:line="360" w:lineRule="auto"/>
        <w:jc w:val="right"/>
        <w:outlineLvl w:val="9"/>
        <w:rPr>
          <w:rFonts w:ascii="宋体" w:hAnsi="宋体" w:cs="宋体"/>
          <w:color w:val="000000"/>
          <w:kern w:val="0"/>
          <w:sz w:val="24"/>
          <w:highlight w:val="none"/>
        </w:rPr>
      </w:pPr>
      <w:r>
        <w:rPr>
          <w:rFonts w:hint="eastAsia" w:ascii="宋体" w:hAnsi="宋体" w:cs="宋体"/>
          <w:kern w:val="0"/>
          <w:sz w:val="24"/>
          <w:highlight w:val="none"/>
        </w:rPr>
        <w:t>杭银理财有限责任公司</w:t>
      </w:r>
    </w:p>
    <w:p>
      <w:pPr>
        <w:spacing w:line="360" w:lineRule="auto"/>
        <w:ind w:firstLine="480" w:firstLineChars="200"/>
        <w:outlineLvl w:val="9"/>
        <w:rPr>
          <w:rFonts w:ascii="宋体" w:hAnsi="宋体" w:cs="宋体"/>
          <w:bCs/>
          <w:color w:val="000000"/>
          <w:sz w:val="24"/>
          <w:highlight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40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40</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3">
    <w:nsid w:val="85460E80"/>
    <w:multiLevelType w:val="singleLevel"/>
    <w:tmpl w:val="85460E80"/>
    <w:lvl w:ilvl="0" w:tentative="0">
      <w:start w:val="1"/>
      <w:numFmt w:val="decimal"/>
      <w:suff w:val="nothing"/>
      <w:lvlText w:val="（%1）"/>
      <w:lvlJc w:val="left"/>
      <w:rPr>
        <w:rFonts w:hint="default"/>
        <w:b w:val="0"/>
        <w:bCs w:val="0"/>
      </w:rPr>
    </w:lvl>
  </w:abstractNum>
  <w:abstractNum w:abstractNumId="4">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5">
    <w:nsid w:val="8906C252"/>
    <w:multiLevelType w:val="singleLevel"/>
    <w:tmpl w:val="8906C252"/>
    <w:lvl w:ilvl="0" w:tentative="0">
      <w:start w:val="1"/>
      <w:numFmt w:val="decimal"/>
      <w:suff w:val="nothing"/>
      <w:lvlText w:val="（%1）"/>
      <w:lvlJc w:val="left"/>
      <w:rPr>
        <w:rFonts w:hint="default"/>
        <w:b w:val="0"/>
        <w:bCs w:val="0"/>
      </w:rPr>
    </w:lvl>
  </w:abstractNum>
  <w:abstractNum w:abstractNumId="6">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7">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8">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9">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10">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1">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2">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3">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4">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5">
    <w:nsid w:val="AC06F53F"/>
    <w:multiLevelType w:val="multilevel"/>
    <w:tmpl w:val="AC06F53F"/>
    <w:lvl w:ilvl="0" w:tentative="0">
      <w:start w:val="1"/>
      <w:numFmt w:val="chineseCounting"/>
      <w:suff w:val="nothing"/>
      <w:lvlText w:val="（%1）"/>
      <w:lvlJc w:val="left"/>
      <w:pPr>
        <w:tabs>
          <w:tab w:val="left" w:pos="0"/>
        </w:tabs>
        <w:ind w:left="0" w:firstLine="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AC40BB97"/>
    <w:multiLevelType w:val="singleLevel"/>
    <w:tmpl w:val="AC40BB97"/>
    <w:lvl w:ilvl="0" w:tentative="0">
      <w:start w:val="1"/>
      <w:numFmt w:val="chineseCounting"/>
      <w:suff w:val="nothing"/>
      <w:lvlText w:val="%1、"/>
      <w:lvlJc w:val="left"/>
      <w:rPr>
        <w:rFonts w:hint="eastAsia"/>
      </w:rPr>
    </w:lvl>
  </w:abstractNum>
  <w:abstractNum w:abstractNumId="17">
    <w:nsid w:val="B08226EF"/>
    <w:multiLevelType w:val="singleLevel"/>
    <w:tmpl w:val="B08226EF"/>
    <w:lvl w:ilvl="0" w:tentative="0">
      <w:start w:val="1"/>
      <w:numFmt w:val="chineseCounting"/>
      <w:suff w:val="space"/>
      <w:lvlText w:val="第%1条"/>
      <w:lvlJc w:val="left"/>
      <w:rPr>
        <w:rFonts w:hint="eastAsia"/>
      </w:rPr>
    </w:lvl>
  </w:abstractNum>
  <w:abstractNum w:abstractNumId="18">
    <w:nsid w:val="B3339662"/>
    <w:multiLevelType w:val="multilevel"/>
    <w:tmpl w:val="B3339662"/>
    <w:lvl w:ilvl="0" w:tentative="0">
      <w:start w:val="1"/>
      <w:numFmt w:val="chineseCounting"/>
      <w:suff w:val="nothing"/>
      <w:lvlText w:val="（%1）"/>
      <w:lvlJc w:val="left"/>
      <w:pPr>
        <w:tabs>
          <w:tab w:val="left" w:pos="0"/>
        </w:tabs>
        <w:ind w:left="0" w:firstLine="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20">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1">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2">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3">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4">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5">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6">
    <w:nsid w:val="D8D75090"/>
    <w:multiLevelType w:val="singleLevel"/>
    <w:tmpl w:val="D8D75090"/>
    <w:lvl w:ilvl="0" w:tentative="0">
      <w:start w:val="1"/>
      <w:numFmt w:val="decimal"/>
      <w:suff w:val="nothing"/>
      <w:lvlText w:val="（%1）"/>
      <w:lvlJc w:val="left"/>
      <w:rPr>
        <w:rFonts w:hint="default"/>
        <w:b w:val="0"/>
        <w:bCs w:val="0"/>
      </w:rPr>
    </w:lvl>
  </w:abstractNum>
  <w:abstractNum w:abstractNumId="27">
    <w:nsid w:val="DD2251DF"/>
    <w:multiLevelType w:val="singleLevel"/>
    <w:tmpl w:val="DD2251DF"/>
    <w:lvl w:ilvl="0" w:tentative="0">
      <w:start w:val="1"/>
      <w:numFmt w:val="decimal"/>
      <w:suff w:val="nothing"/>
      <w:lvlText w:val="（%1）"/>
      <w:lvlJc w:val="left"/>
      <w:rPr>
        <w:rFonts w:hint="default"/>
        <w:b w:val="0"/>
        <w:bCs w:val="0"/>
      </w:rPr>
    </w:lvl>
  </w:abstractNum>
  <w:abstractNum w:abstractNumId="28">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9">
    <w:nsid w:val="E70DF796"/>
    <w:multiLevelType w:val="singleLevel"/>
    <w:tmpl w:val="E70DF796"/>
    <w:lvl w:ilvl="0" w:tentative="0">
      <w:start w:val="1"/>
      <w:numFmt w:val="decimal"/>
      <w:suff w:val="nothing"/>
      <w:lvlText w:val="（%1）"/>
      <w:lvlJc w:val="left"/>
    </w:lvl>
  </w:abstractNum>
  <w:abstractNum w:abstractNumId="30">
    <w:nsid w:val="EFF37F09"/>
    <w:multiLevelType w:val="singleLevel"/>
    <w:tmpl w:val="EFF37F09"/>
    <w:lvl w:ilvl="0" w:tentative="0">
      <w:start w:val="1"/>
      <w:numFmt w:val="decimal"/>
      <w:suff w:val="nothing"/>
      <w:lvlText w:val="（%1）"/>
      <w:lvlJc w:val="left"/>
      <w:rPr>
        <w:rFonts w:hint="default"/>
        <w:b w:val="0"/>
        <w:bCs w:val="0"/>
      </w:rPr>
    </w:lvl>
  </w:abstractNum>
  <w:abstractNum w:abstractNumId="31">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2">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3">
    <w:nsid w:val="F3DD4737"/>
    <w:multiLevelType w:val="multilevel"/>
    <w:tmpl w:val="F3DD4737"/>
    <w:lvl w:ilvl="0" w:tentative="0">
      <w:start w:val="1"/>
      <w:numFmt w:val="chineseCounting"/>
      <w:suff w:val="nothing"/>
      <w:lvlText w:val="（%1）"/>
      <w:lvlJc w:val="left"/>
      <w:pPr>
        <w:tabs>
          <w:tab w:val="left" w:pos="0"/>
        </w:tabs>
        <w:ind w:left="0" w:firstLine="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4">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5">
    <w:nsid w:val="F4DAE6D1"/>
    <w:multiLevelType w:val="singleLevel"/>
    <w:tmpl w:val="F4DAE6D1"/>
    <w:lvl w:ilvl="0" w:tentative="0">
      <w:start w:val="1"/>
      <w:numFmt w:val="decimal"/>
      <w:suff w:val="nothing"/>
      <w:lvlText w:val="（%1）"/>
      <w:lvlJc w:val="left"/>
    </w:lvl>
  </w:abstractNum>
  <w:abstractNum w:abstractNumId="36">
    <w:nsid w:val="F574F5B6"/>
    <w:multiLevelType w:val="singleLevel"/>
    <w:tmpl w:val="F574F5B6"/>
    <w:lvl w:ilvl="0" w:tentative="0">
      <w:start w:val="1"/>
      <w:numFmt w:val="decimal"/>
      <w:suff w:val="nothing"/>
      <w:lvlText w:val="（%1）"/>
      <w:lvlJc w:val="left"/>
    </w:lvl>
  </w:abstractNum>
  <w:abstractNum w:abstractNumId="37">
    <w:nsid w:val="F72BC498"/>
    <w:multiLevelType w:val="multilevel"/>
    <w:tmpl w:val="F72BC498"/>
    <w:lvl w:ilvl="0" w:tentative="0">
      <w:start w:val="1"/>
      <w:numFmt w:val="chineseCounting"/>
      <w:suff w:val="space"/>
      <w:lvlText w:val="第%1条"/>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8">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9">
    <w:nsid w:val="06247AAE"/>
    <w:multiLevelType w:val="multilevel"/>
    <w:tmpl w:val="06247AAE"/>
    <w:lvl w:ilvl="0" w:tentative="0">
      <w:start w:val="1"/>
      <w:numFmt w:val="chineseCounting"/>
      <w:suff w:val="nothing"/>
      <w:lvlText w:val="（%1）"/>
      <w:lvlJc w:val="left"/>
      <w:pPr>
        <w:tabs>
          <w:tab w:val="left" w:pos="0"/>
        </w:tabs>
        <w:ind w:left="0" w:firstLine="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0">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41">
    <w:nsid w:val="084A6179"/>
    <w:multiLevelType w:val="singleLevel"/>
    <w:tmpl w:val="084A6179"/>
    <w:lvl w:ilvl="0" w:tentative="0">
      <w:start w:val="1"/>
      <w:numFmt w:val="decimal"/>
      <w:suff w:val="nothing"/>
      <w:lvlText w:val="（%1）"/>
      <w:lvlJc w:val="left"/>
    </w:lvl>
  </w:abstractNum>
  <w:abstractNum w:abstractNumId="42">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43">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sz w:val="24"/>
        <w:szCs w:val="24"/>
      </w:rPr>
    </w:lvl>
  </w:abstractNum>
  <w:abstractNum w:abstractNumId="44">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5">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6">
    <w:nsid w:val="167B0BB4"/>
    <w:multiLevelType w:val="singleLevel"/>
    <w:tmpl w:val="167B0BB4"/>
    <w:lvl w:ilvl="0" w:tentative="0">
      <w:start w:val="1"/>
      <w:numFmt w:val="decimal"/>
      <w:suff w:val="nothing"/>
      <w:lvlText w:val="（%1）"/>
      <w:lvlJc w:val="left"/>
    </w:lvl>
  </w:abstractNum>
  <w:abstractNum w:abstractNumId="47">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8">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9">
    <w:nsid w:val="1A14F15A"/>
    <w:multiLevelType w:val="multilevel"/>
    <w:tmpl w:val="1A14F15A"/>
    <w:lvl w:ilvl="0" w:tentative="0">
      <w:start w:val="1"/>
      <w:numFmt w:val="chineseCounting"/>
      <w:suff w:val="nothing"/>
      <w:lvlText w:val="（%1）"/>
      <w:lvlJc w:val="left"/>
      <w:pPr>
        <w:tabs>
          <w:tab w:val="left" w:pos="0"/>
        </w:tabs>
        <w:ind w:left="0" w:firstLine="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0">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51">
    <w:nsid w:val="2CB63BE6"/>
    <w:multiLevelType w:val="singleLevel"/>
    <w:tmpl w:val="2CB63BE6"/>
    <w:lvl w:ilvl="0" w:tentative="0">
      <w:start w:val="1"/>
      <w:numFmt w:val="decimal"/>
      <w:suff w:val="nothing"/>
      <w:lvlText w:val="（%1）"/>
      <w:lvlJc w:val="left"/>
      <w:rPr>
        <w:rFonts w:hint="default"/>
        <w:b w:val="0"/>
        <w:bCs w:val="0"/>
      </w:rPr>
    </w:lvl>
  </w:abstractNum>
  <w:abstractNum w:abstractNumId="52">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53">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4">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5">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6">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7">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8">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9">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60">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61">
    <w:nsid w:val="531AE820"/>
    <w:multiLevelType w:val="multilevel"/>
    <w:tmpl w:val="531AE820"/>
    <w:lvl w:ilvl="0" w:tentative="0">
      <w:start w:val="1"/>
      <w:numFmt w:val="chineseCounting"/>
      <w:suff w:val="nothing"/>
      <w:lvlText w:val="（%1）"/>
      <w:lvlJc w:val="left"/>
      <w:pPr>
        <w:tabs>
          <w:tab w:val="left" w:pos="0"/>
        </w:tabs>
        <w:ind w:left="0" w:firstLine="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2">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3">
    <w:nsid w:val="5BA91325"/>
    <w:multiLevelType w:val="singleLevel"/>
    <w:tmpl w:val="5BA91325"/>
    <w:lvl w:ilvl="0" w:tentative="0">
      <w:start w:val="1"/>
      <w:numFmt w:val="decimal"/>
      <w:suff w:val="nothing"/>
      <w:lvlText w:val="（%1）"/>
      <w:lvlJc w:val="left"/>
    </w:lvl>
  </w:abstractNum>
  <w:abstractNum w:abstractNumId="64">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5">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6">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7">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8">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9">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70">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71">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72">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3">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4">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5">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6">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7">
    <w:nsid w:val="60C04B1D"/>
    <w:multiLevelType w:val="singleLevel"/>
    <w:tmpl w:val="60C04B1D"/>
    <w:lvl w:ilvl="0" w:tentative="0">
      <w:start w:val="1"/>
      <w:numFmt w:val="decimal"/>
      <w:suff w:val="nothing"/>
      <w:lvlText w:val="%1．"/>
      <w:lvlJc w:val="left"/>
      <w:pPr>
        <w:ind w:left="0" w:firstLine="400"/>
      </w:pPr>
      <w:rPr>
        <w:rFonts w:hint="default"/>
      </w:rPr>
    </w:lvl>
  </w:abstractNum>
  <w:abstractNum w:abstractNumId="78">
    <w:nsid w:val="61F30F62"/>
    <w:multiLevelType w:val="singleLevel"/>
    <w:tmpl w:val="61F30F62"/>
    <w:lvl w:ilvl="0" w:tentative="0">
      <w:start w:val="1"/>
      <w:numFmt w:val="decimal"/>
      <w:suff w:val="nothing"/>
      <w:lvlText w:val="（%1）"/>
      <w:lvlJc w:val="left"/>
      <w:rPr>
        <w:rFonts w:hint="default"/>
        <w:b w:val="0"/>
        <w:bCs w:val="0"/>
      </w:rPr>
    </w:lvl>
  </w:abstractNum>
  <w:abstractNum w:abstractNumId="79">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0">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1">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6"/>
  </w:num>
  <w:num w:numId="2">
    <w:abstractNumId w:val="1"/>
  </w:num>
  <w:num w:numId="3">
    <w:abstractNumId w:val="55"/>
  </w:num>
  <w:num w:numId="4">
    <w:abstractNumId w:val="48"/>
  </w:num>
  <w:num w:numId="5">
    <w:abstractNumId w:val="22"/>
  </w:num>
  <w:num w:numId="6">
    <w:abstractNumId w:val="80"/>
  </w:num>
  <w:num w:numId="7">
    <w:abstractNumId w:val="42"/>
  </w:num>
  <w:num w:numId="8">
    <w:abstractNumId w:val="81"/>
  </w:num>
  <w:num w:numId="9">
    <w:abstractNumId w:val="60"/>
  </w:num>
  <w:num w:numId="10">
    <w:abstractNumId w:val="57"/>
  </w:num>
  <w:num w:numId="11">
    <w:abstractNumId w:val="38"/>
  </w:num>
  <w:num w:numId="12">
    <w:abstractNumId w:val="32"/>
  </w:num>
  <w:num w:numId="13">
    <w:abstractNumId w:val="44"/>
  </w:num>
  <w:num w:numId="14">
    <w:abstractNumId w:val="31"/>
  </w:num>
  <w:num w:numId="15">
    <w:abstractNumId w:val="23"/>
  </w:num>
  <w:num w:numId="16">
    <w:abstractNumId w:val="13"/>
  </w:num>
  <w:num w:numId="17">
    <w:abstractNumId w:val="10"/>
  </w:num>
  <w:num w:numId="18">
    <w:abstractNumId w:val="11"/>
  </w:num>
  <w:num w:numId="19">
    <w:abstractNumId w:val="9"/>
  </w:num>
  <w:num w:numId="20">
    <w:abstractNumId w:val="43"/>
  </w:num>
  <w:num w:numId="21">
    <w:abstractNumId w:val="7"/>
  </w:num>
  <w:num w:numId="22">
    <w:abstractNumId w:val="2"/>
  </w:num>
  <w:num w:numId="23">
    <w:abstractNumId w:val="56"/>
  </w:num>
  <w:num w:numId="24">
    <w:abstractNumId w:val="36"/>
  </w:num>
  <w:num w:numId="25">
    <w:abstractNumId w:val="63"/>
  </w:num>
  <w:num w:numId="26">
    <w:abstractNumId w:val="21"/>
  </w:num>
  <w:num w:numId="27">
    <w:abstractNumId w:val="50"/>
  </w:num>
  <w:num w:numId="28">
    <w:abstractNumId w:val="25"/>
  </w:num>
  <w:num w:numId="29">
    <w:abstractNumId w:val="8"/>
  </w:num>
  <w:num w:numId="30">
    <w:abstractNumId w:val="59"/>
  </w:num>
  <w:num w:numId="31">
    <w:abstractNumId w:val="6"/>
  </w:num>
  <w:num w:numId="32">
    <w:abstractNumId w:val="41"/>
  </w:num>
  <w:num w:numId="33">
    <w:abstractNumId w:val="35"/>
  </w:num>
  <w:num w:numId="34">
    <w:abstractNumId w:val="47"/>
  </w:num>
  <w:num w:numId="35">
    <w:abstractNumId w:val="79"/>
  </w:num>
  <w:num w:numId="36">
    <w:abstractNumId w:val="40"/>
  </w:num>
  <w:num w:numId="37">
    <w:abstractNumId w:val="24"/>
  </w:num>
  <w:num w:numId="38">
    <w:abstractNumId w:val="52"/>
  </w:num>
  <w:num w:numId="39">
    <w:abstractNumId w:val="0"/>
  </w:num>
  <w:num w:numId="40">
    <w:abstractNumId w:val="27"/>
  </w:num>
  <w:num w:numId="41">
    <w:abstractNumId w:val="54"/>
  </w:num>
  <w:num w:numId="42">
    <w:abstractNumId w:val="4"/>
  </w:num>
  <w:num w:numId="43">
    <w:abstractNumId w:val="28"/>
  </w:num>
  <w:num w:numId="44">
    <w:abstractNumId w:val="19"/>
  </w:num>
  <w:num w:numId="45">
    <w:abstractNumId w:val="58"/>
  </w:num>
  <w:num w:numId="46">
    <w:abstractNumId w:val="45"/>
  </w:num>
  <w:num w:numId="47">
    <w:abstractNumId w:val="20"/>
  </w:num>
  <w:num w:numId="48">
    <w:abstractNumId w:val="34"/>
  </w:num>
  <w:num w:numId="49">
    <w:abstractNumId w:val="29"/>
  </w:num>
  <w:num w:numId="50">
    <w:abstractNumId w:val="30"/>
  </w:num>
  <w:num w:numId="51">
    <w:abstractNumId w:val="78"/>
  </w:num>
  <w:num w:numId="52">
    <w:abstractNumId w:val="51"/>
  </w:num>
  <w:num w:numId="53">
    <w:abstractNumId w:val="3"/>
  </w:num>
  <w:num w:numId="54">
    <w:abstractNumId w:val="62"/>
  </w:num>
  <w:num w:numId="55">
    <w:abstractNumId w:val="12"/>
  </w:num>
  <w:num w:numId="56">
    <w:abstractNumId w:val="14"/>
  </w:num>
  <w:num w:numId="57">
    <w:abstractNumId w:val="46"/>
  </w:num>
  <w:num w:numId="58">
    <w:abstractNumId w:val="26"/>
  </w:num>
  <w:num w:numId="59">
    <w:abstractNumId w:val="5"/>
  </w:num>
  <w:num w:numId="60">
    <w:abstractNumId w:val="53"/>
  </w:num>
  <w:num w:numId="61">
    <w:abstractNumId w:val="71"/>
  </w:num>
  <w:num w:numId="62">
    <w:abstractNumId w:val="70"/>
  </w:num>
  <w:num w:numId="63">
    <w:abstractNumId w:val="72"/>
  </w:num>
  <w:num w:numId="64">
    <w:abstractNumId w:val="73"/>
  </w:num>
  <w:num w:numId="65">
    <w:abstractNumId w:val="74"/>
  </w:num>
  <w:num w:numId="66">
    <w:abstractNumId w:val="75"/>
  </w:num>
  <w:num w:numId="67">
    <w:abstractNumId w:val="76"/>
  </w:num>
  <w:num w:numId="68">
    <w:abstractNumId w:val="77"/>
  </w:num>
  <w:num w:numId="69">
    <w:abstractNumId w:val="17"/>
  </w:num>
  <w:num w:numId="70">
    <w:abstractNumId w:val="64"/>
  </w:num>
  <w:num w:numId="71">
    <w:abstractNumId w:val="65"/>
  </w:num>
  <w:num w:numId="72">
    <w:abstractNumId w:val="66"/>
  </w:num>
  <w:num w:numId="73">
    <w:abstractNumId w:val="67"/>
  </w:num>
  <w:num w:numId="74">
    <w:abstractNumId w:val="68"/>
  </w:num>
  <w:num w:numId="75">
    <w:abstractNumId w:val="69"/>
  </w:num>
  <w:num w:numId="76">
    <w:abstractNumId w:val="37"/>
  </w:num>
  <w:num w:numId="77">
    <w:abstractNumId w:val="18"/>
  </w:num>
  <w:num w:numId="78">
    <w:abstractNumId w:val="15"/>
  </w:num>
  <w:num w:numId="79">
    <w:abstractNumId w:val="61"/>
  </w:num>
  <w:num w:numId="80">
    <w:abstractNumId w:val="33"/>
  </w:num>
  <w:num w:numId="81">
    <w:abstractNumId w:val="49"/>
  </w:num>
  <w:num w:numId="8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YjRlZDVkMGNhZWM2ZDc0NWIwYmZiZDBhZDllMzMifQ=="/>
  </w:docVars>
  <w:rsids>
    <w:rsidRoot w:val="009B438F"/>
    <w:rsid w:val="00003A66"/>
    <w:rsid w:val="000E1AA5"/>
    <w:rsid w:val="00166DFA"/>
    <w:rsid w:val="002D3C1F"/>
    <w:rsid w:val="002E65C3"/>
    <w:rsid w:val="002F0E18"/>
    <w:rsid w:val="003044A5"/>
    <w:rsid w:val="00393DAD"/>
    <w:rsid w:val="003A71DB"/>
    <w:rsid w:val="003D29D7"/>
    <w:rsid w:val="00442CD1"/>
    <w:rsid w:val="004C578D"/>
    <w:rsid w:val="004C6A6B"/>
    <w:rsid w:val="004F4BE6"/>
    <w:rsid w:val="005B6589"/>
    <w:rsid w:val="00640FF7"/>
    <w:rsid w:val="0064747F"/>
    <w:rsid w:val="006737C6"/>
    <w:rsid w:val="006A3440"/>
    <w:rsid w:val="007129D3"/>
    <w:rsid w:val="0076204A"/>
    <w:rsid w:val="0077381C"/>
    <w:rsid w:val="007A1DCD"/>
    <w:rsid w:val="007A36F7"/>
    <w:rsid w:val="007D1184"/>
    <w:rsid w:val="007D5CCB"/>
    <w:rsid w:val="00804B5C"/>
    <w:rsid w:val="008B03C3"/>
    <w:rsid w:val="009B438F"/>
    <w:rsid w:val="009C4A56"/>
    <w:rsid w:val="00A73D87"/>
    <w:rsid w:val="00AC3605"/>
    <w:rsid w:val="00AF46E8"/>
    <w:rsid w:val="00B222AE"/>
    <w:rsid w:val="00B9516F"/>
    <w:rsid w:val="00BA0709"/>
    <w:rsid w:val="00C23378"/>
    <w:rsid w:val="00C45591"/>
    <w:rsid w:val="00C66BF1"/>
    <w:rsid w:val="00CA3066"/>
    <w:rsid w:val="00CC7FA3"/>
    <w:rsid w:val="00CE2D43"/>
    <w:rsid w:val="00CF08DA"/>
    <w:rsid w:val="00D166DD"/>
    <w:rsid w:val="00D25AB9"/>
    <w:rsid w:val="00E22ABF"/>
    <w:rsid w:val="00ED0A60"/>
    <w:rsid w:val="00F57713"/>
    <w:rsid w:val="00F72076"/>
    <w:rsid w:val="00F946DA"/>
    <w:rsid w:val="00FF3196"/>
    <w:rsid w:val="013F348C"/>
    <w:rsid w:val="01506757"/>
    <w:rsid w:val="01AC61C7"/>
    <w:rsid w:val="02345D12"/>
    <w:rsid w:val="02C56491"/>
    <w:rsid w:val="02E6061C"/>
    <w:rsid w:val="03057DA8"/>
    <w:rsid w:val="03087EF2"/>
    <w:rsid w:val="033834FA"/>
    <w:rsid w:val="035D4C68"/>
    <w:rsid w:val="03B9593D"/>
    <w:rsid w:val="03FF6EB3"/>
    <w:rsid w:val="04B12F42"/>
    <w:rsid w:val="05256BB3"/>
    <w:rsid w:val="055F097A"/>
    <w:rsid w:val="057C30DE"/>
    <w:rsid w:val="06163192"/>
    <w:rsid w:val="06981D27"/>
    <w:rsid w:val="06B269B2"/>
    <w:rsid w:val="06C7635F"/>
    <w:rsid w:val="06E1020B"/>
    <w:rsid w:val="075D44AD"/>
    <w:rsid w:val="07FA1566"/>
    <w:rsid w:val="08A4146A"/>
    <w:rsid w:val="08C360C7"/>
    <w:rsid w:val="08E42E50"/>
    <w:rsid w:val="0A7B49BB"/>
    <w:rsid w:val="0A935EF5"/>
    <w:rsid w:val="0AA417AC"/>
    <w:rsid w:val="0B260BA0"/>
    <w:rsid w:val="0D1F34C2"/>
    <w:rsid w:val="0E9E1147"/>
    <w:rsid w:val="0F101232"/>
    <w:rsid w:val="0F1B1CDF"/>
    <w:rsid w:val="11D31818"/>
    <w:rsid w:val="12174307"/>
    <w:rsid w:val="12333100"/>
    <w:rsid w:val="12454A4F"/>
    <w:rsid w:val="124564AE"/>
    <w:rsid w:val="128168A6"/>
    <w:rsid w:val="129E1BE0"/>
    <w:rsid w:val="12E07D70"/>
    <w:rsid w:val="13131DA1"/>
    <w:rsid w:val="136E0620"/>
    <w:rsid w:val="13C152DA"/>
    <w:rsid w:val="14322796"/>
    <w:rsid w:val="145A1074"/>
    <w:rsid w:val="14B00FE7"/>
    <w:rsid w:val="153B1E8B"/>
    <w:rsid w:val="154916F7"/>
    <w:rsid w:val="15A261BD"/>
    <w:rsid w:val="168270F1"/>
    <w:rsid w:val="171B35F5"/>
    <w:rsid w:val="17F017D0"/>
    <w:rsid w:val="17F04243"/>
    <w:rsid w:val="18A36CBE"/>
    <w:rsid w:val="191E1C2C"/>
    <w:rsid w:val="193D7EF6"/>
    <w:rsid w:val="19DA4611"/>
    <w:rsid w:val="1A1072B9"/>
    <w:rsid w:val="1A6D275B"/>
    <w:rsid w:val="1A8A5680"/>
    <w:rsid w:val="1AAA0EA5"/>
    <w:rsid w:val="1AB60268"/>
    <w:rsid w:val="1AD94F44"/>
    <w:rsid w:val="1B5D775D"/>
    <w:rsid w:val="1BB74D6D"/>
    <w:rsid w:val="1BBC4C1D"/>
    <w:rsid w:val="1BC4107F"/>
    <w:rsid w:val="1BCC1600"/>
    <w:rsid w:val="1BCF2401"/>
    <w:rsid w:val="1D6377A3"/>
    <w:rsid w:val="1D684FA1"/>
    <w:rsid w:val="1E40675F"/>
    <w:rsid w:val="1E491F68"/>
    <w:rsid w:val="1E59639F"/>
    <w:rsid w:val="1FFE089E"/>
    <w:rsid w:val="20471D5B"/>
    <w:rsid w:val="208F3E36"/>
    <w:rsid w:val="2124686F"/>
    <w:rsid w:val="220646EB"/>
    <w:rsid w:val="223B5F90"/>
    <w:rsid w:val="2278697D"/>
    <w:rsid w:val="22FB4603"/>
    <w:rsid w:val="232C1CB8"/>
    <w:rsid w:val="233D769F"/>
    <w:rsid w:val="23FC2310"/>
    <w:rsid w:val="24205153"/>
    <w:rsid w:val="24E03695"/>
    <w:rsid w:val="25C17FCD"/>
    <w:rsid w:val="25EA04D5"/>
    <w:rsid w:val="281770B3"/>
    <w:rsid w:val="28320B3B"/>
    <w:rsid w:val="2A59045A"/>
    <w:rsid w:val="2A6E0D5F"/>
    <w:rsid w:val="2B742663"/>
    <w:rsid w:val="2C0E71D1"/>
    <w:rsid w:val="2C5554F7"/>
    <w:rsid w:val="2C862571"/>
    <w:rsid w:val="2DFB2EF6"/>
    <w:rsid w:val="2E261F1A"/>
    <w:rsid w:val="2E8138EA"/>
    <w:rsid w:val="2E913B62"/>
    <w:rsid w:val="2EB41C6F"/>
    <w:rsid w:val="2F181C5A"/>
    <w:rsid w:val="2F9E20CB"/>
    <w:rsid w:val="2FBF5CD2"/>
    <w:rsid w:val="2FD37470"/>
    <w:rsid w:val="2FDB5551"/>
    <w:rsid w:val="2FE44B05"/>
    <w:rsid w:val="3095731D"/>
    <w:rsid w:val="30BF5F58"/>
    <w:rsid w:val="315B60C0"/>
    <w:rsid w:val="31B210D3"/>
    <w:rsid w:val="31BB1354"/>
    <w:rsid w:val="326768D3"/>
    <w:rsid w:val="326A10CD"/>
    <w:rsid w:val="32ED4F6C"/>
    <w:rsid w:val="332D0E7F"/>
    <w:rsid w:val="336619B2"/>
    <w:rsid w:val="34232CC7"/>
    <w:rsid w:val="3440644A"/>
    <w:rsid w:val="348E7125"/>
    <w:rsid w:val="34EC5219"/>
    <w:rsid w:val="35970682"/>
    <w:rsid w:val="35F62B74"/>
    <w:rsid w:val="36407394"/>
    <w:rsid w:val="36923A68"/>
    <w:rsid w:val="370967DB"/>
    <w:rsid w:val="376022E0"/>
    <w:rsid w:val="3823292D"/>
    <w:rsid w:val="384020D6"/>
    <w:rsid w:val="38442C94"/>
    <w:rsid w:val="38C830CF"/>
    <w:rsid w:val="38D214D0"/>
    <w:rsid w:val="39150A2D"/>
    <w:rsid w:val="393A0374"/>
    <w:rsid w:val="39541C21"/>
    <w:rsid w:val="3A054187"/>
    <w:rsid w:val="3A095F2A"/>
    <w:rsid w:val="3AA21C04"/>
    <w:rsid w:val="3B87167D"/>
    <w:rsid w:val="3B8E7780"/>
    <w:rsid w:val="3B9F7C84"/>
    <w:rsid w:val="3BA4528F"/>
    <w:rsid w:val="3C047DBA"/>
    <w:rsid w:val="3C2D1BA7"/>
    <w:rsid w:val="3CBB5391"/>
    <w:rsid w:val="3CBF3288"/>
    <w:rsid w:val="3DCE2845"/>
    <w:rsid w:val="3DDD184B"/>
    <w:rsid w:val="3DFA4C2B"/>
    <w:rsid w:val="3E33309B"/>
    <w:rsid w:val="3E360D1A"/>
    <w:rsid w:val="3FE01342"/>
    <w:rsid w:val="41BD5DAD"/>
    <w:rsid w:val="42A92EC5"/>
    <w:rsid w:val="430D4A5B"/>
    <w:rsid w:val="43257A09"/>
    <w:rsid w:val="44396CBA"/>
    <w:rsid w:val="452265F1"/>
    <w:rsid w:val="459C6C4B"/>
    <w:rsid w:val="460B14AF"/>
    <w:rsid w:val="465B4CE4"/>
    <w:rsid w:val="473B0C45"/>
    <w:rsid w:val="47F45F70"/>
    <w:rsid w:val="4831505A"/>
    <w:rsid w:val="48DB2B8E"/>
    <w:rsid w:val="48EF15E9"/>
    <w:rsid w:val="493E1BAF"/>
    <w:rsid w:val="49604725"/>
    <w:rsid w:val="49C17910"/>
    <w:rsid w:val="49D25AD8"/>
    <w:rsid w:val="49F71D99"/>
    <w:rsid w:val="4A2C3698"/>
    <w:rsid w:val="4B2332BE"/>
    <w:rsid w:val="4BD12A69"/>
    <w:rsid w:val="4CD51818"/>
    <w:rsid w:val="4EA70A5E"/>
    <w:rsid w:val="4F8E67E2"/>
    <w:rsid w:val="4FBA1A9A"/>
    <w:rsid w:val="4FED75DB"/>
    <w:rsid w:val="502F0130"/>
    <w:rsid w:val="504F24FD"/>
    <w:rsid w:val="50A2700E"/>
    <w:rsid w:val="50E57BA7"/>
    <w:rsid w:val="51045620"/>
    <w:rsid w:val="513D37D3"/>
    <w:rsid w:val="51B2472A"/>
    <w:rsid w:val="52E031AE"/>
    <w:rsid w:val="5349526F"/>
    <w:rsid w:val="53582F2C"/>
    <w:rsid w:val="539B3597"/>
    <w:rsid w:val="54133BA2"/>
    <w:rsid w:val="545569C2"/>
    <w:rsid w:val="54C0519D"/>
    <w:rsid w:val="54F51D94"/>
    <w:rsid w:val="550B034E"/>
    <w:rsid w:val="55637989"/>
    <w:rsid w:val="55A2165A"/>
    <w:rsid w:val="55B552A3"/>
    <w:rsid w:val="56046817"/>
    <w:rsid w:val="56BD160D"/>
    <w:rsid w:val="56EB3785"/>
    <w:rsid w:val="57646F3E"/>
    <w:rsid w:val="578503B5"/>
    <w:rsid w:val="57950210"/>
    <w:rsid w:val="57CB1FAC"/>
    <w:rsid w:val="57DA296D"/>
    <w:rsid w:val="58CF099D"/>
    <w:rsid w:val="59363CFF"/>
    <w:rsid w:val="597623E9"/>
    <w:rsid w:val="59FE6F81"/>
    <w:rsid w:val="5A057054"/>
    <w:rsid w:val="5A2B707C"/>
    <w:rsid w:val="5A4C2FE7"/>
    <w:rsid w:val="5A531440"/>
    <w:rsid w:val="5B15081B"/>
    <w:rsid w:val="5B8B60EF"/>
    <w:rsid w:val="5C9144A3"/>
    <w:rsid w:val="5CE14462"/>
    <w:rsid w:val="5D27673D"/>
    <w:rsid w:val="5D626B02"/>
    <w:rsid w:val="5DCD740A"/>
    <w:rsid w:val="5FD63A81"/>
    <w:rsid w:val="604163BF"/>
    <w:rsid w:val="60C40191"/>
    <w:rsid w:val="61AC2F45"/>
    <w:rsid w:val="624E5FB7"/>
    <w:rsid w:val="62820573"/>
    <w:rsid w:val="62A17B5D"/>
    <w:rsid w:val="64452B02"/>
    <w:rsid w:val="66BF7375"/>
    <w:rsid w:val="66C6361E"/>
    <w:rsid w:val="67435E26"/>
    <w:rsid w:val="69124CA8"/>
    <w:rsid w:val="69560A53"/>
    <w:rsid w:val="695702B6"/>
    <w:rsid w:val="695D4C3C"/>
    <w:rsid w:val="69663DDA"/>
    <w:rsid w:val="69B13850"/>
    <w:rsid w:val="6A30472B"/>
    <w:rsid w:val="6A86734A"/>
    <w:rsid w:val="6ACD3040"/>
    <w:rsid w:val="6B48258D"/>
    <w:rsid w:val="6B8F22D3"/>
    <w:rsid w:val="6BFD68DC"/>
    <w:rsid w:val="6CE85879"/>
    <w:rsid w:val="6E195A0F"/>
    <w:rsid w:val="6E4A3368"/>
    <w:rsid w:val="6EE9042F"/>
    <w:rsid w:val="6EFC0EB6"/>
    <w:rsid w:val="6FE8145F"/>
    <w:rsid w:val="717578CD"/>
    <w:rsid w:val="724816D4"/>
    <w:rsid w:val="72700AEF"/>
    <w:rsid w:val="72F173CC"/>
    <w:rsid w:val="730160BC"/>
    <w:rsid w:val="73CF291C"/>
    <w:rsid w:val="744C7A35"/>
    <w:rsid w:val="747A10DC"/>
    <w:rsid w:val="749F4B48"/>
    <w:rsid w:val="74EC4F2E"/>
    <w:rsid w:val="76BE790B"/>
    <w:rsid w:val="77CD5FF0"/>
    <w:rsid w:val="786F6F04"/>
    <w:rsid w:val="78952220"/>
    <w:rsid w:val="789E4A32"/>
    <w:rsid w:val="78CF2EBB"/>
    <w:rsid w:val="79226ABA"/>
    <w:rsid w:val="79EF5ADB"/>
    <w:rsid w:val="7A411479"/>
    <w:rsid w:val="7AA50728"/>
    <w:rsid w:val="7AC85BBB"/>
    <w:rsid w:val="7B2B4781"/>
    <w:rsid w:val="7BD76E44"/>
    <w:rsid w:val="7BFB4DC6"/>
    <w:rsid w:val="7C37270D"/>
    <w:rsid w:val="7CFD2AF6"/>
    <w:rsid w:val="7D49351C"/>
    <w:rsid w:val="7DFC6C39"/>
    <w:rsid w:val="7E5E2930"/>
    <w:rsid w:val="7F003281"/>
    <w:rsid w:val="7F8B2F2B"/>
    <w:rsid w:val="7F9B35E8"/>
    <w:rsid w:val="7FC308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14"/>
    <w:qFormat/>
    <w:uiPriority w:val="0"/>
    <w:pPr>
      <w:jc w:val="left"/>
    </w:pPr>
    <w:rPr>
      <w:rFonts w:cs="Times New Roman"/>
    </w:rPr>
  </w:style>
  <w:style w:type="paragraph" w:styleId="3">
    <w:name w:val="Balloon Text"/>
    <w:basedOn w:val="1"/>
    <w:link w:val="16"/>
    <w:qFormat/>
    <w:uiPriority w:val="0"/>
    <w:rPr>
      <w:rFonts w:cs="Times New Roman"/>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rPr>
      <w:sz w:val="24"/>
    </w:rPr>
  </w:style>
  <w:style w:type="paragraph" w:styleId="7">
    <w:name w:val="annotation subject"/>
    <w:basedOn w:val="2"/>
    <w:next w:val="2"/>
    <w:link w:val="15"/>
    <w:qFormat/>
    <w:uiPriority w:val="0"/>
    <w:rPr>
      <w:rFonts w:cs="Times New Roman"/>
      <w:b/>
      <w:bCs/>
    </w:rPr>
  </w:style>
  <w:style w:type="character" w:styleId="10">
    <w:name w:val="Hyperlink"/>
    <w:qFormat/>
    <w:uiPriority w:val="0"/>
    <w:rPr>
      <w:color w:val="0000FF"/>
      <w:u w:val="single"/>
    </w:rPr>
  </w:style>
  <w:style w:type="character" w:styleId="11">
    <w:name w:val="annotation reference"/>
    <w:qFormat/>
    <w:uiPriority w:val="0"/>
    <w:rPr>
      <w:sz w:val="21"/>
      <w:szCs w:val="21"/>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List Paragraph"/>
    <w:basedOn w:val="1"/>
    <w:unhideWhenUsed/>
    <w:qFormat/>
    <w:uiPriority w:val="99"/>
    <w:pPr>
      <w:ind w:firstLine="420" w:firstLineChars="200"/>
    </w:pPr>
  </w:style>
  <w:style w:type="character" w:customStyle="1" w:styleId="14">
    <w:name w:val="批注文字 Char"/>
    <w:link w:val="2"/>
    <w:qFormat/>
    <w:uiPriority w:val="0"/>
    <w:rPr>
      <w:rFonts w:ascii="Calibri" w:hAnsi="Calibri" w:cs="黑体"/>
      <w:kern w:val="2"/>
      <w:sz w:val="21"/>
      <w:szCs w:val="24"/>
    </w:rPr>
  </w:style>
  <w:style w:type="character" w:customStyle="1" w:styleId="15">
    <w:name w:val="批注主题 Char"/>
    <w:link w:val="7"/>
    <w:qFormat/>
    <w:uiPriority w:val="0"/>
    <w:rPr>
      <w:rFonts w:ascii="Calibri" w:hAnsi="Calibri" w:cs="黑体"/>
      <w:b/>
      <w:bCs/>
      <w:kern w:val="2"/>
      <w:sz w:val="21"/>
      <w:szCs w:val="24"/>
    </w:rPr>
  </w:style>
  <w:style w:type="character" w:customStyle="1" w:styleId="16">
    <w:name w:val="批注框文本 Char"/>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9864</Words>
  <Characters>10089</Characters>
  <Lines>192</Lines>
  <Paragraphs>54</Paragraphs>
  <TotalTime>0</TotalTime>
  <ScaleCrop>false</ScaleCrop>
  <LinksUpToDate>false</LinksUpToDate>
  <CharactersWithSpaces>10247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2021-07-01T06:35:00Z</dcterms:created>
  <dc:creator>Administrator</dc:creator>
  <cp:lastModifiedBy>hccb</cp:lastModifiedBy>
  <dcterms:modified xsi:type="dcterms:W3CDTF">2025-04-18T05:39:02Z</dcterms:modified>
  <dc:title>杭银理财幸福99XXXX理财计划合同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61FD4ADC46284EF3806319F67B20504A</vt:lpwstr>
  </property>
  <property fmtid="{D5CDD505-2E9C-101B-9397-08002B2CF9AE}" pid="4" name="commondata">
    <vt:lpwstr>eyJoZGlkIjoiMGRhYjRlZDVkMGNhZWM2ZDc0NWIwYmZiZDBhZDllMzMifQ==</vt:lpwstr>
  </property>
  <property fmtid="{D5CDD505-2E9C-101B-9397-08002B2CF9AE}" pid="5" name="KSOTemplateDocerSaveRecord">
    <vt:lpwstr>eyJoZGlkIjoiMGRhYjRlZDVkMGNhZWM2ZDc0NWIwYmZiZDBhZDllMzMiLCJ1c2VySWQiOiIyNjQ1NjIxNDcifQ==</vt:lpwstr>
  </property>
</Properties>
</file>