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cs="宋体"/>
          <w:b/>
          <w:bCs/>
          <w:sz w:val="44"/>
          <w:szCs w:val="44"/>
          <w:highlight w:val="none"/>
          <w:lang w:eastAsia="zh-CN"/>
        </w:rPr>
        <w:t>杭银理财幸福99添益（安享优选）182天周期型理财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cs="宋体"/>
          <w:highlight w:val="none"/>
          <w:lang w:eastAsia="zh-CN"/>
        </w:rPr>
        <w:t>杭银理财幸福99添益（安享优选）182天周期型理财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杭银理财幸福99添益（安享优选）182天周期型理财风险揭示书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杭银理财幸福99添益（安享优选）182天周期型理财产品说明书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cs="宋体"/>
          <w:b/>
          <w:highlight w:val="none"/>
          <w:lang w:eastAsia="zh-CN"/>
        </w:rPr>
        <w:t>杭银理财幸福99添益（安享优选）182天周期型理财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3"/>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0"/>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ascii="宋体" w:hAnsi="宋体" w:cs="宋体"/>
          <w:b/>
          <w:highlight w:val="none"/>
        </w:rPr>
      </w:pPr>
      <w:r>
        <w:rPr>
          <w:rFonts w:hint="eastAsia" w:ascii="宋体" w:hAnsi="宋体" w:cs="宋体"/>
          <w:b/>
          <w:highlight w:val="none"/>
        </w:rPr>
        <w:t>资金流动性风险：本理财产品封闭期后每</w:t>
      </w:r>
      <w:r>
        <w:rPr>
          <w:rFonts w:hint="eastAsia" w:ascii="宋体" w:hAnsi="宋体" w:cs="宋体"/>
          <w:b/>
          <w:highlight w:val="none"/>
          <w:lang w:eastAsia="zh-CN"/>
        </w:rPr>
        <w:t>日</w:t>
      </w:r>
      <w:r>
        <w:rPr>
          <w:rFonts w:hint="eastAsia" w:ascii="宋体" w:hAnsi="宋体" w:cs="宋体"/>
          <w:b/>
          <w:highlight w:val="none"/>
        </w:rPr>
        <w:t>开放申购，投资者须做出到期方式选择，持有本产品单个或多个投资周期，期间不得提前赎回。</w:t>
      </w:r>
    </w:p>
    <w:p>
      <w:pPr>
        <w:numPr>
          <w:ilvl w:val="0"/>
          <w:numId w:val="5"/>
        </w:numPr>
        <w:spacing w:line="360" w:lineRule="auto"/>
        <w:jc w:val="left"/>
        <w:rPr>
          <w:rFonts w:ascii="宋体" w:hAnsi="宋体" w:cs="宋体"/>
          <w:b/>
          <w:highlight w:val="none"/>
        </w:rPr>
      </w:pPr>
      <w:r>
        <w:rPr>
          <w:rFonts w:hint="eastAsia" w:ascii="宋体" w:hAnsi="宋体" w:cs="宋体"/>
          <w:b/>
          <w:highlight w:val="none"/>
        </w:rPr>
        <w:t>收益不达业绩比较基准风险：本理财产品的投资收益与投资者的申购、赎回时点密切相关，收益存在一定的波动性，产品本金出现损失的可能性不容忽视。</w:t>
      </w:r>
    </w:p>
    <w:p>
      <w:pPr>
        <w:numPr>
          <w:ilvl w:val="0"/>
          <w:numId w:val="5"/>
        </w:numPr>
        <w:spacing w:line="360" w:lineRule="auto"/>
        <w:jc w:val="left"/>
        <w:rPr>
          <w:rFonts w:ascii="宋体" w:hAnsi="宋体" w:cs="宋体"/>
          <w:b/>
          <w:highlight w:val="none"/>
        </w:rPr>
      </w:pPr>
      <w:r>
        <w:rPr>
          <w:rFonts w:hint="eastAsia" w:ascii="宋体" w:hAnsi="宋体" w:cs="宋体"/>
          <w:b/>
          <w:highlight w:val="none"/>
          <w:lang w:eastAsia="zh-CN"/>
        </w:rPr>
        <w:t>未知价风险：产品以产品申购和赎回确认时的单位净值，按照“金额申购、份额赎回”的原则计算投资者申购份额和赎回资金，产品净值可能会有波动。</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w:t>
      </w:r>
      <w:r>
        <w:rPr>
          <w:rFonts w:hint="eastAsia" w:ascii="宋体" w:hAnsi="宋体" w:cs="宋体"/>
          <w:b/>
          <w:highlight w:val="none"/>
        </w:rPr>
        <w:t>程度较低，收益波动较小，虽然存在一些可能对产品本金和收益安全产生不利影响的因素，但产品本金出现损失的可能性较小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w:t>
      </w: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w:t>
      </w:r>
      <w:r>
        <w:rPr>
          <w:rFonts w:hint="eastAsia" w:ascii="宋体" w:hAnsi="宋体" w:cs="宋体"/>
          <w:b/>
          <w:bCs w:val="0"/>
          <w:color w:val="auto"/>
          <w:kern w:val="2"/>
          <w:highlight w:val="none"/>
        </w:rPr>
        <w:t>型</w:t>
      </w:r>
      <w:r>
        <w:rPr>
          <w:rFonts w:hint="eastAsia" w:ascii="宋体" w:hAnsi="宋体" w:cs="宋体"/>
          <w:b/>
          <w:sz w:val="24"/>
          <w:highlight w:val="none"/>
        </w:rPr>
        <w:t>〗的个人投资者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ind w:firstLine="480" w:firstLineChars="200"/>
        <w:jc w:val="right"/>
        <w:rPr>
          <w:rFonts w:hint="eastAsia" w:ascii="宋体" w:hAnsi="宋体" w:cs="宋体"/>
          <w:bCs/>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杭银理财幸福99添益（安享优选）182天周期型理财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val="0"/>
          <w:color w:val="000000"/>
          <w:sz w:val="24"/>
          <w:highlight w:val="none"/>
        </w:rPr>
      </w:pPr>
      <w:r>
        <w:rPr>
          <w:rFonts w:hint="eastAsia" w:ascii="宋体" w:hAnsi="宋体" w:cs="宋体"/>
          <w:color w:val="000000"/>
          <w:sz w:val="24"/>
          <w:highlight w:val="none"/>
        </w:rPr>
        <w:t>备案编号:</w:t>
      </w:r>
      <w:r>
        <w:rPr>
          <w:rFonts w:hint="eastAsia" w:ascii="宋体" w:hAnsi="宋体" w:cs="宋体"/>
          <w:bCs w:val="0"/>
          <w:color w:val="000000"/>
          <w:sz w:val="24"/>
          <w:highlight w:val="none"/>
        </w:rPr>
        <w:t>〖</w:t>
      </w:r>
      <w:r>
        <w:rPr>
          <w:rFonts w:hint="eastAsia" w:ascii="宋体" w:hAnsi="宋体" w:eastAsia="宋体" w:cs="宋体"/>
          <w:color w:val="000000"/>
          <w:sz w:val="24"/>
          <w:szCs w:val="24"/>
          <w:highlight w:val="none"/>
        </w:rPr>
        <w:t>Z7002223000195</w:t>
      </w:r>
      <w:r>
        <w:rPr>
          <w:rFonts w:hint="eastAsia" w:ascii="宋体" w:hAnsi="宋体" w:cs="宋体"/>
          <w:bCs w:val="0"/>
          <w:color w:val="000000"/>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杭银理财幸福99添益（安享优选）182天周期型理财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杭银理财幸福99添益（安享优选）182天周期型理财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杭银理财幸福99添益（安享优选）182天周期型理财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杭银理财幸福99添益（安享优选）182天周期型理财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指作为杭银理财幸福99添益（安享优选）182天周期型理财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杭银理财幸福99添益（安享优选）182天周期型理财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申购开放期：</w:t>
      </w:r>
      <w:r>
        <w:rPr>
          <w:rFonts w:hint="eastAsia" w:ascii="宋体" w:hAnsi="宋体" w:cs="宋体"/>
          <w:bCs/>
          <w:highlight w:val="none"/>
        </w:rPr>
        <w:t>指管理人向投资者提供申购交易的时间。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赎回开放期：</w:t>
      </w:r>
      <w:r>
        <w:rPr>
          <w:rFonts w:hint="eastAsia" w:ascii="宋体" w:hAnsi="宋体" w:cs="宋体"/>
          <w:bCs/>
          <w:highlight w:val="none"/>
        </w:rPr>
        <w:t>指管理人向投资者提供赎回交易的时间。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申购确认日：</w:t>
      </w:r>
      <w:r>
        <w:rPr>
          <w:rFonts w:hint="eastAsia" w:ascii="宋体" w:hAnsi="宋体" w:cs="宋体"/>
          <w:bCs/>
          <w:color w:val="auto"/>
          <w:kern w:val="2"/>
          <w:highlight w:val="none"/>
        </w:rPr>
        <w:t>指管理人确认投资者申购交易是否有效的日期。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赎回确认日：</w:t>
      </w:r>
      <w:r>
        <w:rPr>
          <w:rFonts w:hint="eastAsia" w:ascii="宋体" w:hAnsi="宋体" w:cs="宋体"/>
          <w:bCs/>
          <w:color w:val="auto"/>
          <w:kern w:val="2"/>
          <w:highlight w:val="none"/>
        </w:rPr>
        <w:t>指管理人确认投资者赎回交易是否有效的日期。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w:t>
      </w:r>
      <w:r>
        <w:rPr>
          <w:rFonts w:hint="eastAsia" w:ascii="宋体" w:hAnsi="宋体" w:cs="宋体"/>
          <w:b/>
          <w:bCs w:val="0"/>
          <w:color w:val="auto"/>
          <w:kern w:val="2"/>
          <w:highlight w:val="none"/>
        </w:rPr>
        <w:t>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lang w:eastAsia="zh-CN"/>
              </w:rPr>
              <w:t>保守型、</w:t>
            </w:r>
            <w:r>
              <w:rPr>
                <w:rFonts w:hint="eastAsia" w:ascii="宋体" w:hAnsi="宋体" w:cs="宋体"/>
                <w:b w:val="0"/>
                <w:bCs/>
                <w:color w:val="auto"/>
                <w:kern w:val="2"/>
                <w:highlight w:val="none"/>
              </w:rPr>
              <w:t>稳健型</w:t>
            </w:r>
            <w:r>
              <w:rPr>
                <w:rFonts w:hint="eastAsia" w:ascii="宋体" w:hAnsi="宋体" w:cs="宋体"/>
                <w:b w:val="0"/>
                <w:bCs/>
                <w:color w:val="auto"/>
                <w:kern w:val="2"/>
                <w:highlight w:val="none"/>
                <w:lang w:eastAsia="zh-CN"/>
              </w:rPr>
              <w:t>、</w:t>
            </w: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w:t>
            </w:r>
            <w:r>
              <w:rPr>
                <w:rFonts w:hint="eastAsia" w:ascii="宋体" w:hAnsi="宋体" w:cs="宋体"/>
                <w:b w:val="0"/>
                <w:bCs/>
                <w:color w:val="auto"/>
                <w:kern w:val="2"/>
                <w:highlight w:val="none"/>
              </w:rPr>
              <w:t>型</w:t>
            </w:r>
            <w:r>
              <w:rPr>
                <w:rFonts w:hint="eastAsia" w:ascii="宋体" w:hAnsi="宋体" w:cs="宋体"/>
                <w:b w:val="0"/>
                <w:bCs/>
                <w:color w:val="auto"/>
                <w:kern w:val="2"/>
                <w:highlight w:val="none"/>
                <w:lang w:eastAsia="zh-CN"/>
              </w:rPr>
              <w:t>、进取</w:t>
            </w:r>
            <w:r>
              <w:rPr>
                <w:rFonts w:hint="eastAsia" w:ascii="宋体" w:hAnsi="宋体" w:cs="宋体"/>
                <w:b w:val="0"/>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w:t>
            </w:r>
            <w:r>
              <w:rPr>
                <w:rFonts w:hint="eastAsia" w:ascii="宋体" w:hAnsi="宋体" w:cs="宋体"/>
                <w:sz w:val="21"/>
                <w:szCs w:val="21"/>
                <w:highlight w:val="none"/>
                <w:lang w:val="en-US" w:eastAsia="zh-CN"/>
              </w:rPr>
              <w:t>安享优选</w:t>
            </w:r>
            <w:r>
              <w:rPr>
                <w:rFonts w:hint="eastAsia" w:ascii="宋体" w:hAnsi="宋体" w:cs="宋体"/>
                <w:sz w:val="21"/>
                <w:szCs w:val="21"/>
                <w:highlight w:val="none"/>
                <w:lang w:eastAsia="zh-CN"/>
              </w:rPr>
              <w:t>）182天</w:t>
            </w:r>
            <w:r>
              <w:rPr>
                <w:rFonts w:hint="eastAsia" w:ascii="宋体" w:hAnsi="宋体" w:cs="宋体"/>
                <w:sz w:val="21"/>
                <w:szCs w:val="21"/>
                <w:highlight w:val="none"/>
                <w:lang w:val="en-US" w:eastAsia="zh-CN"/>
              </w:rPr>
              <w:t>周期</w:t>
            </w:r>
            <w:r>
              <w:rPr>
                <w:rFonts w:hint="eastAsia" w:ascii="宋体" w:hAnsi="宋体" w:cs="宋体"/>
                <w:sz w:val="21"/>
                <w:szCs w:val="21"/>
                <w:highlight w:val="none"/>
                <w:lang w:eastAsia="zh-CN"/>
              </w:rPr>
              <w:t>型</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添益182天</w:t>
            </w:r>
            <w:r>
              <w:rPr>
                <w:rFonts w:hint="eastAsia" w:ascii="宋体" w:hAnsi="宋体" w:cs="宋体"/>
                <w:sz w:val="21"/>
                <w:szCs w:val="21"/>
                <w:highlight w:val="none"/>
                <w:lang w:val="en-US" w:eastAsia="zh-CN"/>
              </w:rPr>
              <w:t>周期</w:t>
            </w:r>
            <w:r>
              <w:rPr>
                <w:rFonts w:hint="eastAsia" w:ascii="宋体" w:hAnsi="宋体" w:cs="宋体"/>
                <w:sz w:val="21"/>
                <w:szCs w:val="21"/>
                <w:highlight w:val="none"/>
                <w:lang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bookmarkStart w:id="0" w:name="_GoBack"/>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w:t>
            </w:r>
            <w:bookmarkEnd w:id="0"/>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w:t>
            </w:r>
            <w:r>
              <w:rPr>
                <w:rFonts w:hint="eastAsia" w:ascii="宋体" w:hAnsi="宋体" w:eastAsia="宋体" w:cs="宋体"/>
                <w:color w:val="000000"/>
                <w:sz w:val="21"/>
                <w:szCs w:val="21"/>
                <w:highlight w:val="none"/>
              </w:rPr>
              <w:t>Z7002223000195</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w:t>
            </w:r>
            <w:r>
              <w:rPr>
                <w:rFonts w:hint="eastAsia" w:ascii="宋体" w:hAnsi="宋体" w:cs="宋体"/>
                <w:b/>
                <w:sz w:val="21"/>
                <w:szCs w:val="21"/>
                <w:highlight w:val="none"/>
              </w:rPr>
              <w:t>稳健型、平衡型、成长型、进取型</w:t>
            </w:r>
            <w:r>
              <w:rPr>
                <w:rFonts w:hint="eastAsia" w:ascii="宋体" w:hAnsi="宋体" w:cs="宋体"/>
                <w:b/>
                <w:sz w:val="21"/>
                <w:szCs w:val="21"/>
                <w:highlight w:val="none"/>
              </w:rPr>
              <w:t>〗</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其中：</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bCs/>
                <w:color w:val="auto"/>
                <w:kern w:val="2"/>
                <w:sz w:val="21"/>
                <w:szCs w:val="21"/>
                <w:highlight w:val="none"/>
                <w:lang w:val="en-US" w:eastAsia="zh-CN"/>
              </w:rPr>
              <w:t>A份额（销售代码</w:t>
            </w: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w:t>
            </w: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）面向</w:t>
            </w:r>
            <w:r>
              <w:rPr>
                <w:rFonts w:hint="eastAsia" w:ascii="宋体" w:hAnsi="宋体" w:cs="宋体"/>
                <w:sz w:val="21"/>
                <w:szCs w:val="21"/>
                <w:highlight w:val="none"/>
              </w:rPr>
              <w:t>〖</w:t>
            </w:r>
            <w:r>
              <w:rPr>
                <w:rFonts w:hint="eastAsia" w:ascii="宋体" w:hAnsi="宋体" w:cs="宋体"/>
                <w:sz w:val="21"/>
                <w:szCs w:val="21"/>
                <w:highlight w:val="none"/>
                <w:lang w:val="en-US" w:eastAsia="zh-CN"/>
              </w:rPr>
              <w:t>普通个人投资者和机构投资者</w:t>
            </w:r>
            <w:r>
              <w:rPr>
                <w:rFonts w:hint="eastAsia" w:ascii="宋体" w:hAnsi="宋体" w:cs="宋体"/>
                <w:sz w:val="21"/>
                <w:szCs w:val="21"/>
                <w:highlight w:val="none"/>
              </w:rPr>
              <w:t>〗</w:t>
            </w:r>
            <w:r>
              <w:rPr>
                <w:rFonts w:hint="eastAsia" w:ascii="宋体" w:hAnsi="宋体" w:cs="宋体"/>
                <w:sz w:val="21"/>
                <w:szCs w:val="21"/>
                <w:highlight w:val="none"/>
                <w:lang w:val="en-US" w:eastAsia="zh-CN"/>
              </w:rPr>
              <w:t>发售。</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B份额</w:t>
            </w:r>
            <w:r>
              <w:rPr>
                <w:rFonts w:hint="eastAsia" w:ascii="宋体" w:hAnsi="宋体" w:cs="宋体"/>
                <w:bCs/>
                <w:color w:val="auto"/>
                <w:kern w:val="2"/>
                <w:sz w:val="21"/>
                <w:szCs w:val="21"/>
                <w:highlight w:val="none"/>
                <w:lang w:val="en-US" w:eastAsia="zh-CN"/>
              </w:rPr>
              <w:t>（销售代码</w:t>
            </w: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2B</w:t>
            </w: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）面向</w:t>
            </w:r>
            <w:r>
              <w:rPr>
                <w:rFonts w:hint="eastAsia" w:ascii="宋体" w:hAnsi="宋体" w:cs="宋体"/>
                <w:sz w:val="21"/>
                <w:szCs w:val="21"/>
                <w:highlight w:val="none"/>
              </w:rPr>
              <w:t>〖</w:t>
            </w:r>
            <w:r>
              <w:rPr>
                <w:rFonts w:hint="eastAsia" w:ascii="宋体" w:hAnsi="宋体" w:cs="宋体"/>
                <w:sz w:val="21"/>
                <w:szCs w:val="21"/>
                <w:highlight w:val="none"/>
                <w:lang w:val="en-US" w:eastAsia="zh-CN"/>
              </w:rPr>
              <w:t>特定客群专属</w:t>
            </w:r>
            <w:r>
              <w:rPr>
                <w:rFonts w:hint="eastAsia" w:ascii="宋体" w:hAnsi="宋体" w:cs="宋体"/>
                <w:sz w:val="21"/>
                <w:szCs w:val="21"/>
                <w:highlight w:val="none"/>
              </w:rPr>
              <w:t>〗</w:t>
            </w:r>
            <w:r>
              <w:rPr>
                <w:rFonts w:hint="eastAsia" w:ascii="宋体" w:hAnsi="宋体" w:cs="宋体"/>
                <w:sz w:val="21"/>
                <w:szCs w:val="21"/>
                <w:highlight w:val="none"/>
                <w:lang w:val="en-US" w:eastAsia="zh-CN"/>
              </w:rPr>
              <w:t>发售。</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D份额</w:t>
            </w:r>
            <w:r>
              <w:rPr>
                <w:rFonts w:hint="eastAsia" w:ascii="宋体" w:hAnsi="宋体" w:cs="宋体"/>
                <w:bCs/>
                <w:color w:val="auto"/>
                <w:kern w:val="2"/>
                <w:sz w:val="21"/>
                <w:szCs w:val="21"/>
                <w:highlight w:val="none"/>
                <w:lang w:val="en-US" w:eastAsia="zh-CN"/>
              </w:rPr>
              <w:t>（销售代码</w:t>
            </w: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2D</w:t>
            </w: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）面向</w:t>
            </w:r>
            <w:r>
              <w:rPr>
                <w:rFonts w:hint="eastAsia" w:ascii="宋体" w:hAnsi="宋体" w:cs="宋体"/>
                <w:sz w:val="21"/>
                <w:szCs w:val="21"/>
                <w:highlight w:val="none"/>
              </w:rPr>
              <w:t>〖</w:t>
            </w:r>
            <w:r>
              <w:rPr>
                <w:rFonts w:hint="eastAsia" w:ascii="宋体" w:hAnsi="宋体" w:cs="宋体"/>
                <w:sz w:val="21"/>
                <w:szCs w:val="21"/>
                <w:highlight w:val="none"/>
                <w:lang w:val="en-US" w:eastAsia="zh-CN"/>
              </w:rPr>
              <w:t>普通个人投资者和机构投资者</w:t>
            </w:r>
            <w:r>
              <w:rPr>
                <w:rFonts w:hint="eastAsia" w:ascii="宋体" w:hAnsi="宋体" w:cs="宋体"/>
                <w:sz w:val="21"/>
                <w:szCs w:val="21"/>
                <w:highlight w:val="none"/>
              </w:rPr>
              <w:t>〗</w:t>
            </w:r>
            <w:r>
              <w:rPr>
                <w:rFonts w:hint="eastAsia" w:ascii="宋体" w:hAnsi="宋体" w:cs="宋体"/>
                <w:sz w:val="21"/>
                <w:szCs w:val="21"/>
                <w:highlight w:val="none"/>
                <w:lang w:val="en-US" w:eastAsia="zh-CN"/>
              </w:rPr>
              <w:t>发售。</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P份额（芙蓉锦程·优选）</w:t>
            </w:r>
            <w:r>
              <w:rPr>
                <w:rFonts w:hint="eastAsia" w:ascii="宋体" w:hAnsi="宋体" w:cs="宋体"/>
                <w:bCs/>
                <w:color w:val="auto"/>
                <w:kern w:val="2"/>
                <w:sz w:val="21"/>
                <w:szCs w:val="21"/>
                <w:highlight w:val="none"/>
                <w:lang w:val="en-US" w:eastAsia="zh-CN"/>
              </w:rPr>
              <w:t>（销售代码</w:t>
            </w: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2P</w:t>
            </w: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）面向</w:t>
            </w:r>
            <w:r>
              <w:rPr>
                <w:rFonts w:hint="eastAsia" w:ascii="宋体" w:hAnsi="宋体" w:cs="宋体"/>
                <w:sz w:val="21"/>
                <w:szCs w:val="21"/>
                <w:highlight w:val="none"/>
              </w:rPr>
              <w:t>〖</w:t>
            </w:r>
            <w:r>
              <w:rPr>
                <w:rFonts w:hint="eastAsia" w:ascii="宋体" w:hAnsi="宋体" w:cs="宋体"/>
                <w:sz w:val="21"/>
                <w:szCs w:val="21"/>
                <w:highlight w:val="none"/>
                <w:lang w:val="en-US" w:eastAsia="zh-CN"/>
              </w:rPr>
              <w:t>普通个人投资者和机构投资者</w:t>
            </w:r>
            <w:r>
              <w:rPr>
                <w:rFonts w:hint="eastAsia" w:ascii="宋体" w:hAnsi="宋体" w:cs="宋体"/>
                <w:sz w:val="21"/>
                <w:szCs w:val="21"/>
                <w:highlight w:val="none"/>
              </w:rPr>
              <w:t>〗</w:t>
            </w:r>
            <w:r>
              <w:rPr>
                <w:rFonts w:hint="eastAsia" w:ascii="宋体" w:hAnsi="宋体" w:cs="宋体"/>
                <w:sz w:val="21"/>
                <w:szCs w:val="21"/>
                <w:highlight w:val="none"/>
                <w:lang w:val="en-US" w:eastAsia="zh-CN"/>
              </w:rPr>
              <w:t>发售。</w:t>
            </w:r>
          </w:p>
          <w:p>
            <w:pPr>
              <w:widowControl/>
              <w:spacing w:line="360" w:lineRule="auto"/>
              <w:contextualSpacing/>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Z份额</w:t>
            </w:r>
            <w:r>
              <w:rPr>
                <w:rFonts w:hint="eastAsia" w:ascii="宋体" w:hAnsi="宋体" w:cs="宋体"/>
                <w:bCs/>
                <w:color w:val="auto"/>
                <w:kern w:val="2"/>
                <w:sz w:val="21"/>
                <w:szCs w:val="21"/>
                <w:highlight w:val="none"/>
                <w:lang w:val="en-US" w:eastAsia="zh-CN"/>
              </w:rPr>
              <w:t>（销售代码</w:t>
            </w: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2Z</w:t>
            </w: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）面向</w:t>
            </w:r>
            <w:r>
              <w:rPr>
                <w:rFonts w:hint="eastAsia" w:ascii="宋体" w:hAnsi="宋体" w:cs="宋体"/>
                <w:sz w:val="21"/>
                <w:szCs w:val="21"/>
                <w:highlight w:val="none"/>
              </w:rPr>
              <w:t>〖</w:t>
            </w:r>
            <w:r>
              <w:rPr>
                <w:rFonts w:hint="eastAsia" w:ascii="宋体" w:hAnsi="宋体" w:cs="宋体"/>
                <w:sz w:val="21"/>
                <w:szCs w:val="21"/>
                <w:highlight w:val="none"/>
                <w:lang w:val="en-US" w:eastAsia="zh-CN"/>
              </w:rPr>
              <w:t>普通个人投资者和机构投资者</w:t>
            </w:r>
            <w:r>
              <w:rPr>
                <w:rFonts w:hint="eastAsia" w:ascii="宋体" w:hAnsi="宋体" w:cs="宋体"/>
                <w:sz w:val="21"/>
                <w:szCs w:val="21"/>
                <w:highlight w:val="none"/>
              </w:rPr>
              <w:t>〗</w:t>
            </w:r>
            <w:r>
              <w:rPr>
                <w:rFonts w:hint="eastAsia" w:ascii="宋体" w:hAnsi="宋体" w:cs="宋体"/>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〖固定收益〗</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03</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09</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auto"/>
                <w:sz w:val="21"/>
                <w:szCs w:val="21"/>
                <w:highlight w:val="none"/>
                <w:lang w:val="en-US" w:eastAsia="zh-CN"/>
              </w:rPr>
              <w:t>17:00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无固定期限</w:t>
            </w:r>
            <w:r>
              <w:rPr>
                <w:rFonts w:hint="eastAsia" w:ascii="宋体" w:hAnsi="宋体" w:cs="宋体"/>
                <w:color w:val="000000"/>
                <w:sz w:val="21"/>
                <w:szCs w:val="21"/>
                <w:highlight w:val="none"/>
              </w:rPr>
              <w:t>（实际理财期限受制于管理人提前终止权等条款）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bCs/>
                <w:color w:val="FF0000"/>
                <w:sz w:val="21"/>
                <w:szCs w:val="21"/>
                <w:highlight w:val="none"/>
                <w:lang w:eastAsia="zh-CN"/>
              </w:rPr>
            </w:pPr>
            <w:r>
              <w:rPr>
                <w:rFonts w:hint="eastAsia" w:ascii="宋体" w:hAnsi="宋体" w:cs="宋体"/>
                <w:bCs/>
                <w:color w:val="auto"/>
                <w:sz w:val="21"/>
                <w:szCs w:val="21"/>
                <w:highlight w:val="none"/>
                <w:lang w:eastAsia="zh-CN"/>
              </w:rPr>
              <w:t>封闭期</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16</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kern w:val="2"/>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kern w:val="2"/>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kern w:val="2"/>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理财计划申购开放期为</w:t>
            </w:r>
            <w:r>
              <w:rPr>
                <w:rFonts w:hint="eastAsia" w:ascii="宋体" w:hAnsi="宋体" w:cs="宋体"/>
                <w:sz w:val="21"/>
                <w:szCs w:val="21"/>
                <w:highlight w:val="none"/>
              </w:rPr>
              <w:t>〖</w:t>
            </w:r>
            <w:r>
              <w:rPr>
                <w:rFonts w:hint="eastAsia" w:ascii="宋体" w:hAnsi="宋体" w:cs="宋体"/>
                <w:sz w:val="21"/>
                <w:szCs w:val="21"/>
                <w:highlight w:val="none"/>
                <w:lang w:val="en-US" w:eastAsia="zh-CN"/>
              </w:rPr>
              <w:t>封闭期后的每个交易日</w:t>
            </w:r>
            <w:r>
              <w:rPr>
                <w:rFonts w:hint="eastAsia" w:ascii="宋体" w:hAnsi="宋体" w:cs="宋体"/>
                <w:sz w:val="21"/>
                <w:szCs w:val="21"/>
                <w:highlight w:val="none"/>
              </w:rPr>
              <w:t>〗,</w:t>
            </w:r>
            <w:r>
              <w:rPr>
                <w:rFonts w:hint="eastAsia" w:ascii="宋体" w:hAnsi="宋体" w:cs="宋体"/>
                <w:color w:val="000000"/>
                <w:sz w:val="21"/>
                <w:szCs w:val="21"/>
                <w:highlight w:val="none"/>
              </w:rPr>
              <w:t>申购确认日为〖开放期的下一个交易日〗。在开放期开放时间内提交的申购申请将作为当日申购申请处理；在开放期开放时间结束后及非开放期提交的申购申请将作为下一开放期的申购申请处理。如遇节假日，申购确认日顺延至下一个交易日，如遇特殊情况具体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投资周期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本理财计划的单个投资周期一般为</w:t>
            </w:r>
            <w:r>
              <w:rPr>
                <w:rFonts w:hint="eastAsia" w:ascii="宋体" w:hAnsi="宋体" w:cs="宋体"/>
                <w:sz w:val="21"/>
                <w:szCs w:val="21"/>
                <w:highlight w:val="none"/>
              </w:rPr>
              <w:t>〖</w:t>
            </w:r>
            <w:r>
              <w:rPr>
                <w:rFonts w:hint="eastAsia" w:ascii="宋体" w:hAnsi="宋体" w:cs="宋体"/>
                <w:sz w:val="21"/>
                <w:szCs w:val="21"/>
                <w:highlight w:val="none"/>
                <w:lang w:val="en-US" w:eastAsia="zh-CN"/>
              </w:rPr>
              <w:t>182</w:t>
            </w:r>
            <w:r>
              <w:rPr>
                <w:rFonts w:hint="eastAsia" w:ascii="宋体" w:hAnsi="宋体" w:cs="宋体"/>
                <w:sz w:val="21"/>
                <w:szCs w:val="21"/>
                <w:highlight w:val="none"/>
              </w:rPr>
              <w:t>〗</w:t>
            </w:r>
            <w:r>
              <w:rPr>
                <w:rFonts w:hint="eastAsia" w:ascii="宋体" w:hAnsi="宋体" w:cs="宋体"/>
                <w:color w:val="000000"/>
                <w:sz w:val="21"/>
                <w:szCs w:val="21"/>
                <w:highlight w:val="none"/>
              </w:rPr>
              <w:t>天。每笔份额的单个投资周期的起始日为成立日或申购确认日或上个投资周期结束日的次日，自起始日起每</w:t>
            </w:r>
            <w:r>
              <w:rPr>
                <w:rFonts w:hint="eastAsia" w:ascii="宋体" w:hAnsi="宋体" w:cs="宋体"/>
                <w:sz w:val="21"/>
                <w:szCs w:val="21"/>
                <w:highlight w:val="none"/>
              </w:rPr>
              <w:t>〖</w:t>
            </w:r>
            <w:r>
              <w:rPr>
                <w:rFonts w:hint="eastAsia" w:ascii="宋体" w:hAnsi="宋体" w:cs="宋体"/>
                <w:sz w:val="21"/>
                <w:szCs w:val="21"/>
                <w:highlight w:val="none"/>
                <w:lang w:val="en-US" w:eastAsia="zh-CN"/>
              </w:rPr>
              <w:t>182</w:t>
            </w:r>
            <w:r>
              <w:rPr>
                <w:rFonts w:hint="eastAsia" w:ascii="宋体" w:hAnsi="宋体" w:cs="宋体"/>
                <w:sz w:val="21"/>
                <w:szCs w:val="21"/>
                <w:highlight w:val="none"/>
              </w:rPr>
              <w:t>〗</w:t>
            </w:r>
            <w:r>
              <w:rPr>
                <w:rFonts w:hint="eastAsia" w:ascii="宋体" w:hAnsi="宋体" w:cs="宋体"/>
                <w:color w:val="000000"/>
                <w:sz w:val="21"/>
                <w:szCs w:val="21"/>
                <w:highlight w:val="none"/>
              </w:rPr>
              <w:t>天为一个投资周期。投资者可就每笔份额持有单个或多个投资周期。</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如产品终止时投资者持有份额的天数小于单个投资周期，则该笔份额的投资周期天数按实际持有天数计算。</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投资者可在投资周期内根据赎回规定选择当前投资周期结束后是否赎回本理财计划。投资周期结束日如遇非交易日，则自动顺延至下一交易日，该投资周期天数相应延长。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赎回规定</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到期方式选择</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投资者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2.到期方式修改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在每笔份额存续</w:t>
            </w:r>
            <w:r>
              <w:rPr>
                <w:rFonts w:hint="eastAsia" w:ascii="宋体" w:hAnsi="宋体" w:cs="宋体"/>
                <w:color w:val="000000"/>
                <w:sz w:val="21"/>
                <w:szCs w:val="21"/>
                <w:highlight w:val="none"/>
                <w:lang w:val="en-US" w:eastAsia="zh-CN"/>
              </w:rPr>
              <w:t>期间，投资者可以修改当前投资周期的到期方式，</w:t>
            </w:r>
            <w:r>
              <w:rPr>
                <w:rFonts w:hint="eastAsia" w:ascii="宋体" w:hAnsi="宋体" w:cs="宋体"/>
                <w:color w:val="000000"/>
                <w:sz w:val="21"/>
                <w:szCs w:val="21"/>
                <w:highlight w:val="none"/>
              </w:rPr>
              <w:t>当前投资周期结束日前2个交易日</w:t>
            </w:r>
            <w:r>
              <w:rPr>
                <w:rFonts w:hint="eastAsia" w:ascii="宋体" w:hAnsi="宋体" w:cs="宋体"/>
                <w:color w:val="000000"/>
                <w:sz w:val="21"/>
                <w:szCs w:val="21"/>
                <w:highlight w:val="none"/>
                <w:lang w:val="en-US" w:eastAsia="zh-CN"/>
              </w:rPr>
              <w:t>至该周期结束日（含）除外</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3.赎回确认</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赎回份额将于赎回确认日确认，赎回确认日为投资者选择“自动赎回”方式当期投资周期结束日的下一个交易日。</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赎回金额=赎回份额×赎回确认日前一日的单位净值。</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（具体赎回规定与到期方式选择以销售机构要求为准）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w:t>
            </w:r>
            <w:r>
              <w:rPr>
                <w:rFonts w:hint="eastAsia" w:ascii="宋体" w:hAnsi="宋体" w:cs="宋体"/>
                <w:color w:val="000000"/>
                <w:sz w:val="21"/>
                <w:szCs w:val="21"/>
                <w:highlight w:val="none"/>
                <w:lang w:eastAsia="zh-CN"/>
              </w:rPr>
              <w:t>在认购时间内均可进行认购或撤单。</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2.本理财计划在每个</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开放期的开放日工作时间均可进行</w:t>
            </w:r>
            <w:r>
              <w:rPr>
                <w:rFonts w:hint="eastAsia" w:ascii="宋体" w:hAnsi="宋体" w:cs="宋体"/>
                <w:color w:val="000000"/>
                <w:sz w:val="21"/>
                <w:szCs w:val="21"/>
                <w:highlight w:val="none"/>
                <w:lang w:eastAsia="zh-CN"/>
              </w:rPr>
              <w:t>申购或撤单</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申请将在</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确认日，即</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后的第</w:t>
            </w:r>
            <w:r>
              <w:rPr>
                <w:rFonts w:hint="eastAsia" w:ascii="宋体" w:hAnsi="宋体" w:cs="宋体"/>
                <w:sz w:val="21"/>
                <w:szCs w:val="21"/>
                <w:highlight w:val="none"/>
              </w:rPr>
              <w:t>〖</w:t>
            </w:r>
            <w:r>
              <w:rPr>
                <w:rFonts w:hint="eastAsia" w:ascii="宋体" w:hAnsi="宋体" w:cs="宋体"/>
                <w:color w:val="auto"/>
                <w:sz w:val="21"/>
                <w:szCs w:val="21"/>
                <w:highlight w:val="none"/>
              </w:rPr>
              <w:t>1〗个</w:t>
            </w:r>
            <w:r>
              <w:rPr>
                <w:rFonts w:hint="eastAsia" w:ascii="宋体" w:hAnsi="宋体" w:cs="宋体"/>
                <w:bCs/>
                <w:color w:val="auto"/>
                <w:sz w:val="21"/>
                <w:szCs w:val="21"/>
                <w:highlight w:val="none"/>
                <w:lang w:eastAsia="zh-CN"/>
              </w:rPr>
              <w:t>交易日</w:t>
            </w:r>
            <w:r>
              <w:rPr>
                <w:rFonts w:hint="eastAsia" w:ascii="宋体" w:hAnsi="宋体" w:cs="宋体"/>
                <w:bCs/>
                <w:color w:val="auto"/>
                <w:sz w:val="21"/>
                <w:szCs w:val="21"/>
                <w:highlight w:val="none"/>
              </w:rPr>
              <w:t>进</w:t>
            </w:r>
            <w:r>
              <w:rPr>
                <w:rFonts w:hint="eastAsia" w:ascii="宋体" w:hAnsi="宋体" w:cs="宋体"/>
                <w:bCs/>
                <w:sz w:val="21"/>
                <w:szCs w:val="21"/>
                <w:highlight w:val="none"/>
              </w:rPr>
              <w:t>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w:t>
            </w:r>
            <w:r>
              <w:rPr>
                <w:rFonts w:hint="eastAsia" w:ascii="宋体" w:hAnsi="宋体" w:cs="宋体"/>
                <w:color w:val="000000"/>
                <w:sz w:val="21"/>
                <w:szCs w:val="21"/>
                <w:highlight w:val="none"/>
                <w:lang w:eastAsia="zh-CN"/>
              </w:rPr>
              <w:t>本理财计划</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日上午〖9:00〗至下午〖</w:t>
            </w:r>
            <w:r>
              <w:rPr>
                <w:rFonts w:hint="eastAsia" w:ascii="宋体" w:hAnsi="宋体" w:cs="宋体"/>
                <w:color w:val="000000"/>
                <w:sz w:val="21"/>
                <w:szCs w:val="21"/>
                <w:highlight w:val="none"/>
                <w:lang w:val="en-US" w:eastAsia="zh-CN"/>
              </w:rPr>
              <w:t>17:00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sz w:val="21"/>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lang w:eastAsia="zh-CN"/>
              </w:rPr>
              <w:t>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到期</w:t>
            </w:r>
            <w:r>
              <w:rPr>
                <w:rFonts w:hint="eastAsia" w:ascii="宋体" w:hAnsi="宋体" w:cs="宋体"/>
                <w:color w:val="000000"/>
                <w:sz w:val="21"/>
                <w:szCs w:val="21"/>
                <w:highlight w:val="none"/>
              </w:rPr>
              <w:t>资金确认后，</w:t>
            </w:r>
            <w:r>
              <w:rPr>
                <w:rFonts w:hint="eastAsia" w:ascii="宋体" w:hAnsi="宋体" w:eastAsia="宋体" w:cs="宋体"/>
                <w:color w:val="000000"/>
                <w:sz w:val="21"/>
                <w:szCs w:val="21"/>
                <w:highlight w:val="none"/>
              </w:rPr>
              <w:t>最快于确认日当日，最晚于确认日后〖2〗个交易日内</w:t>
            </w:r>
            <w:r>
              <w:rPr>
                <w:rFonts w:hint="eastAsia" w:ascii="宋体" w:hAnsi="宋体" w:cs="宋体"/>
                <w:color w:val="000000"/>
                <w:sz w:val="21"/>
                <w:szCs w:val="21"/>
                <w:highlight w:val="none"/>
              </w:rPr>
              <w:t>（遇节假日顺延）理财资金与收益一次性支付。如遇资金在途或法定工作日调整，实际资金到账日以公告为准。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w:t>
            </w:r>
            <w:r>
              <w:rPr>
                <w:rFonts w:hint="eastAsia" w:ascii="宋体" w:hAnsi="宋体" w:eastAsia="宋体" w:cs="宋体"/>
                <w:color w:val="000000"/>
                <w:sz w:val="21"/>
                <w:szCs w:val="21"/>
                <w:highlight w:val="none"/>
              </w:rPr>
              <w:t>到期日后</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日，最晚</w:t>
            </w:r>
            <w:r>
              <w:rPr>
                <w:rFonts w:hint="eastAsia" w:ascii="宋体" w:hAnsi="宋体" w:cs="宋体"/>
                <w:color w:val="000000"/>
                <w:sz w:val="21"/>
                <w:szCs w:val="21"/>
                <w:highlight w:val="none"/>
                <w:lang w:val="en-US" w:eastAsia="zh-CN"/>
              </w:rPr>
              <w:t>于</w:t>
            </w:r>
            <w:r>
              <w:rPr>
                <w:rFonts w:hint="eastAsia" w:ascii="宋体" w:hAnsi="宋体" w:eastAsia="宋体" w:cs="宋体"/>
                <w:color w:val="000000"/>
                <w:sz w:val="21"/>
                <w:szCs w:val="21"/>
                <w:highlight w:val="none"/>
              </w:rPr>
              <w:t>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1.95%-2.65%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2.05%-2.75%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1.95%-2.65%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2.05%-2.75%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Z份额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1.95%-2.65%</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w:t>
            </w:r>
            <w:r>
              <w:rPr>
                <w:rFonts w:hint="eastAsia" w:ascii="宋体" w:hAnsi="宋体" w:cs="宋体"/>
                <w:b/>
                <w:bCs/>
                <w:sz w:val="21"/>
                <w:szCs w:val="21"/>
                <w:highlight w:val="none"/>
              </w:rPr>
              <w:t>重点投资于</w:t>
            </w:r>
            <w:r>
              <w:rPr>
                <w:rFonts w:hint="eastAsia" w:ascii="宋体" w:hAnsi="宋体" w:cs="宋体"/>
                <w:b/>
                <w:bCs/>
                <w:sz w:val="21"/>
                <w:szCs w:val="21"/>
                <w:highlight w:val="none"/>
                <w:lang w:val="en-US" w:eastAsia="zh-CN"/>
              </w:rPr>
              <w:t>债券、存款</w:t>
            </w:r>
            <w:r>
              <w:rPr>
                <w:rFonts w:hint="eastAsia" w:ascii="宋体" w:hAnsi="宋体" w:cs="宋体"/>
                <w:b/>
                <w:bCs/>
                <w:sz w:val="21"/>
                <w:szCs w:val="21"/>
                <w:highlight w:val="none"/>
              </w:rPr>
              <w:t>等资产，</w:t>
            </w:r>
            <w:r>
              <w:rPr>
                <w:rFonts w:hint="eastAsia" w:ascii="宋体" w:hAnsi="宋体" w:cs="宋体"/>
                <w:b/>
                <w:bCs/>
                <w:sz w:val="21"/>
                <w:szCs w:val="21"/>
                <w:highlight w:val="none"/>
                <w:lang w:eastAsia="zh-CN"/>
              </w:rPr>
              <w:t>根据当前市场环境，预投资产收益率平均在</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2.45%</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左右，同时</w:t>
            </w:r>
            <w:r>
              <w:rPr>
                <w:rFonts w:hint="eastAsia" w:ascii="宋体" w:hAnsi="宋体" w:cs="宋体"/>
                <w:b/>
                <w:bCs/>
                <w:sz w:val="21"/>
                <w:szCs w:val="21"/>
                <w:highlight w:val="none"/>
              </w:rPr>
              <w:t>根据流动性管理需要和监管要求配置不低于5%的高流动性资产</w:t>
            </w:r>
            <w:r>
              <w:rPr>
                <w:rFonts w:hint="eastAsia" w:ascii="宋体" w:hAnsi="宋体" w:cs="宋体"/>
                <w:b/>
                <w:bCs/>
                <w:sz w:val="21"/>
                <w:szCs w:val="21"/>
                <w:highlight w:val="none"/>
                <w:lang w:eastAsia="zh-CN"/>
              </w:rPr>
              <w:t>。综合来看，</w:t>
            </w:r>
            <w:r>
              <w:rPr>
                <w:rFonts w:hint="eastAsia" w:ascii="宋体" w:hAnsi="宋体" w:cs="宋体"/>
                <w:b/>
                <w:bCs/>
                <w:sz w:val="21"/>
                <w:szCs w:val="21"/>
                <w:highlight w:val="none"/>
              </w:rPr>
              <w:t>扣除相关税费成本后</w:t>
            </w:r>
            <w:r>
              <w:rPr>
                <w:rFonts w:hint="eastAsia" w:ascii="宋体" w:hAnsi="宋体" w:cs="宋体"/>
                <w:b/>
                <w:bCs/>
                <w:sz w:val="21"/>
                <w:szCs w:val="21"/>
                <w:highlight w:val="none"/>
                <w:lang w:eastAsia="zh-CN"/>
              </w:rPr>
              <w:t>，</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A份额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D份额</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和</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Z份额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投资者可获得收益率的中枢预计在</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1.95%</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左右，</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B份额</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和</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P份额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投资者可获得收益率的中枢预计在</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2.05%</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左右</w:t>
            </w:r>
            <w:r>
              <w:rPr>
                <w:rFonts w:hint="eastAsia" w:ascii="宋体" w:hAnsi="宋体" w:cs="宋体"/>
                <w:b/>
                <w:bCs/>
                <w:sz w:val="21"/>
                <w:szCs w:val="21"/>
                <w:highlight w:val="none"/>
                <w:lang w:val="en-US" w:eastAsia="zh-CN"/>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b/>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p>
            <w:pPr>
              <w:widowControl/>
              <w:spacing w:line="360" w:lineRule="auto"/>
              <w:contextualSpacing/>
              <w:rPr>
                <w:rFonts w:hint="eastAsia" w:ascii="宋体" w:hAnsi="宋体" w:eastAsia="宋体" w:cs="宋体"/>
                <w:b/>
                <w:sz w:val="21"/>
                <w:szCs w:val="21"/>
                <w:highlight w:val="none"/>
                <w:lang w:eastAsia="zh-CN"/>
              </w:rPr>
            </w:pPr>
            <w:r>
              <w:rPr>
                <w:rFonts w:hint="eastAsia" w:ascii="宋体" w:hAnsi="宋体" w:cs="宋体"/>
                <w:b/>
                <w:sz w:val="21"/>
                <w:szCs w:val="21"/>
                <w:highlight w:val="none"/>
                <w:lang w:eastAsia="zh-CN"/>
              </w:rPr>
              <w:t>本理财计划业绩比较基准由管理人根据投资范围和投资策略，结合市场环境因素进行测算而得出。业绩比较基准是管理人基于理财计划收益风险特征、投资策略、过往经验等因素对理财计划业绩设定的投资目标，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Z份额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0.60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Z份额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7.浮动管理费</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w:t>
            </w:r>
            <w:r>
              <w:rPr>
                <w:rFonts w:hint="eastAsia" w:ascii="宋体" w:hAnsi="宋体" w:cs="宋体"/>
                <w:color w:val="000000"/>
                <w:sz w:val="21"/>
                <w:szCs w:val="21"/>
                <w:highlight w:val="none"/>
                <w:lang w:val="en-US" w:eastAsia="zh-CN"/>
              </w:rPr>
              <w:t>免除</w:t>
            </w:r>
            <w:r>
              <w:rPr>
                <w:rFonts w:hint="eastAsia" w:ascii="宋体" w:hAnsi="宋体" w:cs="宋体"/>
                <w:color w:val="000000"/>
                <w:sz w:val="21"/>
                <w:szCs w:val="21"/>
                <w:highlight w:val="none"/>
              </w:rPr>
              <w:t>浮动管理费。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b/>
                <w:bCs/>
                <w:color w:val="000000"/>
                <w:sz w:val="21"/>
                <w:szCs w:val="21"/>
                <w:highlight w:val="none"/>
                <w:lang w:eastAsia="zh-CN"/>
              </w:rPr>
              <w:t>管理人保留变更上述收取费率标准的权利，如有变更将提前</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2</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numPr>
                <w:ilvl w:val="0"/>
                <w:numId w:val="0"/>
              </w:numPr>
              <w:spacing w:line="360" w:lineRule="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认购/申购申请成功受理后，资金立即自动冻结，投资者不得要求支取和使用。但认购/申购资金的冻结不代表该认购/申购成功，投资者实际认购/申购成功的金额以产品成立日/申购确认日的管理人最终确认并实际扣款的资金为准。同时，销售机构将在产品成立日/申购确认日的次一个交易日内将投资者未认购/申购成功的资金解除冻结。</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3.</w:t>
            </w: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0"/>
        </w:numPr>
        <w:spacing w:line="360" w:lineRule="auto"/>
        <w:ind w:leftChars="0" w:firstLine="480" w:firstLineChars="200"/>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w:t>
      </w:r>
      <w:r>
        <w:rPr>
          <w:rFonts w:hint="eastAsia" w:ascii="宋体" w:hAnsi="宋体" w:cs="宋体"/>
          <w:bCs/>
          <w:sz w:val="24"/>
          <w:highlight w:val="none"/>
          <w:lang w:eastAsia="zh-CN"/>
        </w:rPr>
        <w:t>等流动性资产、</w:t>
      </w:r>
      <w:r>
        <w:rPr>
          <w:rFonts w:hint="eastAsia" w:ascii="宋体" w:hAnsi="宋体" w:cs="宋体"/>
          <w:bCs/>
          <w:sz w:val="24"/>
          <w:highlight w:val="none"/>
        </w:rPr>
        <w:t>质押式及买断式回购，其他符合监管要求的固定收益类资产及资产管理产品。</w:t>
      </w:r>
    </w:p>
    <w:p>
      <w:pPr>
        <w:numPr>
          <w:ilvl w:val="0"/>
          <w:numId w:val="0"/>
        </w:numPr>
        <w:spacing w:line="360" w:lineRule="auto"/>
        <w:ind w:leftChars="0" w:firstLine="480" w:firstLineChars="200"/>
        <w:jc w:val="left"/>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权益类</w:t>
      </w:r>
      <w:r>
        <w:rPr>
          <w:rFonts w:hint="eastAsia" w:ascii="宋体" w:hAnsi="宋体" w:cs="宋体"/>
          <w:bCs/>
          <w:sz w:val="24"/>
          <w:highlight w:val="none"/>
          <w:lang w:val="en-US" w:eastAsia="zh-CN"/>
        </w:rPr>
        <w:t>资产：</w:t>
      </w:r>
      <w:r>
        <w:rPr>
          <w:rFonts w:ascii="宋体" w:hAnsi="宋体" w:eastAsia="宋体" w:cs="宋体"/>
          <w:sz w:val="24"/>
          <w:szCs w:val="24"/>
          <w:highlight w:val="none"/>
        </w:rPr>
        <w:t>仅限于境内发行优先股。</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w:t>
            </w:r>
            <w:r>
              <w:rPr>
                <w:rFonts w:hint="eastAsia" w:ascii="宋体" w:hAnsi="宋体" w:cs="宋体"/>
                <w:bCs/>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center"/>
              <w:rPr>
                <w:rFonts w:hint="eastAsia"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 w:val="24"/>
                <w:highlight w:val="none"/>
                <w:lang w:val="en-US" w:eastAsia="zh-CN"/>
              </w:rPr>
              <w:t>权益类资产</w:t>
            </w:r>
            <w:r>
              <w:rPr>
                <w:rFonts w:ascii="宋体" w:hAnsi="宋体" w:eastAsia="宋体" w:cs="宋体"/>
                <w:sz w:val="24"/>
                <w:szCs w:val="24"/>
                <w:highlight w:val="none"/>
              </w:rPr>
              <w:t>：仅限于境内发行优先股</w:t>
            </w:r>
          </w:p>
        </w:tc>
        <w:tc>
          <w:tcPr>
            <w:tcW w:w="1996"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0%-20%</w:t>
            </w:r>
          </w:p>
        </w:tc>
      </w:tr>
    </w:tbl>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3</w:t>
      </w:r>
      <w:r>
        <w:rPr>
          <w:rFonts w:hint="eastAsia" w:ascii="宋体" w:hAnsi="宋体" w:cs="宋体"/>
          <w:bCs/>
          <w:color w:val="auto"/>
          <w:kern w:val="2"/>
          <w:highlight w:val="none"/>
          <w:lang w:val="en-US" w:eastAsia="zh-CN"/>
        </w:rPr>
        <w:t>0</w:t>
      </w:r>
      <w:r>
        <w:rPr>
          <w:rFonts w:hint="eastAsia" w:ascii="宋体" w:hAnsi="宋体" w:cs="宋体"/>
          <w:highlight w:val="none"/>
        </w:rPr>
        <w:t>〗</w:t>
      </w:r>
      <w:r>
        <w:rPr>
          <w:rFonts w:hint="eastAsia" w:ascii="宋体" w:hAnsi="宋体" w:cs="宋体"/>
          <w:highlight w:val="none"/>
          <w:lang w:val="en-US" w:eastAsia="zh-CN"/>
        </w:rPr>
        <w:t>天</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1"/>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将通过对宏观经济形势、各项国家政策、及证券市场环境的分析来判断经济周期目前的位置，主动判断市场时机进行资产配置。</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固定收益类资产</w:t>
      </w:r>
      <w:r>
        <w:rPr>
          <w:rFonts w:hint="eastAsia" w:ascii="宋体" w:hAnsi="宋体" w:cs="宋体"/>
          <w:bCs/>
          <w:sz w:val="24"/>
          <w:highlight w:val="none"/>
        </w:rPr>
        <w:t>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管理人本着稳健投资的理念，采用安全性和流动性优先、优选投资品种，</w:t>
      </w:r>
      <w:r>
        <w:rPr>
          <w:rFonts w:hint="eastAsia" w:ascii="宋体" w:hAnsi="宋体" w:cs="宋体"/>
          <w:bCs/>
          <w:color w:val="auto"/>
          <w:kern w:val="2"/>
          <w:highlight w:val="none"/>
          <w:lang w:val="en-US" w:eastAsia="zh-CN"/>
        </w:rPr>
        <w:t>以</w:t>
      </w:r>
      <w:r>
        <w:rPr>
          <w:rFonts w:hint="eastAsia" w:ascii="宋体" w:hAnsi="宋体" w:cs="宋体"/>
          <w:bCs/>
          <w:color w:val="auto"/>
          <w:kern w:val="2"/>
          <w:highlight w:val="none"/>
        </w:rPr>
        <w:t>获取稳定收益。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784"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44"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44"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44"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1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475"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155"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210" w:type="dxa"/>
            <w:noWrap w:val="0"/>
            <w:vAlign w:val="center"/>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475" w:type="dxa"/>
            <w:vMerge w:val="continue"/>
            <w:noWrap w:val="0"/>
            <w:vAlign w:val="center"/>
          </w:tcPr>
          <w:p>
            <w:pPr>
              <w:spacing w:line="360" w:lineRule="auto"/>
              <w:jc w:val="center"/>
              <w:rPr>
                <w:rFonts w:hint="eastAsia" w:ascii="宋体" w:hAnsi="宋体" w:cs="宋体"/>
                <w:bCs/>
                <w:szCs w:val="21"/>
                <w:highlight w:val="none"/>
              </w:rPr>
            </w:pPr>
          </w:p>
        </w:tc>
        <w:tc>
          <w:tcPr>
            <w:tcW w:w="1155"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21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w:t>
      </w:r>
      <w:r>
        <w:rPr>
          <w:rFonts w:hint="eastAsia" w:ascii="宋体" w:hAnsi="宋体" w:cs="宋体"/>
          <w:bCs/>
          <w:color w:val="000000"/>
          <w:sz w:val="24"/>
          <w:highlight w:val="none"/>
          <w:lang w:eastAsia="zh-CN"/>
        </w:rPr>
        <w:t>或官方网站展示</w:t>
      </w:r>
      <w:r>
        <w:rPr>
          <w:rFonts w:hint="eastAsia" w:ascii="宋体" w:hAnsi="宋体" w:cs="宋体"/>
          <w:bCs/>
          <w:color w:val="000000"/>
          <w:sz w:val="24"/>
          <w:highlight w:val="none"/>
        </w:rPr>
        <w:t>为准</w:t>
      </w:r>
      <w:r>
        <w:rPr>
          <w:rFonts w:hint="eastAsia" w:ascii="宋体" w:hAnsi="宋体" w:cs="宋体"/>
          <w:bCs/>
          <w:color w:val="000000"/>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3</w:t>
      </w:r>
      <w:r>
        <w:rPr>
          <w:rFonts w:hint="eastAsia" w:ascii="宋体" w:hAnsi="宋体" w:eastAsia="宋体" w:cs="宋体"/>
          <w:color w:val="auto"/>
          <w:kern w:val="2"/>
          <w:sz w:val="24"/>
          <w:szCs w:val="21"/>
          <w:highlight w:val="none"/>
          <w:lang w:val="en-US" w:eastAsia="zh-CN"/>
        </w:rPr>
        <w:t>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bCs w:val="0"/>
          <w:color w:val="auto"/>
          <w:sz w:val="24"/>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2</w:t>
      </w:r>
      <w:r>
        <w:rPr>
          <w:rFonts w:hint="eastAsia" w:ascii="宋体" w:hAnsi="宋体" w:eastAsia="宋体" w:cs="宋体"/>
          <w:color w:val="auto"/>
          <w:kern w:val="2"/>
          <w:sz w:val="24"/>
          <w:szCs w:val="21"/>
          <w:highlight w:val="none"/>
          <w:lang w:val="en-US" w:eastAsia="zh-CN"/>
        </w:rPr>
        <w:t>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D</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.10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P</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3</w:t>
      </w:r>
      <w:r>
        <w:rPr>
          <w:rFonts w:hint="eastAsia" w:ascii="宋体" w:hAnsi="宋体" w:eastAsia="宋体" w:cs="宋体"/>
          <w:color w:val="auto"/>
          <w:kern w:val="2"/>
          <w:sz w:val="24"/>
          <w:szCs w:val="21"/>
          <w:highlight w:val="none"/>
          <w:lang w:val="en-US" w:eastAsia="zh-CN"/>
        </w:rPr>
        <w:t>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Z</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2</w:t>
      </w:r>
      <w:r>
        <w:rPr>
          <w:rFonts w:hint="eastAsia" w:ascii="宋体" w:hAnsi="宋体" w:eastAsia="宋体" w:cs="宋体"/>
          <w:color w:val="auto"/>
          <w:kern w:val="2"/>
          <w:sz w:val="24"/>
          <w:szCs w:val="21"/>
          <w:highlight w:val="none"/>
          <w:lang w:val="en-US" w:eastAsia="zh-CN"/>
        </w:rPr>
        <w:t>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szCs w:val="21"/>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val="0"/>
          <w:color w:val="auto"/>
          <w:sz w:val="24"/>
          <w:szCs w:val="21"/>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3</w:t>
      </w:r>
      <w:r>
        <w:rPr>
          <w:rFonts w:hint="eastAsia" w:ascii="宋体" w:hAnsi="宋体" w:eastAsia="宋体" w:cs="宋体"/>
          <w:color w:val="auto"/>
          <w:kern w:val="2"/>
          <w:sz w:val="24"/>
          <w:szCs w:val="21"/>
          <w:highlight w:val="none"/>
          <w:lang w:val="en-US" w:eastAsia="zh-CN"/>
        </w:rPr>
        <w:t>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bCs w:val="0"/>
          <w:color w:val="auto"/>
          <w:sz w:val="24"/>
          <w:szCs w:val="21"/>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D</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0.60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P</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Z</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szCs w:val="21"/>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val="en-US" w:eastAsia="zh-CN"/>
        </w:rPr>
        <w:t>免除</w:t>
      </w:r>
      <w:r>
        <w:rPr>
          <w:rFonts w:hint="eastAsia" w:ascii="宋体" w:hAnsi="宋体" w:cs="宋体"/>
          <w:bCs/>
          <w:color w:val="000000"/>
          <w:sz w:val="24"/>
          <w:highlight w:val="none"/>
        </w:rPr>
        <w:t>浮动管理费。</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w:t>
      </w:r>
      <w:r>
        <w:rPr>
          <w:rFonts w:hint="eastAsia" w:ascii="宋体" w:hAnsi="宋体" w:cs="宋体"/>
          <w:bCs/>
          <w:color w:val="000000"/>
          <w:sz w:val="24"/>
          <w:highlight w:val="none"/>
          <w:lang w:eastAsia="zh-CN"/>
        </w:rPr>
        <w:t>到期</w:t>
      </w:r>
      <w:r>
        <w:rPr>
          <w:rFonts w:hint="eastAsia" w:ascii="宋体" w:hAnsi="宋体" w:cs="宋体"/>
          <w:bCs/>
          <w:color w:val="000000"/>
          <w:sz w:val="24"/>
          <w:highlight w:val="none"/>
        </w:rPr>
        <w:t>份额×</w:t>
      </w:r>
      <w:r>
        <w:rPr>
          <w:rFonts w:hint="eastAsia" w:ascii="宋体" w:hAnsi="宋体" w:cs="宋体"/>
          <w:bCs/>
          <w:color w:val="000000"/>
          <w:sz w:val="24"/>
          <w:highlight w:val="none"/>
          <w:lang w:eastAsia="zh-CN"/>
        </w:rPr>
        <w:t>到期</w:t>
      </w:r>
      <w:r>
        <w:rPr>
          <w:rFonts w:hint="eastAsia" w:ascii="宋体" w:hAnsi="宋体" w:cs="宋体"/>
          <w:bCs/>
          <w:color w:val="000000"/>
          <w:sz w:val="24"/>
          <w:highlight w:val="none"/>
        </w:rPr>
        <w:t>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到期</w:t>
      </w:r>
      <w:r>
        <w:rPr>
          <w:rFonts w:hint="eastAsia" w:ascii="宋体" w:hAnsi="宋体" w:cs="宋体"/>
          <w:bCs/>
          <w:color w:val="000000"/>
          <w:sz w:val="24"/>
          <w:highlight w:val="none"/>
        </w:rPr>
        <w:t>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w:t>
      </w:r>
      <w:r>
        <w:rPr>
          <w:rFonts w:hint="eastAsia" w:ascii="宋体" w:hAnsi="宋体" w:cs="宋体"/>
          <w:b/>
          <w:color w:val="000000"/>
          <w:sz w:val="24"/>
          <w:highlight w:val="none"/>
        </w:rPr>
        <w:t>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w:t>
      </w:r>
      <w:r>
        <w:rPr>
          <w:rFonts w:hint="eastAsia" w:ascii="宋体" w:hAnsi="宋体" w:cs="宋体"/>
          <w:bCs/>
          <w:color w:val="000000"/>
          <w:sz w:val="24"/>
          <w:highlight w:val="none"/>
          <w:lang w:val="en-US" w:eastAsia="zh-CN"/>
        </w:rPr>
        <w:t>时</w:t>
      </w:r>
      <w:r>
        <w:rPr>
          <w:rFonts w:hint="eastAsia" w:ascii="宋体" w:hAnsi="宋体" w:cs="宋体"/>
          <w:bCs/>
          <w:color w:val="000000"/>
          <w:sz w:val="24"/>
          <w:highlight w:val="none"/>
        </w:rPr>
        <w:t>扣除托管费、固定管理费、销售服务费（如有）后，如理财计划单位净值为1.0426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-1)×365/364=4.27%，即投资收益达到〖4.27%〗，投资者最终收益为：100,000.00×(1.0426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）=4,260.00（元）</w:t>
      </w:r>
      <w:r>
        <w:rPr>
          <w:rFonts w:hint="eastAsia" w:ascii="宋体" w:hAnsi="宋体" w:cs="宋体"/>
          <w:bCs/>
          <w:color w:val="000000"/>
          <w:sz w:val="24"/>
          <w:highlight w:val="none"/>
        </w:rPr>
        <w:t>。</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发生亏损</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元，折算份额为100,000.00份，假设投资理财计划364天。赎回时扣除托管费、固定管理费、销售服务费（如有）后，如理财计划单位净值为0.9975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r>
        <w:rPr>
          <w:rFonts w:hint="eastAsia" w:ascii="宋体" w:hAnsi="宋体" w:cs="宋体"/>
          <w:bCs/>
          <w:color w:val="000000"/>
          <w:sz w:val="24"/>
          <w:highlight w:val="none"/>
          <w:lang w:eastAsia="zh-CN"/>
        </w:rPr>
        <w:t>。</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（具体以销售机构要求为准）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w:t>
      </w:r>
      <w:r>
        <w:rPr>
          <w:rFonts w:hint="eastAsia" w:ascii="宋体" w:hAnsi="宋体" w:cs="宋体"/>
          <w:b/>
          <w:sz w:val="24"/>
          <w:highlight w:val="none"/>
          <w:lang w:val="en-US" w:eastAsia="zh-CN"/>
        </w:rPr>
        <w:t>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本理财计划在每个申购开放期的开放日工作时间可进行申购，申购申请将在申购确认日，即申购后的第〖1〗</w:t>
      </w:r>
      <w:r>
        <w:rPr>
          <w:rFonts w:hint="eastAsia" w:ascii="宋体" w:hAnsi="宋体" w:cs="宋体"/>
          <w:bCs/>
          <w:color w:val="auto"/>
          <w:sz w:val="24"/>
          <w:highlight w:val="none"/>
        </w:rPr>
        <w:t>个</w:t>
      </w:r>
      <w:r>
        <w:rPr>
          <w:rFonts w:hint="eastAsia" w:ascii="宋体" w:hAnsi="宋体" w:cs="宋体"/>
          <w:b w:val="0"/>
          <w:bCs w:val="0"/>
          <w:color w:val="auto"/>
          <w:sz w:val="24"/>
          <w:highlight w:val="none"/>
          <w:lang w:eastAsia="zh-CN"/>
        </w:rPr>
        <w:t>交易</w:t>
      </w:r>
      <w:r>
        <w:rPr>
          <w:rFonts w:hint="eastAsia" w:ascii="宋体" w:hAnsi="宋体" w:cs="宋体"/>
          <w:bCs/>
          <w:color w:val="auto"/>
          <w:sz w:val="24"/>
          <w:highlight w:val="none"/>
        </w:rPr>
        <w:t>日进</w:t>
      </w:r>
      <w:r>
        <w:rPr>
          <w:rFonts w:hint="eastAsia" w:ascii="宋体" w:hAnsi="宋体" w:cs="宋体"/>
          <w:bCs/>
          <w:sz w:val="24"/>
          <w:highlight w:val="none"/>
        </w:rPr>
        <w:t>行确认。</w:t>
      </w:r>
      <w:r>
        <w:rPr>
          <w:rFonts w:hint="eastAsia" w:ascii="宋体" w:hAnsi="宋体" w:cs="宋体"/>
          <w:bCs/>
          <w:sz w:val="24"/>
          <w:highlight w:val="none"/>
          <w:lang w:eastAsia="zh-CN"/>
        </w:rPr>
        <w:t>申购确认日如遇非交易日，则自动顺延至下一交易日，如遇特殊情况具体以管理人公告为准。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投资者</w:t>
      </w:r>
      <w:r>
        <w:rPr>
          <w:rFonts w:hint="eastAsia" w:ascii="宋体" w:hAnsi="宋体" w:cs="宋体"/>
          <w:bCs/>
          <w:sz w:val="24"/>
          <w:highlight w:val="none"/>
        </w:rPr>
        <w:t>须</w:t>
      </w:r>
      <w:r>
        <w:rPr>
          <w:rFonts w:hint="eastAsia" w:ascii="宋体" w:hAnsi="宋体" w:cs="宋体"/>
          <w:bCs/>
          <w:color w:val="000000"/>
          <w:sz w:val="24"/>
          <w:highlight w:val="none"/>
        </w:rPr>
        <w:t>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具体赎回到期方式以销售机构要求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根据每笔份额的投资起始日、投资周期和投资者选择的到期方式自动计算投资周期结束日，即当该笔份额在投资者选择“自动赎回”后，于当期投资周期结束日的下一个交易日，即赎回确认日进行赎回份额确认。投资周期结束日如遇非交易日，则顺延至下一个交易日</w:t>
      </w:r>
      <w:r>
        <w:rPr>
          <w:rFonts w:hint="eastAsia" w:ascii="宋体" w:hAnsi="宋体" w:cs="宋体"/>
          <w:bCs/>
          <w:sz w:val="24"/>
          <w:highlight w:val="none"/>
          <w:lang w:eastAsia="zh-CN"/>
        </w:rPr>
        <w:t>。</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w:t>
      </w:r>
      <w:r>
        <w:rPr>
          <w:rFonts w:hint="eastAsia" w:ascii="宋体" w:hAnsi="宋体" w:cs="宋体"/>
          <w:bCs/>
          <w:sz w:val="24"/>
          <w:highlight w:val="none"/>
          <w:lang w:val="en-US" w:eastAsia="zh-CN"/>
        </w:rPr>
        <w:t>1</w:t>
      </w:r>
      <w:r>
        <w:rPr>
          <w:rFonts w:hint="eastAsia" w:ascii="宋体" w:hAnsi="宋体" w:cs="宋体"/>
          <w:bCs/>
          <w:sz w:val="24"/>
          <w:highlight w:val="none"/>
          <w:lang w:val="en-US" w:eastAsia="zh-CN"/>
        </w:rPr>
        <w:t>7</w:t>
      </w:r>
      <w:r>
        <w:rPr>
          <w:rFonts w:hint="eastAsia" w:ascii="宋体" w:hAnsi="宋体" w:cs="宋体"/>
          <w:bCs/>
          <w:sz w:val="24"/>
          <w:highlight w:val="none"/>
        </w:rPr>
        <w:t>:</w:t>
      </w:r>
      <w:r>
        <w:rPr>
          <w:rFonts w:hint="eastAsia" w:ascii="宋体" w:hAnsi="宋体" w:cs="宋体"/>
          <w:bCs/>
          <w:sz w:val="24"/>
          <w:highlight w:val="none"/>
          <w:lang w:val="en-US" w:eastAsia="zh-CN"/>
        </w:rPr>
        <w:t>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到期</w:t>
      </w:r>
      <w:r>
        <w:rPr>
          <w:rFonts w:hint="eastAsia" w:ascii="宋体" w:hAnsi="宋体" w:cs="宋体"/>
          <w:bCs/>
          <w:sz w:val="24"/>
          <w:highlight w:val="none"/>
        </w:rPr>
        <w:t>资金确认后，最快</w:t>
      </w:r>
      <w:r>
        <w:rPr>
          <w:rFonts w:hint="eastAsia" w:ascii="宋体" w:hAnsi="宋体" w:cs="宋体"/>
          <w:bCs/>
          <w:sz w:val="24"/>
          <w:highlight w:val="none"/>
          <w:lang w:val="en-US" w:eastAsia="zh-CN"/>
        </w:rPr>
        <w:t>于</w:t>
      </w:r>
      <w:r>
        <w:rPr>
          <w:rFonts w:hint="eastAsia" w:ascii="宋体" w:hAnsi="宋体" w:cs="宋体"/>
          <w:bCs/>
          <w:sz w:val="24"/>
          <w:highlight w:val="none"/>
        </w:rPr>
        <w:t>确认日当日，最晚于确认日后〖2〗个交易日内（遇节假日顺延）理财资金与收益将一次性支付。如遇资金在途或法定工作日调整，实际资金到账日以公告为准。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sz w:val="24"/>
          <w:highlight w:val="none"/>
          <w:lang w:eastAsia="zh-CN"/>
        </w:rPr>
        <w:t>如本理财计划成立不足</w:t>
      </w:r>
      <w:r>
        <w:rPr>
          <w:rFonts w:hint="eastAsia" w:ascii="宋体" w:hAnsi="宋体" w:cs="宋体"/>
          <w:bCs/>
          <w:color w:val="000000"/>
          <w:sz w:val="24"/>
          <w:highlight w:val="none"/>
          <w:lang w:val="en-US" w:eastAsia="zh-CN"/>
        </w:rPr>
        <w:t>90个工作日或剩余存续期不超过90个工作日的，管理人可不编制当期的季度、半年和年度报告等运行报告。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jc w:val="center"/>
        <w:outlineLvl w:val="0"/>
        <w:rPr>
          <w:rFonts w:hint="eastAsia" w:ascii="Calibri" w:hAnsi="Calibri" w:eastAsia="宋体" w:cs="黑体"/>
          <w:b/>
          <w:bCs w:val="0"/>
          <w:sz w:val="44"/>
          <w:szCs w:val="44"/>
          <w:highlight w:val="none"/>
        </w:rPr>
      </w:pPr>
      <w:r>
        <w:rPr>
          <w:rFonts w:ascii="宋体" w:hAnsi="宋体" w:cs="宋体"/>
          <w:bCs/>
          <w:color w:val="000000"/>
          <w:sz w:val="24"/>
          <w:highlight w:val="none"/>
        </w:rPr>
        <w:br w:type="page"/>
      </w: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4"/>
  </w:num>
  <w:num w:numId="5">
    <w:abstractNumId w:val="23"/>
  </w:num>
  <w:num w:numId="6">
    <w:abstractNumId w:val="83"/>
  </w:num>
  <w:num w:numId="7">
    <w:abstractNumId w:val="39"/>
  </w:num>
  <w:num w:numId="8">
    <w:abstractNumId w:val="84"/>
  </w:num>
  <w:num w:numId="9">
    <w:abstractNumId w:val="58"/>
  </w:num>
  <w:num w:numId="10">
    <w:abstractNumId w:val="54"/>
  </w:num>
  <w:num w:numId="11">
    <w:abstractNumId w:val="36"/>
  </w:num>
  <w:num w:numId="12">
    <w:abstractNumId w:val="33"/>
  </w:num>
  <w:num w:numId="13">
    <w:abstractNumId w:val="40"/>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7"/>
  </w:num>
  <w:num w:numId="22">
    <w:abstractNumId w:val="2"/>
  </w:num>
  <w:num w:numId="23">
    <w:abstractNumId w:val="53"/>
  </w:num>
  <w:num w:numId="24">
    <w:abstractNumId w:val="35"/>
  </w:num>
  <w:num w:numId="25">
    <w:abstractNumId w:val="55"/>
  </w:num>
  <w:num w:numId="26">
    <w:abstractNumId w:val="60"/>
  </w:num>
  <w:num w:numId="27">
    <w:abstractNumId w:val="46"/>
  </w:num>
  <w:num w:numId="28">
    <w:abstractNumId w:val="22"/>
  </w:num>
  <w:num w:numId="29">
    <w:abstractNumId w:val="45"/>
  </w:num>
  <w:num w:numId="30">
    <w:abstractNumId w:val="26"/>
  </w:num>
  <w:num w:numId="31">
    <w:abstractNumId w:val="8"/>
  </w:num>
  <w:num w:numId="32">
    <w:abstractNumId w:val="57"/>
  </w:num>
  <w:num w:numId="33">
    <w:abstractNumId w:val="6"/>
  </w:num>
  <w:num w:numId="34">
    <w:abstractNumId w:val="38"/>
  </w:num>
  <w:num w:numId="35">
    <w:abstractNumId w:val="43"/>
  </w:num>
  <w:num w:numId="36">
    <w:abstractNumId w:val="82"/>
  </w:num>
  <w:num w:numId="37">
    <w:abstractNumId w:val="37"/>
  </w:num>
  <w:num w:numId="38">
    <w:abstractNumId w:val="25"/>
  </w:num>
  <w:num w:numId="39">
    <w:abstractNumId w:val="48"/>
  </w:num>
  <w:num w:numId="40">
    <w:abstractNumId w:val="0"/>
  </w:num>
  <w:num w:numId="41">
    <w:abstractNumId w:val="28"/>
  </w:num>
  <w:num w:numId="42">
    <w:abstractNumId w:val="51"/>
  </w:num>
  <w:num w:numId="43">
    <w:abstractNumId w:val="4"/>
  </w:num>
  <w:num w:numId="44">
    <w:abstractNumId w:val="29"/>
  </w:num>
  <w:num w:numId="45">
    <w:abstractNumId w:val="19"/>
  </w:num>
  <w:num w:numId="46">
    <w:abstractNumId w:val="56"/>
  </w:num>
  <w:num w:numId="47">
    <w:abstractNumId w:val="41"/>
  </w:num>
  <w:num w:numId="48">
    <w:abstractNumId w:val="21"/>
  </w:num>
  <w:num w:numId="49">
    <w:abstractNumId w:val="34"/>
  </w:num>
  <w:num w:numId="50">
    <w:abstractNumId w:val="30"/>
  </w:num>
  <w:num w:numId="51">
    <w:abstractNumId w:val="31"/>
  </w:num>
  <w:num w:numId="52">
    <w:abstractNumId w:val="81"/>
  </w:num>
  <w:num w:numId="53">
    <w:abstractNumId w:val="47"/>
  </w:num>
  <w:num w:numId="54">
    <w:abstractNumId w:val="3"/>
  </w:num>
  <w:num w:numId="55">
    <w:abstractNumId w:val="59"/>
  </w:num>
  <w:num w:numId="56">
    <w:abstractNumId w:val="14"/>
  </w:num>
  <w:num w:numId="57">
    <w:abstractNumId w:val="12"/>
  </w:num>
  <w:num w:numId="58">
    <w:abstractNumId w:val="15"/>
  </w:num>
  <w:num w:numId="59">
    <w:abstractNumId w:val="42"/>
  </w:num>
  <w:num w:numId="60">
    <w:abstractNumId w:val="27"/>
  </w:num>
  <w:num w:numId="61">
    <w:abstractNumId w:val="5"/>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8"/>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7"/>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4A3A51"/>
    <w:rsid w:val="01364432"/>
    <w:rsid w:val="014A7BF5"/>
    <w:rsid w:val="01523B8E"/>
    <w:rsid w:val="01E60817"/>
    <w:rsid w:val="02300221"/>
    <w:rsid w:val="039609ED"/>
    <w:rsid w:val="04D2008E"/>
    <w:rsid w:val="04D816C3"/>
    <w:rsid w:val="05565D4D"/>
    <w:rsid w:val="05B13AAC"/>
    <w:rsid w:val="05E05E4D"/>
    <w:rsid w:val="06420CFA"/>
    <w:rsid w:val="06503B59"/>
    <w:rsid w:val="06712A61"/>
    <w:rsid w:val="06A94C18"/>
    <w:rsid w:val="0724380B"/>
    <w:rsid w:val="0752555A"/>
    <w:rsid w:val="07AE680B"/>
    <w:rsid w:val="07E45984"/>
    <w:rsid w:val="080207C9"/>
    <w:rsid w:val="0828699A"/>
    <w:rsid w:val="08A15B63"/>
    <w:rsid w:val="097E3F67"/>
    <w:rsid w:val="0A062582"/>
    <w:rsid w:val="0A1347F5"/>
    <w:rsid w:val="0A2A32B9"/>
    <w:rsid w:val="0B1123F1"/>
    <w:rsid w:val="0B8E27E3"/>
    <w:rsid w:val="0BC72E38"/>
    <w:rsid w:val="0BF71AE2"/>
    <w:rsid w:val="0C802D9B"/>
    <w:rsid w:val="0C886927"/>
    <w:rsid w:val="0CA6603D"/>
    <w:rsid w:val="0CEA2CB6"/>
    <w:rsid w:val="0CEC6B3F"/>
    <w:rsid w:val="0D0B1B00"/>
    <w:rsid w:val="0E4A4B6F"/>
    <w:rsid w:val="0EAE473F"/>
    <w:rsid w:val="0EBA5825"/>
    <w:rsid w:val="0EF65480"/>
    <w:rsid w:val="0F8F5F2E"/>
    <w:rsid w:val="102913D8"/>
    <w:rsid w:val="10E7087B"/>
    <w:rsid w:val="10FA5463"/>
    <w:rsid w:val="11BA058F"/>
    <w:rsid w:val="12081858"/>
    <w:rsid w:val="12B62B3B"/>
    <w:rsid w:val="13031153"/>
    <w:rsid w:val="13181417"/>
    <w:rsid w:val="136237F7"/>
    <w:rsid w:val="149038EF"/>
    <w:rsid w:val="14C57FED"/>
    <w:rsid w:val="150C5665"/>
    <w:rsid w:val="154341D9"/>
    <w:rsid w:val="15C56302"/>
    <w:rsid w:val="160940BB"/>
    <w:rsid w:val="1659752C"/>
    <w:rsid w:val="16924CD6"/>
    <w:rsid w:val="16E43A7F"/>
    <w:rsid w:val="17544FCC"/>
    <w:rsid w:val="185A3DA1"/>
    <w:rsid w:val="196B10AE"/>
    <w:rsid w:val="19816210"/>
    <w:rsid w:val="198C4B50"/>
    <w:rsid w:val="19F13F4F"/>
    <w:rsid w:val="1A102675"/>
    <w:rsid w:val="1B280245"/>
    <w:rsid w:val="1BBE4697"/>
    <w:rsid w:val="1C9910FA"/>
    <w:rsid w:val="1CE25AAD"/>
    <w:rsid w:val="1D2C4692"/>
    <w:rsid w:val="1D3C4AE8"/>
    <w:rsid w:val="1D552DD9"/>
    <w:rsid w:val="1DAB6D83"/>
    <w:rsid w:val="1DBE6660"/>
    <w:rsid w:val="1E3173A3"/>
    <w:rsid w:val="1EE3542A"/>
    <w:rsid w:val="1F0F5A19"/>
    <w:rsid w:val="1F1D6E1F"/>
    <w:rsid w:val="1F3E7F7D"/>
    <w:rsid w:val="1F51312D"/>
    <w:rsid w:val="1FC9553A"/>
    <w:rsid w:val="204D3B12"/>
    <w:rsid w:val="205A2AB3"/>
    <w:rsid w:val="20B6224D"/>
    <w:rsid w:val="21025026"/>
    <w:rsid w:val="2264177A"/>
    <w:rsid w:val="22A04AF7"/>
    <w:rsid w:val="22D3594B"/>
    <w:rsid w:val="22F12819"/>
    <w:rsid w:val="23663115"/>
    <w:rsid w:val="23753F06"/>
    <w:rsid w:val="238E1AAE"/>
    <w:rsid w:val="24345B9A"/>
    <w:rsid w:val="24631635"/>
    <w:rsid w:val="2483647E"/>
    <w:rsid w:val="256D2925"/>
    <w:rsid w:val="256F076F"/>
    <w:rsid w:val="264616F6"/>
    <w:rsid w:val="2658423F"/>
    <w:rsid w:val="26820AF7"/>
    <w:rsid w:val="26966D40"/>
    <w:rsid w:val="272F4BA3"/>
    <w:rsid w:val="28355CE1"/>
    <w:rsid w:val="2896418A"/>
    <w:rsid w:val="292668E3"/>
    <w:rsid w:val="295B0F72"/>
    <w:rsid w:val="2A1B5D68"/>
    <w:rsid w:val="2A5975B6"/>
    <w:rsid w:val="2A991D32"/>
    <w:rsid w:val="2AB92324"/>
    <w:rsid w:val="2AD6555A"/>
    <w:rsid w:val="2B376BE0"/>
    <w:rsid w:val="2B9C273E"/>
    <w:rsid w:val="2C1B1E9D"/>
    <w:rsid w:val="2CAB68C5"/>
    <w:rsid w:val="2D4534B3"/>
    <w:rsid w:val="2E924590"/>
    <w:rsid w:val="2EB010D2"/>
    <w:rsid w:val="2EBC6D03"/>
    <w:rsid w:val="2ED538EA"/>
    <w:rsid w:val="2F1F666C"/>
    <w:rsid w:val="2F224A2D"/>
    <w:rsid w:val="2F8829CF"/>
    <w:rsid w:val="2F9A1972"/>
    <w:rsid w:val="2FD32A37"/>
    <w:rsid w:val="304A0827"/>
    <w:rsid w:val="30551FFC"/>
    <w:rsid w:val="311F702A"/>
    <w:rsid w:val="31A82883"/>
    <w:rsid w:val="320E3E15"/>
    <w:rsid w:val="32273A3F"/>
    <w:rsid w:val="32430FFB"/>
    <w:rsid w:val="32C937E9"/>
    <w:rsid w:val="32CC28B5"/>
    <w:rsid w:val="331243AC"/>
    <w:rsid w:val="333F6AA7"/>
    <w:rsid w:val="33BB6643"/>
    <w:rsid w:val="34246720"/>
    <w:rsid w:val="3480359E"/>
    <w:rsid w:val="34BE4ED5"/>
    <w:rsid w:val="35476F5E"/>
    <w:rsid w:val="3602513D"/>
    <w:rsid w:val="36631FD8"/>
    <w:rsid w:val="36E72D9B"/>
    <w:rsid w:val="379F2ED6"/>
    <w:rsid w:val="37CA172C"/>
    <w:rsid w:val="38071350"/>
    <w:rsid w:val="38224FD0"/>
    <w:rsid w:val="38696564"/>
    <w:rsid w:val="399E5100"/>
    <w:rsid w:val="3A3E2041"/>
    <w:rsid w:val="3A8A399F"/>
    <w:rsid w:val="3ACA3857"/>
    <w:rsid w:val="3AE648F4"/>
    <w:rsid w:val="3B131EF6"/>
    <w:rsid w:val="3B335B15"/>
    <w:rsid w:val="3B490D86"/>
    <w:rsid w:val="3B7B1BAC"/>
    <w:rsid w:val="3C2F2290"/>
    <w:rsid w:val="3CCF005B"/>
    <w:rsid w:val="3EA67C14"/>
    <w:rsid w:val="3EAD1B36"/>
    <w:rsid w:val="3EE91061"/>
    <w:rsid w:val="3F056B9E"/>
    <w:rsid w:val="3F2B4582"/>
    <w:rsid w:val="3F354A62"/>
    <w:rsid w:val="3FCF2C51"/>
    <w:rsid w:val="3FF54C55"/>
    <w:rsid w:val="406370BC"/>
    <w:rsid w:val="40FB7670"/>
    <w:rsid w:val="418E2306"/>
    <w:rsid w:val="41B60000"/>
    <w:rsid w:val="42214ECB"/>
    <w:rsid w:val="423C06E2"/>
    <w:rsid w:val="42815397"/>
    <w:rsid w:val="428C1C6D"/>
    <w:rsid w:val="42C94634"/>
    <w:rsid w:val="44366C11"/>
    <w:rsid w:val="44D54A97"/>
    <w:rsid w:val="451B0CEB"/>
    <w:rsid w:val="45540446"/>
    <w:rsid w:val="45BB5620"/>
    <w:rsid w:val="45F127ED"/>
    <w:rsid w:val="46263D02"/>
    <w:rsid w:val="4661153E"/>
    <w:rsid w:val="46CD66A0"/>
    <w:rsid w:val="46EE732F"/>
    <w:rsid w:val="470F6166"/>
    <w:rsid w:val="472803B7"/>
    <w:rsid w:val="47E01722"/>
    <w:rsid w:val="47F707A5"/>
    <w:rsid w:val="488B59A4"/>
    <w:rsid w:val="494502E1"/>
    <w:rsid w:val="4A3D69E6"/>
    <w:rsid w:val="4A7F0ADF"/>
    <w:rsid w:val="4AA612F0"/>
    <w:rsid w:val="4B0D3113"/>
    <w:rsid w:val="4C6B0DDA"/>
    <w:rsid w:val="4C6E1306"/>
    <w:rsid w:val="4D3420A6"/>
    <w:rsid w:val="4E186164"/>
    <w:rsid w:val="4E2F1033"/>
    <w:rsid w:val="4E8274B0"/>
    <w:rsid w:val="4EFC1B31"/>
    <w:rsid w:val="4F2836A5"/>
    <w:rsid w:val="4FB3106D"/>
    <w:rsid w:val="4FE41420"/>
    <w:rsid w:val="4FF363B3"/>
    <w:rsid w:val="501216FC"/>
    <w:rsid w:val="502B7791"/>
    <w:rsid w:val="50820134"/>
    <w:rsid w:val="50A826D3"/>
    <w:rsid w:val="50B73634"/>
    <w:rsid w:val="51504FE6"/>
    <w:rsid w:val="5171018C"/>
    <w:rsid w:val="544A254F"/>
    <w:rsid w:val="54E91D9C"/>
    <w:rsid w:val="5552562C"/>
    <w:rsid w:val="55A47BB4"/>
    <w:rsid w:val="574152BE"/>
    <w:rsid w:val="5743190D"/>
    <w:rsid w:val="57BB6218"/>
    <w:rsid w:val="57FF3AAA"/>
    <w:rsid w:val="58473133"/>
    <w:rsid w:val="585F1E3B"/>
    <w:rsid w:val="58DD2EEE"/>
    <w:rsid w:val="58E96C7A"/>
    <w:rsid w:val="58EA6DE6"/>
    <w:rsid w:val="594363F4"/>
    <w:rsid w:val="59AD3C67"/>
    <w:rsid w:val="5B0D630F"/>
    <w:rsid w:val="5B241904"/>
    <w:rsid w:val="5C3C3DDC"/>
    <w:rsid w:val="5C57586C"/>
    <w:rsid w:val="5D160516"/>
    <w:rsid w:val="5D522EBB"/>
    <w:rsid w:val="5D7D0F36"/>
    <w:rsid w:val="5DB61BFF"/>
    <w:rsid w:val="5DEF454B"/>
    <w:rsid w:val="5E5A6C63"/>
    <w:rsid w:val="5F3C6712"/>
    <w:rsid w:val="5F4B58F3"/>
    <w:rsid w:val="600944B7"/>
    <w:rsid w:val="6053481F"/>
    <w:rsid w:val="606E0DED"/>
    <w:rsid w:val="60AB2000"/>
    <w:rsid w:val="60DD4245"/>
    <w:rsid w:val="610129B1"/>
    <w:rsid w:val="61467856"/>
    <w:rsid w:val="61CF0031"/>
    <w:rsid w:val="61D85325"/>
    <w:rsid w:val="627961EF"/>
    <w:rsid w:val="62860AAA"/>
    <w:rsid w:val="628B7CEE"/>
    <w:rsid w:val="629D5796"/>
    <w:rsid w:val="631E2633"/>
    <w:rsid w:val="63B827D9"/>
    <w:rsid w:val="65031145"/>
    <w:rsid w:val="657A160B"/>
    <w:rsid w:val="65BD14AB"/>
    <w:rsid w:val="65F45672"/>
    <w:rsid w:val="671E2162"/>
    <w:rsid w:val="67220BBC"/>
    <w:rsid w:val="686D3132"/>
    <w:rsid w:val="68B52B6C"/>
    <w:rsid w:val="68D8721E"/>
    <w:rsid w:val="691C3E85"/>
    <w:rsid w:val="69426738"/>
    <w:rsid w:val="6AAB651D"/>
    <w:rsid w:val="6B610D05"/>
    <w:rsid w:val="6BAC21D5"/>
    <w:rsid w:val="6C346FAF"/>
    <w:rsid w:val="6CA870E8"/>
    <w:rsid w:val="6CED1CB3"/>
    <w:rsid w:val="6D3B42C3"/>
    <w:rsid w:val="6DB537BF"/>
    <w:rsid w:val="6E363298"/>
    <w:rsid w:val="6E7E575F"/>
    <w:rsid w:val="6EA168B3"/>
    <w:rsid w:val="6EED6848"/>
    <w:rsid w:val="6EF15941"/>
    <w:rsid w:val="6EF202A0"/>
    <w:rsid w:val="6EF35012"/>
    <w:rsid w:val="6F767F85"/>
    <w:rsid w:val="6F9921A1"/>
    <w:rsid w:val="6FB83EF3"/>
    <w:rsid w:val="70577721"/>
    <w:rsid w:val="71390126"/>
    <w:rsid w:val="71BD3536"/>
    <w:rsid w:val="72B70D3F"/>
    <w:rsid w:val="72F93A1D"/>
    <w:rsid w:val="73396984"/>
    <w:rsid w:val="73407EBD"/>
    <w:rsid w:val="739801A3"/>
    <w:rsid w:val="73BA5D51"/>
    <w:rsid w:val="73EB3796"/>
    <w:rsid w:val="73EF4563"/>
    <w:rsid w:val="74154C2C"/>
    <w:rsid w:val="74175679"/>
    <w:rsid w:val="744124AA"/>
    <w:rsid w:val="74664F47"/>
    <w:rsid w:val="74DB42C2"/>
    <w:rsid w:val="77E0572E"/>
    <w:rsid w:val="77ED4104"/>
    <w:rsid w:val="78880C84"/>
    <w:rsid w:val="788C079B"/>
    <w:rsid w:val="78EF4372"/>
    <w:rsid w:val="79771B00"/>
    <w:rsid w:val="7980282D"/>
    <w:rsid w:val="798F6426"/>
    <w:rsid w:val="79BE73AC"/>
    <w:rsid w:val="79E60E88"/>
    <w:rsid w:val="7A5C2227"/>
    <w:rsid w:val="7AA23F36"/>
    <w:rsid w:val="7ACA272A"/>
    <w:rsid w:val="7B0E7C70"/>
    <w:rsid w:val="7B76487B"/>
    <w:rsid w:val="7B797C23"/>
    <w:rsid w:val="7C0C5586"/>
    <w:rsid w:val="7CF24824"/>
    <w:rsid w:val="7D376ADD"/>
    <w:rsid w:val="7E6F339A"/>
    <w:rsid w:val="7E810662"/>
    <w:rsid w:val="7EE27429"/>
    <w:rsid w:val="7F590AE3"/>
    <w:rsid w:val="7F915F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3"/>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标题 3 Char"/>
    <w:link w:val="4"/>
    <w:uiPriority w:val="0"/>
    <w:rPr>
      <w:rFonts w:hAnsi="Calibri" w:eastAsia="宋体"/>
      <w:b/>
      <w:sz w:val="24"/>
    </w:rPr>
  </w:style>
  <w:style w:type="character" w:customStyle="1" w:styleId="21">
    <w:name w:val="标题 1 Char"/>
    <w:link w:val="2"/>
    <w:uiPriority w:val="0"/>
    <w:rPr>
      <w:rFonts w:eastAsia="宋体"/>
      <w:b/>
      <w:kern w:val="44"/>
      <w:sz w:val="44"/>
    </w:rPr>
  </w:style>
  <w:style w:type="character" w:customStyle="1" w:styleId="22">
    <w:name w:val="批注框文本 Char"/>
    <w:link w:val="6"/>
    <w:uiPriority w:val="0"/>
    <w:rPr>
      <w:rFonts w:ascii="Calibri" w:hAnsi="Calibri" w:cs="黑体"/>
      <w:kern w:val="2"/>
      <w:sz w:val="18"/>
      <w:szCs w:val="18"/>
    </w:rPr>
  </w:style>
  <w:style w:type="character" w:customStyle="1" w:styleId="23">
    <w:name w:val="标题 2 Char"/>
    <w:link w:val="3"/>
    <w:uiPriority w:val="0"/>
    <w:rPr>
      <w:rFonts w:ascii="Arial" w:hAnsi="Arial" w:eastAsia="宋体"/>
      <w:b/>
      <w:sz w:val="24"/>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35524</Words>
  <Characters>37305</Characters>
  <Lines>210</Lines>
  <Paragraphs>59</Paragraphs>
  <TotalTime>1</TotalTime>
  <ScaleCrop>false</ScaleCrop>
  <LinksUpToDate>false</LinksUpToDate>
  <CharactersWithSpaces>37535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2025-03-24T05:45:43Z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y fmtid="{D5CDD505-2E9C-101B-9397-08002B2CF9AE}" pid="4" name="KSOTemplateDocerSaveRecord">
    <vt:lpwstr>eyJoZGlkIjoiMGRhYjRlZDVkMGNhZWM2ZDc0NWIwYmZiZDBhZDllMzMiLCJ1c2VySWQiOiIyNjQ1NjIxNDcifQ==</vt:lpwstr>
  </property>
</Properties>
</file>