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  <w:lang w:eastAsia="zh-CN"/>
        </w:rPr>
        <w:t>杭银理财幸福99添益（安享优选）182天周期型理财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/>
        </w:rPr>
        <w:t>产品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为满足投资者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杭银理财幸福99添益（安享优选）182天周期型理财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的产品费用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w="8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费用类型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说明书约定的费率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调整后的费率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color w:val="33333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生效日</w:t>
            </w:r>
            <w:r>
              <w:rPr>
                <w:rFonts w:hint="eastAsia" w:ascii="仿宋_GB2312" w:hAnsi="仿宋_GB2312" w:eastAsia="仿宋_GB2312" w:cs="仿宋_GB2312"/>
                <w:color w:val="333333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color w:val="333333"/>
                <w:lang w:eastAsia="zh-CN"/>
              </w:rPr>
              <w:t>）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color w:val="33333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结束日</w:t>
            </w:r>
            <w:r>
              <w:rPr>
                <w:rFonts w:hint="eastAsia" w:ascii="仿宋_GB2312" w:hAnsi="仿宋_GB2312" w:eastAsia="仿宋_GB2312" w:cs="仿宋_GB2312"/>
                <w:color w:val="333333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lang w:val="en-US"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TYG182D02</w:t>
            </w:r>
          </w:p>
        </w:tc>
        <w:tc>
          <w:tcPr>
            <w:tcW w:w="1445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固定管理费</w:t>
            </w:r>
          </w:p>
        </w:tc>
        <w:tc>
          <w:tcPr>
            <w:tcW w:w="137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0.40%</w:t>
            </w:r>
          </w:p>
        </w:tc>
        <w:tc>
          <w:tcPr>
            <w:tcW w:w="138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0.20%</w:t>
            </w:r>
          </w:p>
        </w:tc>
        <w:tc>
          <w:tcPr>
            <w:tcW w:w="1446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2025-04-01</w:t>
            </w:r>
          </w:p>
        </w:tc>
        <w:tc>
          <w:tcPr>
            <w:tcW w:w="1513" w:type="dxa"/>
            <w:vAlign w:val="center"/>
          </w:tcPr>
          <w:p>
            <w:pPr>
              <w:pStyle w:val="7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2025-06-30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感谢您一直以来对杭银理财的支持，敬请继续关注杭银理财的理财产品。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ascii="仿宋_GB2312" w:hAnsi="仿宋_GB2312" w:eastAsia="仿宋_GB2312" w:cs="仿宋_GB2312"/>
          <w:color w:val="0000FF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2025年3月21日</w:t>
      </w:r>
    </w:p>
    <w:p>
      <w:pPr>
        <w:widowControl/>
        <w:jc w:val="both"/>
      </w:pPr>
      <w:bookmarkStart w:id="0" w:name="_GoBack"/>
      <w:bookmarkEnd w:id="0"/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2022-08-17T22:47:00Z</dcterms:created>
  <dc:creator>Administrator</dc:creator>
  <cp:lastModifiedBy>qiaoshiyang</cp:lastModifiedBy>
  <dcterms:modified xsi:type="dcterms:W3CDTF">2025-03-10T13:35:34Z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