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
    <w:p/>
    <w:p/>
    <w:p/>
    <w:p/>
    <w:p/>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杭银理财幸福99添益</w:t>
      </w:r>
      <w:r>
        <w:rPr>
          <w:rFonts w:hint="eastAsia" w:ascii="宋体" w:hAnsi="宋体" w:cs="宋体"/>
          <w:b/>
          <w:bCs/>
          <w:sz w:val="44"/>
          <w:szCs w:val="44"/>
          <w:highlight w:val="none"/>
          <w:lang w:eastAsia="zh-CN"/>
        </w:rPr>
        <w:t>（安享优选）</w:t>
      </w:r>
      <w:r>
        <w:rPr>
          <w:rFonts w:hint="eastAsia" w:ascii="宋体" w:hAnsi="宋体" w:cs="宋体"/>
          <w:b/>
          <w:bCs/>
          <w:sz w:val="44"/>
          <w:szCs w:val="44"/>
          <w:highlight w:val="none"/>
          <w:lang w:val="en-US" w:eastAsia="zh-CN"/>
        </w:rPr>
        <w:t>7</w:t>
      </w:r>
      <w:r>
        <w:rPr>
          <w:rFonts w:hint="eastAsia" w:ascii="宋体" w:hAnsi="宋体" w:cs="宋体"/>
          <w:b/>
          <w:bCs/>
          <w:sz w:val="44"/>
          <w:szCs w:val="44"/>
          <w:highlight w:val="none"/>
          <w:lang w:eastAsia="zh-CN"/>
        </w:rPr>
        <w:t>天</w:t>
      </w:r>
      <w:r>
        <w:rPr>
          <w:rFonts w:hint="eastAsia" w:ascii="宋体" w:hAnsi="宋体" w:eastAsia="宋体" w:cs="宋体"/>
          <w:b/>
          <w:bCs/>
          <w:sz w:val="44"/>
          <w:szCs w:val="44"/>
          <w:highlight w:val="none"/>
        </w:rPr>
        <w:t>持有期理财合同</w:t>
      </w: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32"/>
          <w:szCs w:val="32"/>
          <w:highlight w:val="none"/>
        </w:rPr>
      </w:pPr>
      <w:r>
        <w:rPr>
          <w:rFonts w:hint="eastAsia" w:ascii="宋体" w:hAnsi="宋体" w:cs="宋体"/>
          <w:sz w:val="32"/>
          <w:szCs w:val="32"/>
          <w:highlight w:val="none"/>
        </w:rPr>
        <w:t>理财计划管理人：杭银理财有限责任公司</w:t>
      </w:r>
    </w:p>
    <w:p>
      <w:pPr>
        <w:jc w:val="center"/>
        <w:rPr>
          <w:rFonts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rPr>
          <w:rFonts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outlineLvl w:val="9"/>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杭银理财幸福99添益</w:t>
      </w:r>
      <w:r>
        <w:rPr>
          <w:rFonts w:hint="eastAsia" w:ascii="宋体" w:hAnsi="宋体" w:cs="宋体"/>
          <w:b/>
          <w:bCs/>
          <w:sz w:val="44"/>
          <w:szCs w:val="44"/>
          <w:highlight w:val="none"/>
          <w:lang w:eastAsia="zh-CN"/>
        </w:rPr>
        <w:t>（安享优选）7天持有期理财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0"/>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杭银理财幸福99添益（安享优选）7天持有期理财风险揭示书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杭银理财幸福99添益（安享优选）7天持有期理财产品说明书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b/>
          <w:bCs/>
          <w:sz w:val="44"/>
          <w:szCs w:val="44"/>
          <w:highlight w:val="none"/>
        </w:rPr>
      </w:pPr>
    </w:p>
    <w:p>
      <w:pPr>
        <w:pStyle w:val="2"/>
        <w:bidi w:val="0"/>
        <w:outlineLvl w:val="9"/>
        <w:rPr>
          <w:rFonts w:hint="eastAsia"/>
          <w:highlight w:val="none"/>
        </w:rPr>
      </w:pPr>
      <w:r>
        <w:rPr>
          <w:rFonts w:hint="eastAsia" w:ascii="宋体" w:hAnsi="宋体" w:eastAsia="宋体" w:cs="宋体"/>
          <w:b/>
          <w:highlight w:val="none"/>
        </w:rPr>
        <w:t>杭银理财幸福99</w:t>
      </w:r>
      <w:r>
        <w:rPr>
          <w:rFonts w:hint="eastAsia" w:ascii="宋体" w:hAnsi="宋体" w:eastAsia="宋体" w:cs="宋体"/>
          <w:b/>
          <w:highlight w:val="none"/>
          <w:lang w:val="en-US" w:eastAsia="zh-CN"/>
        </w:rPr>
        <w:t>添益</w:t>
      </w:r>
      <w:r>
        <w:rPr>
          <w:rFonts w:hint="eastAsia" w:ascii="宋体" w:hAnsi="宋体" w:cs="宋体"/>
          <w:b/>
          <w:highlight w:val="none"/>
          <w:lang w:val="en-US" w:eastAsia="zh-CN"/>
        </w:rPr>
        <w:t>（安享优选）7天</w:t>
      </w:r>
      <w:r>
        <w:rPr>
          <w:rFonts w:hint="eastAsia" w:ascii="宋体" w:hAnsi="宋体" w:eastAsia="宋体" w:cs="宋体"/>
          <w:b/>
          <w:highlight w:val="none"/>
          <w:lang w:val="en-US" w:eastAsia="zh-CN"/>
        </w:rPr>
        <w:t>持有期理财</w:t>
      </w:r>
      <w:r>
        <w:rPr>
          <w:rFonts w:hint="eastAsia" w:ascii="宋体" w:hAnsi="宋体" w:eastAsia="宋体" w:cs="宋体"/>
          <w:b/>
          <w:highlight w:val="none"/>
        </w:rPr>
        <w:t>风险揭示书</w:t>
      </w:r>
    </w:p>
    <w:p>
      <w:pPr>
        <w:jc w:val="center"/>
        <w:rPr>
          <w:rFonts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left"/>
        <w:rPr>
          <w:rFonts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val="en-US" w:eastAsia="zh-CN"/>
        </w:rPr>
        <w:t>理财计划</w:t>
      </w:r>
      <w:r>
        <w:rPr>
          <w:rFonts w:hint="eastAsia" w:ascii="宋体" w:hAnsi="宋体" w:cs="宋体"/>
          <w:bCs/>
          <w:sz w:val="24"/>
          <w:highlight w:val="none"/>
        </w:rPr>
        <w:t>风险揭示书、理财计划说明书、投资者权益须知、理财计划投资协议书和理财计划销售协议书，若通过电子渠道购买的，成功交易后视同为投资者与管理人已完成理财计划交易合同的签订），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rPr>
          <w:rFonts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lang w:val="en-US" w:eastAsia="zh-CN"/>
        </w:rPr>
        <w:t>终止</w:t>
      </w:r>
      <w:r>
        <w:rPr>
          <w:rFonts w:hint="eastAsia" w:ascii="宋体" w:hAnsi="宋体" w:cs="宋体"/>
          <w:b/>
          <w:sz w:val="24"/>
          <w:highlight w:val="none"/>
        </w:rPr>
        <w:t>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w:t>
      </w:r>
      <w:r>
        <w:rPr>
          <w:rFonts w:hint="eastAsia" w:ascii="宋体" w:hAnsi="宋体" w:cs="宋体"/>
          <w:b/>
          <w:sz w:val="24"/>
          <w:highlight w:val="none"/>
          <w:lang w:val="en-US" w:eastAsia="zh-CN"/>
        </w:rPr>
        <w:t>兑付</w:t>
      </w:r>
      <w:r>
        <w:rPr>
          <w:rFonts w:hint="eastAsia" w:ascii="宋体" w:hAnsi="宋体" w:cs="宋体"/>
          <w:b/>
          <w:sz w:val="24"/>
          <w:highlight w:val="none"/>
        </w:rPr>
        <w:t>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信息传递风险：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ascii="宋体" w:hAnsi="宋体" w:cs="宋体"/>
          <w:b/>
          <w:sz w:val="24"/>
          <w:highlight w:val="none"/>
          <w:lang w:val="en-US" w:eastAsia="zh-CN"/>
        </w:rPr>
        <w:t>理</w:t>
      </w:r>
      <w:r>
        <w:rPr>
          <w:rFonts w:hint="eastAsia" w:ascii="宋体" w:hAnsi="宋体" w:cs="宋体"/>
          <w:b/>
          <w:sz w:val="24"/>
          <w:highlight w:val="none"/>
        </w:rPr>
        <w:t>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代销风险：本理财计划通过代销渠道销售，投资者认/申购理财计划的资金由销售机构从投资者资金账户扣收；理财计划到期/赎回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lang w:val="en-US" w:eastAsia="zh-CN"/>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ind w:firstLine="482" w:firstLineChars="200"/>
        <w:jc w:val="left"/>
        <w:outlineLvl w:val="9"/>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jc w:val="left"/>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ascii="宋体" w:hAnsi="宋体" w:cs="宋体"/>
          <w:b/>
          <w:sz w:val="24"/>
          <w:highlight w:val="none"/>
        </w:rPr>
      </w:pPr>
      <w:r>
        <w:rPr>
          <w:rFonts w:hint="eastAsia" w:ascii="宋体" w:hAnsi="宋体" w:cs="宋体"/>
          <w:b/>
          <w:sz w:val="24"/>
          <w:highlight w:val="none"/>
          <w:lang w:val="en-US" w:eastAsia="zh-CN"/>
        </w:rPr>
        <w:t>国内上市优先股资产风险：本理财计划所投优先股资产，由于受到发行人的经营状况、信用评级下降或资产交易市场不活跃等因素的影响，存在因市场风险、信用风险、流动性风险等引起的资产价值波动，</w:t>
      </w:r>
      <w:r>
        <w:rPr>
          <w:rFonts w:hint="eastAsia" w:ascii="宋体" w:hAnsi="宋体" w:cs="宋体"/>
          <w:b/>
          <w:sz w:val="24"/>
          <w:highlight w:val="none"/>
        </w:rPr>
        <w:t>投资者的本金可能会出现损失。</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jc w:val="left"/>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rPr>
          <w:rFonts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rPr>
          <w:rFonts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rPr>
          <w:rFonts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本理财计划为公募、开放式、〖固定收益类〗净值型理财计划，〖无固定期限〗，不保证本金与收益。根据本公司理财产品内部风险评级，该理财计划风险评级结果为〖R2〗,〖中低〗风险</w:t>
      </w:r>
      <w:r>
        <w:rPr>
          <w:rFonts w:hint="eastAsia" w:ascii="宋体" w:hAnsi="宋体" w:cs="宋体"/>
          <w:bCs/>
          <w:sz w:val="24"/>
          <w:highlight w:val="none"/>
        </w:rPr>
        <w:t>（本风险等级为我公司内部风险评级结果，仅供参考</w:t>
      </w:r>
      <w:r>
        <w:rPr>
          <w:rFonts w:hint="eastAsia" w:ascii="宋体" w:hAnsi="宋体" w:cs="宋体"/>
          <w:b/>
          <w:sz w:val="24"/>
          <w:highlight w:val="none"/>
        </w:rPr>
        <w:t>，</w:t>
      </w:r>
      <w:r>
        <w:rPr>
          <w:rFonts w:hint="eastAsia" w:ascii="宋体" w:hAnsi="宋体" w:cs="宋体"/>
          <w:bCs/>
          <w:sz w:val="24"/>
          <w:highlight w:val="none"/>
        </w:rPr>
        <w:t>理财计划通过代理销售机构渠道销售的，理财计划产品评级应当以代理销售机构最终披露的评级结果为准），</w:t>
      </w:r>
      <w:r>
        <w:rPr>
          <w:rFonts w:hint="eastAsia" w:ascii="宋体" w:hAnsi="宋体" w:cs="宋体"/>
          <w:b/>
          <w:sz w:val="24"/>
          <w:highlight w:val="none"/>
        </w:rPr>
        <w:t>总体风险〖程度较低，收益波动较小，虽然存在一些可能对产品本金和收益安全产生不利影响的因素，但产品本金出现损失的可能性很小〗。</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rPr>
        <w:t>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rPr>
          <w:rFonts w:ascii="宋体" w:hAnsi="宋体" w:cs="宋体"/>
          <w:bCs/>
          <w:sz w:val="24"/>
          <w:highlight w:val="none"/>
        </w:rPr>
      </w:pPr>
    </w:p>
    <w:p>
      <w:pPr>
        <w:pStyle w:val="17"/>
        <w:spacing w:line="360" w:lineRule="auto"/>
        <w:jc w:val="center"/>
        <w:rPr>
          <w:rFonts w:hint="eastAsia" w:ascii="宋体" w:hAnsi="宋体" w:cs="宋体"/>
          <w:b/>
          <w:color w:val="auto"/>
          <w:highlight w:val="none"/>
        </w:rPr>
      </w:pPr>
    </w:p>
    <w:p>
      <w:pPr>
        <w:pStyle w:val="17"/>
        <w:spacing w:line="360" w:lineRule="auto"/>
        <w:jc w:val="center"/>
        <w:rPr>
          <w:rFonts w:hint="eastAsia" w:ascii="宋体" w:hAnsi="宋体" w:cs="宋体"/>
          <w:b/>
          <w:color w:val="auto"/>
          <w:highlight w:val="none"/>
        </w:rPr>
      </w:pPr>
    </w:p>
    <w:p>
      <w:pPr>
        <w:pStyle w:val="17"/>
        <w:spacing w:line="360" w:lineRule="auto"/>
        <w:jc w:val="center"/>
        <w:rPr>
          <w:rFonts w:hint="eastAsia" w:ascii="宋体" w:hAnsi="宋体" w:cs="宋体"/>
          <w:b/>
          <w:color w:val="auto"/>
          <w:highlight w:val="none"/>
        </w:rPr>
      </w:pPr>
    </w:p>
    <w:p>
      <w:pPr>
        <w:pStyle w:val="17"/>
        <w:spacing w:line="360" w:lineRule="auto"/>
        <w:jc w:val="center"/>
        <w:rPr>
          <w:rFonts w:hint="eastAsia" w:ascii="宋体" w:hAnsi="宋体" w:cs="宋体"/>
          <w:b/>
          <w:color w:val="auto"/>
          <w:highlight w:val="none"/>
        </w:rPr>
      </w:pPr>
    </w:p>
    <w:p>
      <w:pPr>
        <w:pStyle w:val="17"/>
        <w:spacing w:line="360" w:lineRule="auto"/>
        <w:jc w:val="center"/>
        <w:rPr>
          <w:rFonts w:hint="eastAsia" w:ascii="宋体" w:hAnsi="宋体" w:cs="宋体"/>
          <w:b/>
          <w:color w:val="auto"/>
          <w:highlight w:val="none"/>
        </w:rPr>
      </w:pPr>
    </w:p>
    <w:p>
      <w:pPr>
        <w:pStyle w:val="17"/>
        <w:spacing w:line="360" w:lineRule="auto"/>
        <w:jc w:val="center"/>
        <w:rPr>
          <w:rFonts w:hint="eastAsia" w:ascii="宋体" w:hAnsi="宋体" w:cs="宋体"/>
          <w:b/>
          <w:color w:val="auto"/>
          <w:highlight w:val="none"/>
        </w:rPr>
      </w:pPr>
    </w:p>
    <w:p>
      <w:pPr>
        <w:pStyle w:val="17"/>
        <w:spacing w:line="360" w:lineRule="auto"/>
        <w:jc w:val="center"/>
        <w:rPr>
          <w:rFonts w:hint="eastAsia" w:ascii="宋体" w:hAnsi="宋体" w:cs="宋体"/>
          <w:b/>
          <w:color w:val="auto"/>
          <w:highlight w:val="none"/>
        </w:rPr>
      </w:pPr>
    </w:p>
    <w:p>
      <w:pPr>
        <w:pStyle w:val="17"/>
        <w:spacing w:line="360" w:lineRule="auto"/>
        <w:jc w:val="center"/>
        <w:rPr>
          <w:rFonts w:hint="eastAsia" w:ascii="宋体" w:hAnsi="宋体" w:cs="宋体"/>
          <w:b/>
          <w:color w:val="auto"/>
          <w:highlight w:val="none"/>
        </w:rPr>
      </w:pPr>
    </w:p>
    <w:p>
      <w:pPr>
        <w:pStyle w:val="17"/>
        <w:spacing w:line="360" w:lineRule="auto"/>
        <w:jc w:val="center"/>
        <w:rPr>
          <w:rFonts w:hint="eastAsia" w:ascii="宋体" w:hAnsi="宋体" w:cs="宋体"/>
          <w:b/>
          <w:color w:val="auto"/>
          <w:highlight w:val="none"/>
        </w:rPr>
      </w:pPr>
    </w:p>
    <w:p>
      <w:pPr>
        <w:pStyle w:val="17"/>
        <w:spacing w:line="360" w:lineRule="auto"/>
        <w:jc w:val="center"/>
        <w:rPr>
          <w:rFonts w:hint="eastAsia" w:ascii="宋体" w:hAnsi="宋体" w:cs="宋体"/>
          <w:b/>
          <w:color w:val="auto"/>
          <w:highlight w:val="none"/>
        </w:rPr>
      </w:pPr>
    </w:p>
    <w:p>
      <w:pPr>
        <w:pStyle w:val="17"/>
        <w:spacing w:line="360" w:lineRule="auto"/>
        <w:jc w:val="center"/>
        <w:rPr>
          <w:rFonts w:hint="eastAsia" w:ascii="宋体" w:hAnsi="宋体" w:cs="宋体"/>
          <w:b/>
          <w:color w:val="auto"/>
          <w:highlight w:val="none"/>
        </w:rPr>
      </w:pPr>
    </w:p>
    <w:p>
      <w:pPr>
        <w:pStyle w:val="17"/>
        <w:spacing w:line="360" w:lineRule="auto"/>
        <w:jc w:val="center"/>
        <w:rPr>
          <w:rFonts w:hint="eastAsia" w:ascii="宋体" w:hAnsi="宋体" w:cs="宋体"/>
          <w:b/>
          <w:color w:val="auto"/>
          <w:highlight w:val="none"/>
        </w:rPr>
      </w:pPr>
    </w:p>
    <w:p>
      <w:pPr>
        <w:pStyle w:val="17"/>
        <w:spacing w:line="360" w:lineRule="auto"/>
        <w:jc w:val="center"/>
        <w:rPr>
          <w:rFonts w:hint="eastAsia" w:ascii="宋体" w:hAnsi="宋体" w:cs="宋体"/>
          <w:b/>
          <w:color w:val="auto"/>
          <w:highlight w:val="none"/>
        </w:rPr>
      </w:pPr>
    </w:p>
    <w:p>
      <w:pPr>
        <w:pStyle w:val="17"/>
        <w:spacing w:line="360" w:lineRule="auto"/>
        <w:jc w:val="center"/>
        <w:rPr>
          <w:rFonts w:hint="eastAsia" w:ascii="宋体" w:hAnsi="宋体" w:cs="宋体"/>
          <w:b/>
          <w:color w:val="auto"/>
          <w:highlight w:val="none"/>
        </w:rPr>
      </w:pPr>
    </w:p>
    <w:p>
      <w:pPr>
        <w:pStyle w:val="17"/>
        <w:spacing w:line="360" w:lineRule="auto"/>
        <w:jc w:val="center"/>
        <w:rPr>
          <w:rFonts w:hint="eastAsia" w:ascii="宋体" w:hAnsi="宋体" w:cs="宋体"/>
          <w:b/>
          <w:color w:val="auto"/>
          <w:highlight w:val="none"/>
        </w:rPr>
      </w:pPr>
    </w:p>
    <w:p>
      <w:pPr>
        <w:pStyle w:val="17"/>
        <w:spacing w:line="360" w:lineRule="auto"/>
        <w:jc w:val="both"/>
        <w:rPr>
          <w:rFonts w:hint="eastAsia" w:ascii="宋体" w:hAnsi="宋体" w:cs="宋体"/>
          <w:b/>
          <w:color w:val="auto"/>
          <w:highlight w:val="none"/>
        </w:rPr>
      </w:pPr>
    </w:p>
    <w:p>
      <w:pPr>
        <w:pStyle w:val="17"/>
        <w:spacing w:line="360" w:lineRule="auto"/>
        <w:jc w:val="center"/>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center"/>
        <w:rPr>
          <w:rFonts w:hint="eastAsia" w:ascii="宋体" w:hAnsi="宋体" w:cs="宋体"/>
          <w:b/>
          <w:color w:val="auto"/>
          <w:highlight w:val="none"/>
        </w:rPr>
      </w:pP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    如超过一年未进行风险承受能力评估或影响本人风险承受能力的因素发生变化，本人将于再次购买理财计划时及时完成风险承受能力评估。</w:t>
      </w:r>
    </w:p>
    <w:p>
      <w:pPr>
        <w:pStyle w:val="17"/>
        <w:spacing w:line="360" w:lineRule="auto"/>
        <w:jc w:val="both"/>
        <w:rPr>
          <w:rFonts w:hint="eastAsia" w:ascii="宋体" w:hAnsi="宋体" w:cs="宋体"/>
          <w:b/>
          <w:bCs/>
          <w:color w:val="auto"/>
          <w:highlight w:val="none"/>
          <w:u w:val="single"/>
        </w:rPr>
      </w:pPr>
      <w:r>
        <w:rPr>
          <w:rFonts w:hint="eastAsia" w:ascii="宋体" w:hAnsi="宋体" w:cs="宋体"/>
          <w:b/>
          <w:bCs/>
          <w:color w:val="auto"/>
          <w:highlight w:val="none"/>
          <w:u w:val="single"/>
        </w:rPr>
        <w:t xml:space="preserve">    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jc w:val="both"/>
        <w:rPr>
          <w:rFonts w:hint="eastAsia" w:ascii="宋体" w:hAnsi="宋体" w:cs="宋体"/>
          <w:b/>
          <w:bCs/>
          <w:color w:val="auto"/>
          <w:highlight w:val="none"/>
          <w:u w:val="single"/>
        </w:rPr>
      </w:pPr>
      <w:r>
        <w:rPr>
          <w:rFonts w:hint="eastAsia" w:ascii="宋体" w:hAnsi="宋体" w:cs="宋体"/>
          <w:b/>
          <w:bCs/>
          <w:color w:val="auto"/>
          <w:highlight w:val="none"/>
          <w:u w:val="single"/>
        </w:rPr>
        <w:t xml:space="preserve">    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 </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pStyle w:val="17"/>
        <w:spacing w:line="360" w:lineRule="auto"/>
        <w:jc w:val="center"/>
        <w:rPr>
          <w:rFonts w:hint="eastAsia" w:ascii="宋体" w:hAnsi="宋体" w:cs="宋体"/>
          <w:b/>
          <w:color w:val="auto"/>
          <w:highlight w:val="none"/>
        </w:rPr>
      </w:pPr>
    </w:p>
    <w:p>
      <w:pPr>
        <w:pStyle w:val="17"/>
        <w:spacing w:line="360" w:lineRule="auto"/>
        <w:jc w:val="center"/>
        <w:rPr>
          <w:rFonts w:hint="eastAsia" w:ascii="宋体" w:hAnsi="宋体" w:cs="宋体"/>
          <w:b/>
          <w:color w:val="auto"/>
          <w:highlight w:val="none"/>
        </w:rPr>
      </w:pPr>
    </w:p>
    <w:p>
      <w:pPr>
        <w:pStyle w:val="17"/>
        <w:spacing w:line="360" w:lineRule="auto"/>
        <w:jc w:val="center"/>
        <w:rPr>
          <w:rFonts w:hint="eastAsia" w:ascii="宋体" w:hAnsi="宋体" w:cs="宋体"/>
          <w:b/>
          <w:highlight w:val="none"/>
        </w:rPr>
      </w:pPr>
      <w:r>
        <w:rPr>
          <w:rFonts w:hint="eastAsia" w:ascii="宋体" w:hAnsi="宋体" w:cs="宋体"/>
          <w:b/>
          <w:color w:val="auto"/>
          <w:highlight w:val="none"/>
        </w:rPr>
        <w:t>投资者确认栏（机构投资者）</w:t>
      </w:r>
    </w:p>
    <w:p>
      <w:pPr>
        <w:pStyle w:val="17"/>
        <w:spacing w:line="360" w:lineRule="auto"/>
        <w:jc w:val="center"/>
        <w:rPr>
          <w:rFonts w:hint="eastAsia" w:ascii="宋体" w:hAnsi="宋体" w:cs="宋体"/>
          <w:b/>
          <w:highlight w:val="none"/>
        </w:rPr>
      </w:pPr>
    </w:p>
    <w:p>
      <w:pPr>
        <w:widowControl/>
        <w:spacing w:line="360" w:lineRule="auto"/>
        <w:contextualSpacing/>
        <w:outlineLvl w:val="9"/>
        <w:rPr>
          <w:rFonts w:hint="eastAsia" w:ascii="宋体" w:hAnsi="宋体" w:cs="宋体"/>
          <w:b/>
          <w:bCs/>
          <w:sz w:val="24"/>
          <w:highlight w:val="none"/>
        </w:rPr>
      </w:pPr>
      <w:r>
        <w:rPr>
          <w:rFonts w:hint="eastAsia" w:ascii="宋体" w:hAnsi="宋体" w:cs="宋体"/>
          <w:b/>
          <w:bCs/>
          <w:sz w:val="24"/>
          <w:highlight w:val="none"/>
        </w:rPr>
        <w:t xml:space="preserve">    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sz w:val="24"/>
          <w:highlight w:val="none"/>
          <w:u w:val="single"/>
        </w:rPr>
        <w:t>接受本风险揭示书及《理财计划产品说明书》《投资者权益须知》《理财计划投资协议书》《理财计划销售协议书》等本理财计划合同全部内容，</w:t>
      </w:r>
      <w:r>
        <w:rPr>
          <w:rFonts w:hint="eastAsia" w:ascii="宋体" w:hAnsi="宋体" w:cs="宋体"/>
          <w:b/>
          <w:bCs/>
          <w:sz w:val="24"/>
          <w:highlight w:val="none"/>
        </w:rPr>
        <w:t>自愿且有能力承担</w:t>
      </w:r>
      <w:r>
        <w:rPr>
          <w:rFonts w:hint="eastAsia" w:ascii="宋体" w:hAnsi="宋体" w:cs="宋体"/>
          <w:b/>
          <w:bCs/>
          <w:sz w:val="24"/>
          <w:highlight w:val="none"/>
          <w:u w:val="single"/>
        </w:rPr>
        <w:t>投资本理财计划的</w:t>
      </w:r>
      <w:r>
        <w:rPr>
          <w:rFonts w:hint="eastAsia" w:ascii="宋体" w:hAnsi="宋体" w:cs="宋体"/>
          <w:b/>
          <w:bCs/>
          <w:sz w:val="24"/>
          <w:highlight w:val="none"/>
        </w:rPr>
        <w:t>风险。</w:t>
      </w:r>
    </w:p>
    <w:p>
      <w:pPr>
        <w:widowControl/>
        <w:spacing w:line="360" w:lineRule="auto"/>
        <w:contextualSpacing/>
        <w:outlineLvl w:val="9"/>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b/>
          <w:bCs/>
          <w:sz w:val="24"/>
          <w:highlight w:val="none"/>
          <w:u w:val="single"/>
        </w:rPr>
        <w:t>本公司/单位</w:t>
      </w:r>
      <w:r>
        <w:rPr>
          <w:rFonts w:hint="eastAsia" w:ascii="宋体" w:hAnsi="宋体" w:cs="宋体"/>
          <w:b/>
          <w:bCs/>
          <w:sz w:val="24"/>
          <w:highlight w:val="none"/>
          <w:u w:val="single"/>
          <w:lang w:val="en-US" w:eastAsia="zh-CN"/>
        </w:rPr>
        <w:t>购买</w:t>
      </w:r>
      <w:r>
        <w:rPr>
          <w:rFonts w:hint="eastAsia" w:ascii="宋体" w:hAnsi="宋体" w:cs="宋体"/>
          <w:b/>
          <w:bCs/>
          <w:sz w:val="24"/>
          <w:highlight w:val="none"/>
          <w:u w:val="single"/>
        </w:rPr>
        <w:t>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widowControl/>
        <w:spacing w:line="360" w:lineRule="auto"/>
        <w:contextualSpacing/>
        <w:outlineLvl w:val="9"/>
        <w:rPr>
          <w:rFonts w:hint="eastAsia" w:ascii="宋体" w:hAnsi="宋体" w:cs="宋体"/>
          <w:sz w:val="24"/>
          <w:highlight w:val="none"/>
        </w:rPr>
      </w:pPr>
    </w:p>
    <w:p>
      <w:pPr>
        <w:widowControl/>
        <w:spacing w:line="360" w:lineRule="auto"/>
        <w:contextualSpacing/>
        <w:outlineLvl w:val="9"/>
        <w:rPr>
          <w:rFonts w:hint="eastAsia" w:ascii="宋体" w:hAnsi="宋体" w:cs="宋体"/>
          <w:sz w:val="24"/>
          <w:highlight w:val="none"/>
        </w:rPr>
      </w:pPr>
    </w:p>
    <w:p>
      <w:pPr>
        <w:widowControl/>
        <w:spacing w:line="360" w:lineRule="auto"/>
        <w:contextualSpacing/>
        <w:outlineLvl w:val="9"/>
        <w:rPr>
          <w:rFonts w:hint="eastAsia" w:ascii="宋体" w:hAnsi="宋体" w:cs="宋体"/>
          <w:kern w:val="0"/>
          <w:sz w:val="24"/>
          <w:highlight w:val="none"/>
        </w:rPr>
      </w:pPr>
      <w:r>
        <w:rPr>
          <w:rFonts w:hint="eastAsia" w:ascii="宋体" w:hAnsi="宋体" w:cs="宋体"/>
          <w:kern w:val="0"/>
          <w:sz w:val="24"/>
          <w:highlight w:val="none"/>
        </w:rPr>
        <w:t>投资者（公章）                          法定代表人或授权代理人（签章）</w:t>
      </w:r>
    </w:p>
    <w:p>
      <w:pPr>
        <w:widowControl/>
        <w:spacing w:line="360" w:lineRule="auto"/>
        <w:contextualSpacing/>
        <w:outlineLvl w:val="9"/>
        <w:rPr>
          <w:rFonts w:hint="eastAsia" w:ascii="宋体" w:hAnsi="宋体" w:cs="宋体"/>
          <w:kern w:val="0"/>
          <w:sz w:val="24"/>
          <w:highlight w:val="none"/>
        </w:rPr>
      </w:pPr>
    </w:p>
    <w:p>
      <w:pPr>
        <w:widowControl/>
        <w:spacing w:line="360" w:lineRule="auto"/>
        <w:contextualSpacing/>
        <w:outlineLvl w:val="9"/>
        <w:rPr>
          <w:rFonts w:hint="eastAsia" w:ascii="宋体" w:hAnsi="宋体" w:cs="宋体"/>
          <w:kern w:val="0"/>
          <w:sz w:val="24"/>
          <w:highlight w:val="none"/>
        </w:rPr>
      </w:pPr>
    </w:p>
    <w:p>
      <w:pPr>
        <w:widowControl/>
        <w:spacing w:line="360" w:lineRule="auto"/>
        <w:contextualSpacing/>
        <w:outlineLvl w:val="9"/>
        <w:rPr>
          <w:rFonts w:hint="eastAsia" w:ascii="宋体" w:hAnsi="宋体" w:cs="宋体"/>
          <w:kern w:val="0"/>
          <w:sz w:val="24"/>
          <w:highlight w:val="none"/>
        </w:rPr>
      </w:pPr>
    </w:p>
    <w:p>
      <w:pPr>
        <w:widowControl/>
        <w:spacing w:line="360" w:lineRule="auto"/>
        <w:contextualSpacing/>
        <w:outlineLvl w:val="9"/>
        <w:rPr>
          <w:rFonts w:hint="eastAsia" w:ascii="宋体" w:hAnsi="宋体" w:cs="宋体"/>
          <w:kern w:val="0"/>
          <w:sz w:val="24"/>
          <w:highlight w:val="none"/>
        </w:rPr>
      </w:pP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rPr>
          <w:rFonts w:ascii="宋体" w:hAnsi="宋体" w:cs="宋体"/>
          <w:b/>
          <w:bCs/>
          <w:sz w:val="44"/>
          <w:szCs w:val="44"/>
          <w:highlight w:val="none"/>
        </w:rPr>
      </w:pPr>
    </w:p>
    <w:p>
      <w:pPr>
        <w:jc w:val="center"/>
        <w:outlineLvl w:val="9"/>
        <w:rPr>
          <w:rFonts w:hint="eastAsia" w:ascii="宋体" w:hAnsi="宋体" w:cs="宋体"/>
          <w:b/>
          <w:bCs/>
          <w:sz w:val="44"/>
          <w:szCs w:val="44"/>
          <w:highlight w:val="none"/>
        </w:rPr>
      </w:pPr>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添益（安享优选）7天持有期</w:t>
      </w:r>
      <w:r>
        <w:rPr>
          <w:rFonts w:hint="eastAsia" w:ascii="宋体" w:hAnsi="宋体" w:cs="宋体"/>
          <w:b/>
          <w:bCs/>
          <w:sz w:val="44"/>
          <w:szCs w:val="44"/>
          <w:highlight w:val="none"/>
        </w:rPr>
        <w:t>理财产品说明书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〖Z7002223000157〗</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9"/>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9"/>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instrText xml:space="preserve"> HYPERLINK "http://www.hzbank.com.cn" </w:instrText>
      </w:r>
      <w: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9"/>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rPr>
        <w:t>添益</w:t>
      </w:r>
      <w:r>
        <w:rPr>
          <w:rFonts w:hint="eastAsia" w:ascii="宋体" w:hAnsi="宋体" w:cs="宋体"/>
          <w:bCs/>
          <w:highlight w:val="none"/>
          <w:lang w:eastAsia="zh-CN"/>
        </w:rPr>
        <w:t>（安享优选）</w:t>
      </w:r>
      <w:r>
        <w:rPr>
          <w:rFonts w:hint="eastAsia" w:ascii="宋体" w:hAnsi="宋体" w:cs="宋体"/>
          <w:bCs/>
          <w:highlight w:val="none"/>
          <w:lang w:val="en-US" w:eastAsia="zh-CN"/>
        </w:rPr>
        <w:t>7</w:t>
      </w:r>
      <w:r>
        <w:rPr>
          <w:rFonts w:hint="eastAsia" w:ascii="宋体" w:hAnsi="宋体" w:cs="宋体"/>
          <w:bCs/>
          <w:highlight w:val="none"/>
          <w:lang w:eastAsia="zh-CN"/>
        </w:rPr>
        <w:t>天</w:t>
      </w:r>
      <w:r>
        <w:rPr>
          <w:rFonts w:hint="eastAsia" w:ascii="宋体" w:hAnsi="宋体" w:cs="宋体"/>
          <w:bCs/>
          <w:highlight w:val="none"/>
        </w:rPr>
        <w:t>持有期理财产品说明书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rPr>
        <w:t>添益</w:t>
      </w:r>
      <w:r>
        <w:rPr>
          <w:rFonts w:hint="eastAsia" w:ascii="宋体" w:hAnsi="宋体" w:cs="宋体"/>
          <w:bCs/>
          <w:highlight w:val="none"/>
          <w:lang w:eastAsia="zh-CN"/>
        </w:rPr>
        <w:t>（安享优选）</w:t>
      </w:r>
      <w:r>
        <w:rPr>
          <w:rFonts w:hint="eastAsia" w:ascii="宋体" w:hAnsi="宋体" w:cs="宋体"/>
          <w:bCs/>
          <w:highlight w:val="none"/>
          <w:lang w:val="en-US" w:eastAsia="zh-CN"/>
        </w:rPr>
        <w:t>7</w:t>
      </w:r>
      <w:r>
        <w:rPr>
          <w:rFonts w:hint="eastAsia" w:ascii="宋体" w:hAnsi="宋体" w:cs="宋体"/>
          <w:bCs/>
          <w:highlight w:val="none"/>
          <w:lang w:eastAsia="zh-CN"/>
        </w:rPr>
        <w:t>天</w:t>
      </w:r>
      <w:r>
        <w:rPr>
          <w:rFonts w:hint="eastAsia" w:ascii="宋体" w:hAnsi="宋体" w:cs="宋体"/>
          <w:bCs/>
          <w:highlight w:val="none"/>
        </w:rPr>
        <w:t>持有期理财合同不可分割组成部分的风险揭示书，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rPr>
        <w:t>添益</w:t>
      </w:r>
      <w:r>
        <w:rPr>
          <w:rFonts w:hint="eastAsia" w:ascii="宋体" w:hAnsi="宋体" w:cs="宋体"/>
          <w:bCs/>
          <w:highlight w:val="none"/>
          <w:lang w:eastAsia="zh-CN"/>
        </w:rPr>
        <w:t>（安享优选）</w:t>
      </w:r>
      <w:r>
        <w:rPr>
          <w:rFonts w:hint="eastAsia" w:ascii="宋体" w:hAnsi="宋体" w:cs="宋体"/>
          <w:bCs/>
          <w:highlight w:val="none"/>
          <w:lang w:val="en-US" w:eastAsia="zh-CN"/>
        </w:rPr>
        <w:t>7</w:t>
      </w:r>
      <w:r>
        <w:rPr>
          <w:rFonts w:hint="eastAsia" w:ascii="宋体" w:hAnsi="宋体" w:cs="宋体"/>
          <w:bCs/>
          <w:highlight w:val="none"/>
          <w:lang w:eastAsia="zh-CN"/>
        </w:rPr>
        <w:t>天</w:t>
      </w:r>
      <w:r>
        <w:rPr>
          <w:rFonts w:hint="eastAsia" w:ascii="宋体" w:hAnsi="宋体" w:cs="宋体"/>
          <w:bCs/>
          <w:highlight w:val="none"/>
        </w:rPr>
        <w:t>持有期理财合同不可分割组成部分的投资者权益须知，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rPr>
        <w:t>添益</w:t>
      </w:r>
      <w:r>
        <w:rPr>
          <w:rFonts w:hint="eastAsia" w:ascii="宋体" w:hAnsi="宋体" w:cs="宋体"/>
          <w:bCs/>
          <w:highlight w:val="none"/>
          <w:lang w:eastAsia="zh-CN"/>
        </w:rPr>
        <w:t>（安享优选）</w:t>
      </w:r>
      <w:r>
        <w:rPr>
          <w:rFonts w:hint="eastAsia" w:ascii="宋体" w:hAnsi="宋体" w:cs="宋体"/>
          <w:bCs/>
          <w:highlight w:val="none"/>
          <w:lang w:val="en-US" w:eastAsia="zh-CN"/>
        </w:rPr>
        <w:t>7</w:t>
      </w:r>
      <w:r>
        <w:rPr>
          <w:rFonts w:hint="eastAsia" w:ascii="宋体" w:hAnsi="宋体" w:cs="宋体"/>
          <w:bCs/>
          <w:highlight w:val="none"/>
          <w:lang w:eastAsia="zh-CN"/>
        </w:rPr>
        <w:t>天</w:t>
      </w:r>
      <w:r>
        <w:rPr>
          <w:rFonts w:hint="eastAsia" w:ascii="宋体" w:hAnsi="宋体" w:cs="宋体"/>
          <w:bCs/>
          <w:highlight w:val="none"/>
        </w:rPr>
        <w:t>持有期理财合同不可分割组成部分的理财计划投资协议书，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99添益（安享优选）7天持有期理财合同不可分割组成部分的理财计划销售协议书，以及对该文件的有效修改与补充。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9"/>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rPr>
        <w:t>添益</w:t>
      </w:r>
      <w:r>
        <w:rPr>
          <w:rFonts w:hint="eastAsia" w:ascii="宋体" w:hAnsi="宋体" w:cs="宋体"/>
          <w:bCs/>
          <w:highlight w:val="none"/>
          <w:lang w:eastAsia="zh-CN"/>
        </w:rPr>
        <w:t>（安享优选）</w:t>
      </w:r>
      <w:r>
        <w:rPr>
          <w:rFonts w:hint="eastAsia" w:ascii="宋体" w:hAnsi="宋体" w:cs="宋体"/>
          <w:bCs/>
          <w:highlight w:val="none"/>
          <w:lang w:val="en-US" w:eastAsia="zh-CN"/>
        </w:rPr>
        <w:t>7</w:t>
      </w:r>
      <w:r>
        <w:rPr>
          <w:rFonts w:hint="eastAsia" w:ascii="宋体" w:hAnsi="宋体" w:cs="宋体"/>
          <w:bCs/>
          <w:highlight w:val="none"/>
          <w:lang w:eastAsia="zh-CN"/>
        </w:rPr>
        <w:t>天</w:t>
      </w:r>
      <w:r>
        <w:rPr>
          <w:rFonts w:hint="eastAsia" w:ascii="宋体" w:hAnsi="宋体" w:cs="宋体"/>
          <w:bCs/>
          <w:highlight w:val="none"/>
        </w:rPr>
        <w:t>持有期理财。</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9"/>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9"/>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9"/>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9"/>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9"/>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杭银理财幸福99添益</w:t>
            </w:r>
            <w:r>
              <w:rPr>
                <w:rFonts w:hint="eastAsia" w:ascii="宋体" w:hAnsi="宋体" w:cs="宋体"/>
                <w:sz w:val="21"/>
                <w:szCs w:val="21"/>
                <w:highlight w:val="none"/>
                <w:lang w:eastAsia="zh-CN"/>
              </w:rPr>
              <w:t>（安享优选）7天持有期理财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添益（安享优选）7天持有期理财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TYGC7D2302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本理财计划在全国银行业理财信息登记系统的登记编码是〖Z7002223000157〗，投资者可依据该编码在“中国理财网（www.chinawealth.com.cn）”查询本理财计划信息。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vAlign w:val="center"/>
          </w:tcPr>
          <w:p>
            <w:pPr>
              <w:widowControl/>
              <w:spacing w:line="360" w:lineRule="auto"/>
              <w:contextualSpacing/>
              <w:rPr>
                <w:rFonts w:hint="eastAsia" w:ascii="宋体" w:hAnsi="宋体" w:cs="宋体"/>
                <w:b w:val="0"/>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A份额（销售代码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TYGC7D2302A</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B份额（销售代码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TYGC7D2302B</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TYGC7D2302C</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D份额（销售名称：杭银理财添益私银尊享（安享优选）7天持有期理财D款）（销售代码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TYGC7D2302D</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E份额（销售代码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TYGC7D2302E</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特邀客户</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F份额（销售代码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TYGC7D2302F</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G份额（销售代码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TYGC7D2302G</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H份额（销售代码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TYGC7D2302H</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color w:val="000000"/>
                <w:sz w:val="21"/>
                <w:szCs w:val="21"/>
                <w:highlight w:val="none"/>
                <w:lang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T份额（销售代码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TYGC7D2302T</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Z份额（销售代码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TYGC7D2302Z</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B、C、E、F、G、H、T、Z份额合计：</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500</w:t>
            </w:r>
            <w:r>
              <w:rPr>
                <w:rFonts w:hint="eastAsia" w:ascii="宋体" w:hAnsi="宋体" w:cs="宋体"/>
                <w:color w:val="000000"/>
                <w:sz w:val="21"/>
                <w:szCs w:val="21"/>
                <w:highlight w:val="none"/>
              </w:rPr>
              <w:t>〗亿元</w:t>
            </w:r>
          </w:p>
          <w:p>
            <w:pPr>
              <w:widowControl/>
              <w:numPr>
                <w:ilvl w:val="0"/>
                <w:numId w:val="0"/>
              </w:numPr>
              <w:spacing w:line="360" w:lineRule="auto"/>
              <w:contextualSpacing/>
              <w:jc w:val="both"/>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D份额：</w:t>
            </w:r>
            <w:r>
              <w:rPr>
                <w:rFonts w:hint="eastAsia" w:ascii="宋体" w:hAnsi="宋体" w:cs="宋体"/>
                <w:color w:val="000000"/>
                <w:sz w:val="21"/>
                <w:szCs w:val="21"/>
              </w:rPr>
              <w:t>〖</w:t>
            </w:r>
            <w:r>
              <w:rPr>
                <w:rFonts w:hint="eastAsia" w:ascii="宋体" w:hAnsi="宋体" w:cs="宋体"/>
                <w:color w:val="000000"/>
                <w:sz w:val="21"/>
                <w:szCs w:val="21"/>
                <w:lang w:val="en-US" w:eastAsia="zh-CN"/>
              </w:rPr>
              <w:t>10</w:t>
            </w:r>
            <w:r>
              <w:rPr>
                <w:rFonts w:hint="eastAsia" w:ascii="宋体" w:hAnsi="宋体" w:cs="宋体"/>
                <w:color w:val="000000"/>
                <w:sz w:val="21"/>
                <w:szCs w:val="21"/>
              </w:rPr>
              <w:t>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29</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rPr>
              <w:t>〖</w:t>
            </w:r>
            <w:r>
              <w:rPr>
                <w:rFonts w:ascii="宋体" w:hAnsi="宋体" w:cs="宋体"/>
                <w:sz w:val="21"/>
                <w:szCs w:val="21"/>
              </w:rPr>
              <w:t>D</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bCs/>
                <w:sz w:val="21"/>
                <w:szCs w:val="21"/>
              </w:rPr>
              <w:t>，经代销机构评定为私银客户的投资起点为〖</w:t>
            </w:r>
            <w:r>
              <w:rPr>
                <w:rFonts w:ascii="宋体" w:hAnsi="宋体" w:cs="宋体"/>
                <w:bCs/>
                <w:sz w:val="21"/>
                <w:szCs w:val="21"/>
              </w:rPr>
              <w:t>1</w:t>
            </w:r>
            <w:r>
              <w:rPr>
                <w:rFonts w:hint="eastAsia" w:ascii="宋体" w:hAnsi="宋体" w:cs="宋体"/>
                <w:bCs/>
                <w:sz w:val="21"/>
                <w:szCs w:val="21"/>
              </w:rPr>
              <w:t>〗元整，非私银客户的投资起点为〖600万〗元整，超过认购/申购起点部分，应为〖1〗元的整数倍。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300万</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F</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G</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500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eastAsia="zh-CN"/>
              </w:rPr>
              <w:br w:type="textWrapping"/>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T</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lang w:val="en-US"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Z</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50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vAlign w:val="center"/>
          </w:tcPr>
          <w:p>
            <w:pPr>
              <w:widowControl/>
              <w:numPr>
                <w:ilvl w:val="0"/>
                <w:numId w:val="20"/>
              </w:numPr>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lang w:val="en-US" w:eastAsia="zh-CN"/>
              </w:rPr>
              <w:t>B、C、D、F、H、T、Z份额：</w:t>
            </w:r>
            <w:r>
              <w:rPr>
                <w:rFonts w:hint="eastAsia" w:ascii="宋体" w:hAnsi="宋体" w:cs="宋体"/>
                <w:sz w:val="21"/>
                <w:szCs w:val="21"/>
                <w:highlight w:val="none"/>
              </w:rPr>
              <w:t>单户持有上限〖</w:t>
            </w:r>
            <w:r>
              <w:rPr>
                <w:rFonts w:hint="eastAsia" w:ascii="宋体" w:hAnsi="宋体" w:cs="宋体"/>
                <w:sz w:val="21"/>
                <w:szCs w:val="21"/>
                <w:highlight w:val="none"/>
                <w:lang w:val="en-US" w:eastAsia="zh-CN"/>
              </w:rPr>
              <w:t>1亿</w:t>
            </w:r>
            <w:r>
              <w:rPr>
                <w:rFonts w:hint="eastAsia" w:ascii="宋体" w:hAnsi="宋体" w:cs="宋体"/>
                <w:sz w:val="21"/>
                <w:szCs w:val="21"/>
                <w:highlight w:val="none"/>
              </w:rPr>
              <w:t>〗元。</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E份额：</w:t>
            </w:r>
            <w:r>
              <w:rPr>
                <w:rFonts w:hint="eastAsia" w:ascii="宋体" w:hAnsi="宋体" w:cs="宋体"/>
                <w:sz w:val="21"/>
                <w:szCs w:val="21"/>
                <w:highlight w:val="none"/>
              </w:rPr>
              <w:t>单户持有上限〖</w:t>
            </w:r>
            <w:r>
              <w:rPr>
                <w:rFonts w:hint="eastAsia" w:ascii="宋体" w:hAnsi="宋体" w:cs="宋体"/>
                <w:sz w:val="21"/>
                <w:szCs w:val="21"/>
                <w:highlight w:val="none"/>
                <w:lang w:val="en-US" w:eastAsia="zh-CN"/>
              </w:rPr>
              <w:t>5亿</w:t>
            </w:r>
            <w:r>
              <w:rPr>
                <w:rFonts w:hint="eastAsia" w:ascii="宋体" w:hAnsi="宋体" w:cs="宋体"/>
                <w:sz w:val="21"/>
                <w:szCs w:val="21"/>
                <w:highlight w:val="none"/>
              </w:rPr>
              <w:t>〗元</w:t>
            </w:r>
            <w:r>
              <w:rPr>
                <w:rFonts w:hint="eastAsia" w:ascii="宋体" w:hAnsi="宋体" w:cs="宋体"/>
                <w:sz w:val="21"/>
                <w:szCs w:val="21"/>
                <w:highlight w:val="none"/>
                <w:lang w:eastAsia="zh-CN"/>
              </w:rPr>
              <w:t>。</w:t>
            </w:r>
          </w:p>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G份额：</w:t>
            </w:r>
            <w:r>
              <w:rPr>
                <w:rFonts w:hint="eastAsia" w:ascii="宋体" w:hAnsi="宋体" w:cs="宋体"/>
                <w:sz w:val="21"/>
                <w:szCs w:val="21"/>
                <w:highlight w:val="none"/>
              </w:rPr>
              <w:t>单日单户赎回上限〖</w:t>
            </w:r>
            <w:r>
              <w:rPr>
                <w:rFonts w:hint="eastAsia" w:ascii="宋体" w:hAnsi="宋体" w:cs="宋体"/>
                <w:sz w:val="21"/>
                <w:szCs w:val="21"/>
                <w:highlight w:val="none"/>
                <w:lang w:val="en-US" w:eastAsia="zh-CN"/>
              </w:rPr>
              <w:t>5亿</w:t>
            </w:r>
            <w:r>
              <w:rPr>
                <w:rFonts w:hint="eastAsia" w:ascii="宋体" w:hAnsi="宋体" w:cs="宋体"/>
                <w:sz w:val="21"/>
                <w:szCs w:val="21"/>
                <w:highlight w:val="none"/>
              </w:rPr>
              <w:t>〗元</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即在单个确认日，对单一投资者提出的可能导致赎回金额超过赎回上限的申请，管理人有权拒绝。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1.80%-2.95%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rPr>
              <w:t>本理财计划〖</w:t>
            </w:r>
            <w:r>
              <w:rPr>
                <w:rFonts w:ascii="宋体" w:hAnsi="宋体" w:cs="宋体"/>
                <w:sz w:val="21"/>
                <w:szCs w:val="21"/>
              </w:rPr>
              <w:t>D</w:t>
            </w:r>
            <w:r>
              <w:rPr>
                <w:rFonts w:hint="eastAsia" w:ascii="宋体" w:hAnsi="宋体" w:cs="宋体"/>
                <w:sz w:val="21"/>
                <w:szCs w:val="21"/>
              </w:rPr>
              <w:t>份额〗业绩比较基准为〖</w:t>
            </w:r>
            <w:r>
              <w:rPr>
                <w:rFonts w:hint="eastAsia" w:ascii="宋体" w:hAnsi="宋体" w:cs="宋体"/>
                <w:sz w:val="21"/>
                <w:szCs w:val="21"/>
                <w:lang w:val="en-US" w:eastAsia="zh-CN"/>
              </w:rPr>
              <w:t>1.8</w:t>
            </w:r>
            <w:r>
              <w:rPr>
                <w:rFonts w:ascii="宋体" w:hAnsi="宋体" w:cs="宋体"/>
                <w:sz w:val="21"/>
                <w:szCs w:val="21"/>
              </w:rPr>
              <w:t>5</w:t>
            </w:r>
            <w:r>
              <w:rPr>
                <w:rFonts w:hint="eastAsia" w:ascii="宋体" w:hAnsi="宋体" w:cs="宋体"/>
                <w:sz w:val="21"/>
                <w:szCs w:val="21"/>
              </w:rPr>
              <w:t>%-3.</w:t>
            </w:r>
            <w:r>
              <w:rPr>
                <w:rFonts w:hint="eastAsia" w:ascii="宋体" w:hAnsi="宋体" w:cs="宋体"/>
                <w:sz w:val="21"/>
                <w:szCs w:val="21"/>
                <w:lang w:val="en-US" w:eastAsia="zh-CN"/>
              </w:rPr>
              <w:t>0</w:t>
            </w:r>
            <w:r>
              <w:rPr>
                <w:rFonts w:ascii="宋体" w:hAnsi="宋体" w:cs="宋体"/>
                <w:sz w:val="21"/>
                <w:szCs w:val="21"/>
              </w:rPr>
              <w:t>0</w:t>
            </w:r>
            <w:r>
              <w:rPr>
                <w:rFonts w:hint="eastAsia" w:ascii="宋体" w:hAnsi="宋体" w:cs="宋体"/>
                <w:sz w:val="21"/>
                <w:szCs w:val="21"/>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F份额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1.60%-2.75%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G份额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1.70%-2.85%</w:t>
            </w:r>
            <w:r>
              <w:rPr>
                <w:rFonts w:hint="eastAsia" w:ascii="宋体" w:hAnsi="宋体" w:cs="宋体"/>
                <w:sz w:val="21"/>
                <w:szCs w:val="21"/>
                <w:highlight w:val="none"/>
              </w:rPr>
              <w:t>〗（年化）</w:t>
            </w:r>
          </w:p>
          <w:p>
            <w:pPr>
              <w:widowControl/>
              <w:spacing w:line="360" w:lineRule="auto"/>
              <w:contextualSpacing/>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H份额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T份额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Z份额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2.05%-3.20%</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同业存单、存款、信用债等资产，根据当前市场环境，拟投资产收益率在1.5%-3.5%左右，同时根据流动性管理需要和监管要求配置不低于5%的高流动性资产</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F</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G</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T</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Z</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0.45%</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F</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G</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T</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Z</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0.15%</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vAlign w:val="center"/>
          </w:tcPr>
          <w:p>
            <w:pPr>
              <w:spacing w:line="360" w:lineRule="auto"/>
              <w:outlineLvl w:val="9"/>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1"/>
        </w:numPr>
        <w:spacing w:line="360" w:lineRule="auto"/>
        <w:ind w:firstLine="482" w:firstLineChars="200"/>
        <w:outlineLvl w:val="9"/>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2"/>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2"/>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tcPr>
          <w:p>
            <w:pPr>
              <w:spacing w:line="360" w:lineRule="auto"/>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0-20%</w:t>
            </w:r>
          </w:p>
        </w:tc>
      </w:tr>
    </w:tbl>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2"/>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4"/>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5"/>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2"/>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投资限制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8"/>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2"/>
        </w:numPr>
        <w:spacing w:line="360" w:lineRule="auto"/>
        <w:ind w:left="0" w:leftChars="0" w:firstLine="482" w:firstLineChars="200"/>
        <w:jc w:val="left"/>
        <w:outlineLvl w:val="9"/>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w:t>
      </w:r>
      <w:r>
        <w:rPr>
          <w:rFonts w:hint="eastAsia" w:ascii="宋体" w:hAnsi="宋体" w:cs="宋体"/>
          <w:bCs/>
          <w:sz w:val="24"/>
          <w:highlight w:val="none"/>
        </w:rPr>
        <w:t>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资产包括但不限于上市公司普通股、上市公司优先股、股票基金、股票定向增发等，受国家政策、经济周期、利率、汇率、股票发行人经营情况</w:t>
      </w:r>
      <w:r>
        <w:rPr>
          <w:rFonts w:hint="eastAsia" w:ascii="宋体" w:hAnsi="宋体" w:cs="宋体"/>
          <w:bCs/>
          <w:sz w:val="24"/>
          <w:highlight w:val="none"/>
          <w:lang w:val="en-US" w:eastAsia="zh-CN"/>
        </w:rPr>
        <w:t>、大宗商品</w:t>
      </w:r>
      <w:r>
        <w:rPr>
          <w:rFonts w:hint="eastAsia" w:ascii="宋体" w:hAnsi="宋体" w:cs="宋体"/>
          <w:bCs/>
          <w:sz w:val="24"/>
          <w:highlight w:val="none"/>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30"/>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1"/>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托管人</w:t>
      </w:r>
    </w:p>
    <w:tbl>
      <w:tblPr>
        <w:tblStyle w:val="9"/>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主要提供包括账户开立、资金保管、资金结算、估值核对等理财产品托管服务。</w:t>
            </w:r>
          </w:p>
        </w:tc>
      </w:tr>
    </w:tbl>
    <w:p>
      <w:pPr>
        <w:numPr>
          <w:ilvl w:val="0"/>
          <w:numId w:val="32"/>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销售机构</w:t>
      </w:r>
    </w:p>
    <w:tbl>
      <w:tblPr>
        <w:tblStyle w:val="9"/>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323"/>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475" w:type="dxa"/>
            <w:vMerge w:val="restart"/>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杭州银行股份有限公司</w:t>
            </w:r>
          </w:p>
        </w:tc>
        <w:tc>
          <w:tcPr>
            <w:tcW w:w="1323"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住所</w:t>
            </w:r>
          </w:p>
        </w:tc>
        <w:tc>
          <w:tcPr>
            <w:tcW w:w="3042"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475" w:type="dxa"/>
            <w:vMerge w:val="continue"/>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p>
        </w:tc>
        <w:tc>
          <w:tcPr>
            <w:tcW w:w="1323"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客服热线</w:t>
            </w:r>
          </w:p>
        </w:tc>
        <w:tc>
          <w:tcPr>
            <w:tcW w:w="3042"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475" w:type="dxa"/>
            <w:vMerge w:val="restart"/>
            <w:vAlign w:val="center"/>
          </w:tcPr>
          <w:p>
            <w:pPr>
              <w:keepNext w:val="0"/>
              <w:keepLines w:val="0"/>
              <w:widowControl/>
              <w:suppressLineNumbers w:val="0"/>
              <w:spacing w:line="360" w:lineRule="auto"/>
              <w:jc w:val="center"/>
              <w:textAlignment w:val="auto"/>
              <w:rPr>
                <w:rFonts w:hint="default"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台州银行股份有限公司</w:t>
            </w:r>
          </w:p>
        </w:tc>
        <w:tc>
          <w:tcPr>
            <w:tcW w:w="1323" w:type="dxa"/>
            <w:vAlign w:val="center"/>
          </w:tcPr>
          <w:p>
            <w:pPr>
              <w:keepNext w:val="0"/>
              <w:keepLines w:val="0"/>
              <w:widowControl/>
              <w:suppressLineNumbers w:val="0"/>
              <w:spacing w:line="360" w:lineRule="auto"/>
              <w:jc w:val="center"/>
              <w:textAlignment w:val="auto"/>
              <w:rPr>
                <w:rFonts w:hint="default"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住所</w:t>
            </w:r>
          </w:p>
        </w:tc>
        <w:tc>
          <w:tcPr>
            <w:tcW w:w="3042" w:type="dxa"/>
            <w:vAlign w:val="center"/>
          </w:tcPr>
          <w:p>
            <w:pPr>
              <w:keepNext w:val="0"/>
              <w:keepLines w:val="0"/>
              <w:widowControl/>
              <w:suppressLineNumbers w:val="0"/>
              <w:spacing w:line="360" w:lineRule="auto"/>
              <w:jc w:val="center"/>
              <w:textAlignment w:val="auto"/>
              <w:rPr>
                <w:rFonts w:hint="default"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浙江省台州市路桥区南官大道92号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475" w:type="dxa"/>
            <w:vMerge w:val="continue"/>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p>
        </w:tc>
        <w:tc>
          <w:tcPr>
            <w:tcW w:w="1323"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客服热线</w:t>
            </w:r>
          </w:p>
        </w:tc>
        <w:tc>
          <w:tcPr>
            <w:tcW w:w="3042" w:type="dxa"/>
            <w:vAlign w:val="center"/>
          </w:tcPr>
          <w:p>
            <w:pPr>
              <w:keepNext w:val="0"/>
              <w:keepLines w:val="0"/>
              <w:widowControl/>
              <w:suppressLineNumbers w:val="0"/>
              <w:spacing w:line="360" w:lineRule="auto"/>
              <w:jc w:val="center"/>
              <w:textAlignment w:val="auto"/>
              <w:rPr>
                <w:rFonts w:hint="default"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95371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475" w:type="dxa"/>
            <w:vMerge w:val="restart"/>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杭银理财有限责任公司</w:t>
            </w:r>
          </w:p>
        </w:tc>
        <w:tc>
          <w:tcPr>
            <w:tcW w:w="1323"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住所</w:t>
            </w:r>
          </w:p>
        </w:tc>
        <w:tc>
          <w:tcPr>
            <w:tcW w:w="3042"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475" w:type="dxa"/>
            <w:vMerge w:val="continue"/>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p>
        </w:tc>
        <w:tc>
          <w:tcPr>
            <w:tcW w:w="1323"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客服热线</w:t>
            </w:r>
          </w:p>
        </w:tc>
        <w:tc>
          <w:tcPr>
            <w:tcW w:w="3042" w:type="dxa"/>
            <w:vAlign w:val="center"/>
          </w:tcPr>
          <w:p>
            <w:pPr>
              <w:keepNext w:val="0"/>
              <w:keepLines w:val="0"/>
              <w:widowControl/>
              <w:suppressLineNumbers w:val="0"/>
              <w:spacing w:line="360" w:lineRule="auto"/>
              <w:jc w:val="center"/>
              <w:textAlignment w:val="auto"/>
              <w:rPr>
                <w:rFonts w:hint="eastAsia" w:ascii="宋体" w:hAnsi="宋体" w:cs="宋体"/>
                <w:bCs/>
                <w:i w:val="0"/>
                <w:color w:val="auto"/>
                <w:kern w:val="2"/>
                <w:sz w:val="24"/>
                <w:szCs w:val="24"/>
                <w:highlight w:val="none"/>
                <w:u w:val="none"/>
                <w:lang w:val="en-US" w:eastAsia="zh-CN" w:bidi="ar"/>
              </w:rPr>
            </w:pPr>
            <w:r>
              <w:rPr>
                <w:rFonts w:hint="eastAsia" w:ascii="宋体" w:hAnsi="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30"/>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估值</w:t>
      </w:r>
    </w:p>
    <w:p>
      <w:pPr>
        <w:numPr>
          <w:ilvl w:val="0"/>
          <w:numId w:val="3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30"/>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费用及税收</w:t>
      </w:r>
    </w:p>
    <w:p>
      <w:pPr>
        <w:numPr>
          <w:ilvl w:val="0"/>
          <w:numId w:val="37"/>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7"/>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 w:val="24"/>
          <w:szCs w:val="24"/>
          <w:highlight w:val="none"/>
        </w:rPr>
        <w:t>〖</w:t>
      </w:r>
      <w:r>
        <w:rPr>
          <w:rFonts w:hint="eastAsia" w:ascii="宋体" w:hAnsi="宋体" w:cs="宋体"/>
          <w:sz w:val="24"/>
          <w:szCs w:val="24"/>
          <w:highlight w:val="none"/>
          <w:lang w:val="en-US" w:eastAsia="zh-CN"/>
        </w:rPr>
        <w:t>0.30%</w:t>
      </w:r>
      <w:r>
        <w:rPr>
          <w:rFonts w:hint="eastAsia" w:ascii="宋体" w:hAnsi="宋体" w:cs="宋体"/>
          <w:sz w:val="24"/>
          <w:szCs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szCs w:val="24"/>
          <w:highlight w:val="none"/>
        </w:rPr>
        <w:t>〖</w:t>
      </w:r>
      <w:r>
        <w:rPr>
          <w:rFonts w:hint="eastAsia" w:ascii="宋体" w:hAnsi="宋体" w:cs="宋体"/>
          <w:sz w:val="24"/>
          <w:szCs w:val="24"/>
          <w:highlight w:val="none"/>
          <w:lang w:val="en-US" w:eastAsia="zh-CN"/>
        </w:rPr>
        <w:t>0.30%</w:t>
      </w:r>
      <w:r>
        <w:rPr>
          <w:rFonts w:hint="eastAsia" w:ascii="宋体" w:hAnsi="宋体" w:cs="宋体"/>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 w:val="24"/>
          <w:szCs w:val="24"/>
          <w:highlight w:val="none"/>
        </w:rPr>
        <w:t>〖</w:t>
      </w:r>
      <w:r>
        <w:rPr>
          <w:rFonts w:hint="eastAsia" w:ascii="宋体" w:hAnsi="宋体" w:cs="宋体"/>
          <w:sz w:val="24"/>
          <w:szCs w:val="24"/>
          <w:highlight w:val="none"/>
          <w:lang w:val="en-US" w:eastAsia="zh-CN"/>
        </w:rPr>
        <w:t>0.025</w:t>
      </w:r>
      <w:r>
        <w:rPr>
          <w:rFonts w:hint="eastAsia" w:ascii="宋体" w:hAnsi="宋体" w:cs="宋体"/>
          <w:bCs/>
          <w:color w:val="000000"/>
          <w:sz w:val="24"/>
          <w:szCs w:val="24"/>
          <w:highlight w:val="none"/>
        </w:rPr>
        <w:t>%</w:t>
      </w:r>
      <w:r>
        <w:rPr>
          <w:rFonts w:hint="eastAsia" w:ascii="宋体" w:hAnsi="宋体" w:cs="宋体"/>
          <w:sz w:val="24"/>
          <w:szCs w:val="24"/>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szCs w:val="24"/>
          <w:highlight w:val="none"/>
        </w:rPr>
        <w:t>〖</w:t>
      </w:r>
      <w:r>
        <w:rPr>
          <w:rFonts w:hint="eastAsia" w:ascii="宋体" w:hAnsi="宋体" w:cs="宋体"/>
          <w:sz w:val="24"/>
          <w:szCs w:val="24"/>
          <w:highlight w:val="none"/>
          <w:lang w:val="en-US" w:eastAsia="zh-CN"/>
        </w:rPr>
        <w:t>0.025</w:t>
      </w:r>
      <w:r>
        <w:rPr>
          <w:rFonts w:hint="eastAsia" w:ascii="宋体" w:hAnsi="宋体" w:cs="宋体"/>
          <w:bCs/>
          <w:color w:val="000000"/>
          <w:sz w:val="24"/>
          <w:szCs w:val="24"/>
          <w:highlight w:val="none"/>
        </w:rPr>
        <w:t>%</w:t>
      </w:r>
      <w:r>
        <w:rPr>
          <w:rFonts w:hint="eastAsia" w:ascii="宋体" w:hAnsi="宋体" w:cs="宋体"/>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年化固定管理费率为</w:t>
      </w:r>
      <w:r>
        <w:rPr>
          <w:rFonts w:hint="eastAsia" w:ascii="宋体" w:hAnsi="宋体" w:cs="宋体"/>
          <w:sz w:val="24"/>
          <w:szCs w:val="24"/>
          <w:highlight w:val="none"/>
        </w:rPr>
        <w:t>〖</w:t>
      </w:r>
      <w:r>
        <w:rPr>
          <w:rFonts w:hint="eastAsia" w:ascii="宋体" w:hAnsi="宋体" w:cs="宋体"/>
          <w:sz w:val="24"/>
          <w:szCs w:val="24"/>
          <w:highlight w:val="none"/>
          <w:lang w:val="en-US" w:eastAsia="zh-CN"/>
        </w:rPr>
        <w:t>0.30%</w:t>
      </w:r>
      <w:r>
        <w:rPr>
          <w:rFonts w:hint="eastAsia" w:ascii="宋体" w:hAnsi="宋体" w:cs="宋体"/>
          <w:sz w:val="24"/>
          <w:szCs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szCs w:val="24"/>
          <w:highlight w:val="none"/>
        </w:rPr>
        <w:t>〖</w:t>
      </w:r>
      <w:r>
        <w:rPr>
          <w:rFonts w:hint="eastAsia" w:ascii="宋体" w:hAnsi="宋体" w:cs="宋体"/>
          <w:sz w:val="24"/>
          <w:szCs w:val="24"/>
          <w:highlight w:val="none"/>
          <w:lang w:val="en-US" w:eastAsia="zh-CN"/>
        </w:rPr>
        <w:t>0.30%</w:t>
      </w:r>
      <w:r>
        <w:rPr>
          <w:rFonts w:hint="eastAsia" w:ascii="宋体" w:hAnsi="宋体" w:cs="宋体"/>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4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税收说明</w:t>
      </w:r>
    </w:p>
    <w:p>
      <w:pPr>
        <w:numPr>
          <w:ilvl w:val="0"/>
          <w:numId w:val="44"/>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4"/>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30"/>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收益计算</w:t>
      </w:r>
    </w:p>
    <w:p>
      <w:pPr>
        <w:numPr>
          <w:ilvl w:val="0"/>
          <w:numId w:val="45"/>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5"/>
        </w:numPr>
        <w:spacing w:line="360" w:lineRule="auto"/>
        <w:jc w:val="left"/>
        <w:outlineLvl w:val="9"/>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〗，投资者最终收益为：100,000.00×(1.0426-1.00）=4,260.00（元）</w:t>
      </w:r>
    </w:p>
    <w:p>
      <w:pPr>
        <w:numPr>
          <w:ilvl w:val="0"/>
          <w:numId w:val="4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投资者最终收益为：100,000.00×（0.9975-1.00）=-250.00（元）。</w:t>
      </w:r>
    </w:p>
    <w:p>
      <w:pPr>
        <w:numPr>
          <w:ilvl w:val="0"/>
          <w:numId w:val="45"/>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30"/>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交易规则</w:t>
      </w:r>
    </w:p>
    <w:p>
      <w:pPr>
        <w:numPr>
          <w:ilvl w:val="0"/>
          <w:numId w:val="47"/>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认购</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7"/>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成立</w:t>
      </w:r>
    </w:p>
    <w:p>
      <w:pPr>
        <w:numPr>
          <w:ilvl w:val="0"/>
          <w:numId w:val="4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9"/>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7"/>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申购及赎回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51"/>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在交易日的17:00之前提交的申购和赎回申请，申请日为提出申请当日；在交易日17:00之后及非交易日提交的申购和赎回申请，申请日为提出申请日的下一交易日。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w:t>
      </w:r>
      <w:r>
        <w:rPr>
          <w:rFonts w:hint="eastAsia" w:ascii="宋体" w:hAnsi="宋体" w:cs="宋体"/>
          <w:bCs/>
          <w:sz w:val="24"/>
          <w:highlight w:val="none"/>
          <w:lang w:eastAsia="zh-CN"/>
        </w:rPr>
        <w:t>17:00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7"/>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7"/>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7"/>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30"/>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信息披露</w:t>
      </w:r>
    </w:p>
    <w:p>
      <w:pPr>
        <w:numPr>
          <w:ilvl w:val="0"/>
          <w:numId w:val="58"/>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6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8"/>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30"/>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其他</w:t>
      </w:r>
    </w:p>
    <w:p>
      <w:pPr>
        <w:numPr>
          <w:ilvl w:val="0"/>
          <w:numId w:val="6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3"/>
        </w:numPr>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4"/>
        </w:numPr>
        <w:spacing w:line="360" w:lineRule="auto"/>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bCs/>
          <w:sz w:val="24"/>
          <w:highlight w:val="none"/>
        </w:rPr>
        <w:t>理财计划</w:t>
      </w:r>
      <w:r>
        <w:rPr>
          <w:rFonts w:hint="eastAsia" w:ascii="宋体" w:hAnsi="宋体" w:cs="宋体"/>
          <w:kern w:val="0"/>
          <w:sz w:val="24"/>
          <w:highlight w:val="none"/>
        </w:rPr>
        <w:t>风险揭示书、理财计划产品说明书、投资者权益须知、理财计划投资协议书和</w:t>
      </w:r>
      <w:r>
        <w:rPr>
          <w:rFonts w:hint="eastAsia" w:ascii="宋体" w:hAnsi="宋体" w:cs="宋体"/>
          <w:bCs/>
          <w:sz w:val="24"/>
          <w:highlight w:val="none"/>
        </w:rPr>
        <w:t>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5"/>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6"/>
        </w:numPr>
        <w:spacing w:line="360" w:lineRule="auto"/>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w:t>
      </w:r>
      <w:r>
        <w:rPr>
          <w:rFonts w:hint="eastAsia" w:ascii="宋体" w:hAnsi="宋体" w:cs="宋体"/>
          <w:kern w:val="0"/>
          <w:sz w:val="24"/>
          <w:highlight w:val="none"/>
          <w:lang w:eastAsia="zh-CN"/>
        </w:rPr>
        <w:t>中风险</w:t>
      </w:r>
      <w:r>
        <w:rPr>
          <w:rFonts w:hint="eastAsia" w:ascii="宋体" w:hAnsi="宋体" w:cs="宋体"/>
          <w:kern w:val="0"/>
          <w:sz w:val="24"/>
          <w:highlight w:val="none"/>
        </w:rPr>
        <w:t>（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firstLine="480" w:firstLineChars="200"/>
        <w:rPr>
          <w:rFonts w:hint="eastAsia" w:ascii="宋体" w:hAnsi="宋体" w:cs="宋体"/>
          <w:b w:val="0"/>
          <w:kern w:val="0"/>
          <w:sz w:val="24"/>
          <w:highlight w:val="none"/>
        </w:rPr>
      </w:pPr>
      <w:r>
        <w:rPr>
          <w:rFonts w:hint="eastAsia" w:ascii="宋体" w:hAnsi="宋体" w:cs="宋体"/>
          <w:bCs w:val="0"/>
          <w:kern w:val="0"/>
          <w:sz w:val="24"/>
          <w:highlight w:val="none"/>
        </w:rPr>
        <w:t>投资者风险承受能力评级水平以销售机构评估为准。</w:t>
      </w:r>
    </w:p>
    <w:p>
      <w:pPr>
        <w:numPr>
          <w:ilvl w:val="0"/>
          <w:numId w:val="66"/>
        </w:numPr>
        <w:spacing w:line="360" w:lineRule="auto"/>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default"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fldChar w:fldCharType="begin"/>
      </w:r>
      <w:r>
        <w:instrText xml:space="preserve"> HYPERLINK "http://www.hzbankwealth.cn" </w:instrText>
      </w:r>
      <w:r>
        <w:fldChar w:fldCharType="separate"/>
      </w:r>
      <w:r>
        <w:rPr>
          <w:rStyle w:val="12"/>
          <w:rFonts w:hint="eastAsia" w:ascii="宋体" w:hAnsi="宋体" w:cs="宋体"/>
          <w:kern w:val="0"/>
          <w:sz w:val="24"/>
          <w:highlight w:val="none"/>
          <w:lang w:val="en-US" w:eastAsia="zh-CN"/>
        </w:rPr>
        <w:t>www.hzbankwealth.co</w:t>
      </w:r>
      <w:r>
        <w:rPr>
          <w:rStyle w:val="12"/>
          <w:rFonts w:hint="eastAsia" w:ascii="宋体" w:hAnsi="宋体" w:cs="宋体"/>
          <w:kern w:val="0"/>
          <w:sz w:val="24"/>
          <w:highlight w:val="none"/>
          <w:lang w:val="en-US" w:eastAsia="zh-CN"/>
        </w:rPr>
        <w:fldChar w:fldCharType="end"/>
      </w:r>
      <w:r>
        <w:rPr>
          <w:rStyle w:val="12"/>
          <w:rFonts w:hint="eastAsia" w:ascii="宋体" w:hAnsi="宋体" w:cs="宋体"/>
          <w:kern w:val="0"/>
          <w:sz w:val="24"/>
          <w:highlight w:val="none"/>
          <w:lang w:val="en-US" w:eastAsia="zh-CN"/>
        </w:rPr>
        <w:t>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instrText xml:space="preserve"> HYPERLINK "http://www.hzbankwealth.cn" </w:instrText>
      </w:r>
      <w:r>
        <w:fldChar w:fldCharType="separate"/>
      </w:r>
      <w:r>
        <w:rPr>
          <w:rStyle w:val="12"/>
          <w:rFonts w:hint="eastAsia" w:ascii="宋体" w:hAnsi="宋体" w:cs="宋体"/>
          <w:kern w:val="0"/>
          <w:sz w:val="24"/>
          <w:highlight w:val="none"/>
          <w:lang w:val="en-US" w:eastAsia="zh-CN"/>
        </w:rPr>
        <w:t>www.hzbank.com.cn</w:t>
      </w:r>
      <w:r>
        <w:rPr>
          <w:rStyle w:val="12"/>
          <w:rFonts w:hint="eastAsia" w:ascii="宋体" w:hAnsi="宋体" w:cs="宋体"/>
          <w:kern w:val="0"/>
          <w:sz w:val="24"/>
          <w:highlight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rPr>
          <w:rFonts w:hint="eastAsia"/>
          <w:b/>
          <w:sz w:val="44"/>
          <w:szCs w:val="44"/>
          <w:highlight w:val="none"/>
        </w:rPr>
      </w:pPr>
      <w:r>
        <w:rPr>
          <w:rFonts w:hint="eastAsia" w:ascii="宋体" w:hAnsi="宋体" w:cs="宋体"/>
          <w:bCs/>
          <w:color w:val="000000"/>
          <w:sz w:val="2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特别提示：杭银理财理财计划投资协议书与理财计划风险揭示书、理财计划</w:t>
      </w:r>
      <w:r>
        <w:rPr>
          <w:rFonts w:hint="eastAsia"/>
          <w:b/>
          <w:bCs/>
          <w:sz w:val="24"/>
          <w:highlight w:val="none"/>
          <w:lang w:val="en-US" w:eastAsia="zh-CN"/>
        </w:rPr>
        <w:t>产品</w:t>
      </w:r>
      <w:r>
        <w:rPr>
          <w:rFonts w:hint="eastAsia"/>
          <w:b/>
          <w:bCs/>
          <w:sz w:val="24"/>
          <w:highlight w:val="none"/>
        </w:rPr>
        <w:t>说明书、投资者权益须知及</w:t>
      </w:r>
      <w:r>
        <w:rPr>
          <w:rFonts w:hint="eastAsia" w:ascii="宋体" w:hAnsi="宋体" w:cs="宋体"/>
          <w:b/>
          <w:bCs/>
          <w:sz w:val="24"/>
          <w:highlight w:val="none"/>
        </w:rPr>
        <w:t>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numPr>
          <w:ilvl w:val="0"/>
          <w:numId w:val="72"/>
        </w:numPr>
        <w:spacing w:line="360" w:lineRule="auto"/>
        <w:ind w:firstLine="482" w:firstLineChars="200"/>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numPr>
          <w:ilvl w:val="0"/>
          <w:numId w:val="72"/>
        </w:numPr>
        <w:spacing w:line="360" w:lineRule="auto"/>
        <w:ind w:firstLine="482" w:firstLineChars="200"/>
        <w:rPr>
          <w:rFonts w:hint="eastAsia"/>
          <w:b/>
          <w:sz w:val="24"/>
          <w:highlight w:val="none"/>
        </w:rPr>
      </w:pPr>
      <w:r>
        <w:rPr>
          <w:rFonts w:hint="eastAsia"/>
          <w:b/>
          <w:sz w:val="24"/>
          <w:highlight w:val="none"/>
        </w:rPr>
        <w:t>投资者权利与义务</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rPr>
          <w:rFonts w:hint="eastAsia"/>
          <w:b/>
          <w:sz w:val="24"/>
          <w:highlight w:val="none"/>
        </w:rPr>
      </w:pPr>
      <w:r>
        <w:rPr>
          <w:rFonts w:hint="eastAsia"/>
          <w:b/>
          <w:sz w:val="24"/>
          <w:highlight w:val="none"/>
        </w:rPr>
        <w:t>管理人权利与义务</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contextualSpacing/>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管理人应当选择具有证券投资基金托管业务资格的金融机构、银行业理财登记托管机构或者</w:t>
      </w:r>
      <w:r>
        <w:rPr>
          <w:rFonts w:hint="eastAsia" w:ascii="宋体" w:hAnsi="宋体" w:cs="宋体"/>
          <w:bCs/>
          <w:sz w:val="24"/>
          <w:highlight w:val="none"/>
        </w:rPr>
        <w:t>国务院银行业监督管理</w:t>
      </w:r>
      <w:r>
        <w:rPr>
          <w:rFonts w:hint="eastAsia" w:ascii="宋体" w:hAnsi="宋体" w:cs="宋体"/>
          <w:bCs/>
          <w:sz w:val="24"/>
          <w:highlight w:val="none"/>
          <w:lang w:val="en-US" w:eastAsia="zh-CN"/>
        </w:rPr>
        <w:t>机构</w:t>
      </w:r>
      <w:r>
        <w:rPr>
          <w:rFonts w:hint="eastAsia" w:ascii="宋体" w:hAnsi="宋体" w:cs="宋体"/>
          <w:bCs/>
          <w:sz w:val="24"/>
          <w:highlight w:val="none"/>
        </w:rPr>
        <w:t>认可</w:t>
      </w:r>
      <w:r>
        <w:rPr>
          <w:rFonts w:hint="eastAsia" w:ascii="宋体" w:hAnsi="宋体"/>
          <w:sz w:val="24"/>
          <w:highlight w:val="none"/>
        </w:rPr>
        <w:t xml:space="preserve">的其他机构托管理财计划。 </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contextualSpacing/>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contextualSpacing/>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contextualSpacing/>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contextualSpacing/>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contextualSpacing/>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contextualSpacing/>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rPr>
          <w:rFonts w:hint="eastAsia"/>
          <w:b/>
          <w:sz w:val="24"/>
          <w:highlight w:val="none"/>
        </w:rPr>
      </w:pPr>
      <w:r>
        <w:rPr>
          <w:rFonts w:hint="eastAsia"/>
          <w:b/>
          <w:sz w:val="24"/>
          <w:highlight w:val="none"/>
        </w:rPr>
        <w:t>违约责任及免责条款</w:t>
      </w:r>
    </w:p>
    <w:p>
      <w:pPr>
        <w:widowControl/>
        <w:numPr>
          <w:ilvl w:val="0"/>
          <w:numId w:val="76"/>
        </w:numPr>
        <w:spacing w:line="360" w:lineRule="auto"/>
        <w:contextualSpacing/>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6"/>
        </w:numPr>
        <w:spacing w:line="360" w:lineRule="auto"/>
        <w:contextualSpacing/>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contextualSpacing/>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w:t>
      </w:r>
      <w:r>
        <w:rPr>
          <w:rFonts w:hint="eastAsia" w:ascii="宋体" w:hAnsi="宋体"/>
          <w:sz w:val="24"/>
          <w:highlight w:val="none"/>
          <w:lang w:val="en-US" w:eastAsia="zh-CN"/>
        </w:rPr>
        <w:t>需</w:t>
      </w:r>
      <w:r>
        <w:rPr>
          <w:rFonts w:hint="eastAsia" w:ascii="宋体" w:hAnsi="宋体"/>
          <w:sz w:val="24"/>
          <w:highlight w:val="none"/>
        </w:rPr>
        <w:t>继续履行。</w:t>
      </w:r>
    </w:p>
    <w:p>
      <w:pPr>
        <w:spacing w:line="360" w:lineRule="auto"/>
        <w:ind w:left="482"/>
        <w:rPr>
          <w:b/>
          <w:sz w:val="24"/>
          <w:highlight w:val="none"/>
        </w:rPr>
      </w:pPr>
    </w:p>
    <w:p>
      <w:pPr>
        <w:numPr>
          <w:ilvl w:val="0"/>
          <w:numId w:val="72"/>
        </w:numPr>
        <w:spacing w:line="360" w:lineRule="auto"/>
        <w:ind w:firstLine="482" w:firstLineChars="200"/>
        <w:rPr>
          <w:rFonts w:hint="eastAsia"/>
          <w:b/>
          <w:sz w:val="24"/>
          <w:highlight w:val="none"/>
        </w:rPr>
      </w:pPr>
      <w:r>
        <w:rPr>
          <w:rFonts w:hint="eastAsia"/>
          <w:b/>
          <w:sz w:val="24"/>
          <w:highlight w:val="none"/>
        </w:rPr>
        <w:t>协议生效和终止</w:t>
      </w:r>
    </w:p>
    <w:p>
      <w:pPr>
        <w:widowControl/>
        <w:numPr>
          <w:ilvl w:val="0"/>
          <w:numId w:val="77"/>
        </w:numPr>
        <w:spacing w:line="360" w:lineRule="auto"/>
        <w:contextualSpacing/>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contextualSpacing/>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contextualSpacing/>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contextualSpacing/>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rPr>
          <w:b/>
          <w:sz w:val="24"/>
          <w:highlight w:val="none"/>
        </w:rPr>
      </w:pPr>
      <w:r>
        <w:rPr>
          <w:rFonts w:hint="eastAsia"/>
          <w:b/>
          <w:sz w:val="24"/>
          <w:highlight w:val="none"/>
        </w:rPr>
        <w:t>附则</w:t>
      </w:r>
    </w:p>
    <w:p>
      <w:pPr>
        <w:widowControl/>
        <w:numPr>
          <w:ilvl w:val="0"/>
          <w:numId w:val="78"/>
        </w:numPr>
        <w:spacing w:line="360" w:lineRule="auto"/>
        <w:contextualSpacing/>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contextualSpacing/>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contextualSpacing/>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7"/>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jc w:val="center"/>
        <w:rPr>
          <w:rFonts w:hint="eastAsia"/>
          <w:b/>
          <w:sz w:val="44"/>
          <w:szCs w:val="44"/>
          <w:highlight w:val="none"/>
        </w:rPr>
      </w:pPr>
    </w:p>
    <w:p>
      <w:pPr>
        <w:jc w:val="center"/>
        <w:rPr>
          <w:rFonts w:hint="eastAsia"/>
          <w:b/>
          <w:sz w:val="44"/>
          <w:szCs w:val="44"/>
          <w:highlight w:val="none"/>
        </w:rPr>
      </w:pPr>
    </w:p>
    <w:p>
      <w:pPr>
        <w:jc w:val="center"/>
        <w:rPr>
          <w:rFonts w:hint="eastAsia"/>
          <w:b/>
          <w:sz w:val="44"/>
          <w:szCs w:val="44"/>
          <w:highlight w:val="none"/>
        </w:rPr>
      </w:pPr>
    </w:p>
    <w:p>
      <w:pPr>
        <w:jc w:val="center"/>
        <w:rPr>
          <w:rFonts w:hint="eastAsia"/>
          <w:b/>
          <w:sz w:val="44"/>
          <w:szCs w:val="44"/>
          <w:highlight w:val="none"/>
        </w:rPr>
      </w:pPr>
    </w:p>
    <w:p>
      <w:pPr>
        <w:jc w:val="center"/>
        <w:rPr>
          <w:rFonts w:hint="eastAsia"/>
          <w:b/>
          <w:sz w:val="44"/>
          <w:szCs w:val="44"/>
          <w:highlight w:val="none"/>
        </w:rPr>
      </w:pPr>
    </w:p>
    <w:p>
      <w:pPr>
        <w:jc w:val="center"/>
        <w:rPr>
          <w:rFonts w:hint="eastAsia"/>
          <w:b/>
          <w:sz w:val="44"/>
          <w:szCs w:val="44"/>
          <w:highlight w:val="none"/>
        </w:rPr>
      </w:pPr>
    </w:p>
    <w:p>
      <w:pPr>
        <w:jc w:val="both"/>
        <w:rPr>
          <w:rFonts w:hint="eastAsia"/>
          <w:b/>
          <w:sz w:val="44"/>
          <w:szCs w:val="44"/>
          <w:highlight w:val="none"/>
        </w:rPr>
      </w:pPr>
    </w:p>
    <w:p>
      <w:pPr>
        <w:jc w:val="center"/>
        <w:rPr>
          <w:rFonts w:hint="eastAsia"/>
          <w:b/>
          <w:sz w:val="44"/>
          <w:szCs w:val="44"/>
          <w:highlight w:val="none"/>
        </w:rPr>
      </w:pPr>
      <w:bookmarkStart w:id="0" w:name="_GoBack"/>
      <w:bookmarkEnd w:id="0"/>
      <w:r>
        <w:rPr>
          <w:rFonts w:hint="eastAsia"/>
          <w:b/>
          <w:sz w:val="44"/>
          <w:szCs w:val="44"/>
          <w:highlight w:val="none"/>
        </w:rPr>
        <w:t>杭银理财理财计划销售协议书</w:t>
      </w:r>
    </w:p>
    <w:p>
      <w:pPr>
        <w:jc w:val="center"/>
        <w:rPr>
          <w:rFonts w:hint="eastAsia"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center"/>
        <w:rPr>
          <w:sz w:val="32"/>
          <w:szCs w:val="40"/>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特别提示：《杭银理财理财计划销售协议书</w:t>
      </w:r>
      <w:r>
        <w:rPr>
          <w:rFonts w:hint="eastAsia" w:ascii="宋体" w:hAnsi="宋体" w:cs="宋体"/>
          <w:b/>
          <w:bCs/>
          <w:sz w:val="24"/>
          <w:highlight w:val="none"/>
        </w:rPr>
        <w:t>（</w:t>
      </w:r>
      <w:r>
        <w:rPr>
          <w:rFonts w:hint="eastAsia" w:ascii="宋体" w:hAnsi="宋体" w:cs="宋体"/>
          <w:b/>
          <w:bCs/>
          <w:sz w:val="24"/>
          <w:highlight w:val="none"/>
          <w:lang w:eastAsia="zh-CN"/>
        </w:rPr>
        <w:t>202201</w:t>
      </w:r>
      <w:r>
        <w:rPr>
          <w:rFonts w:hint="eastAsia" w:ascii="宋体" w:hAnsi="宋体" w:cs="宋体"/>
          <w:b/>
          <w:bCs/>
          <w:sz w:val="24"/>
          <w:highlight w:val="none"/>
        </w:rPr>
        <w:t>版）</w:t>
      </w:r>
      <w:r>
        <w:rPr>
          <w:rFonts w:hint="eastAsia"/>
          <w:b/>
          <w:bCs/>
          <w:sz w:val="24"/>
          <w:highlight w:val="none"/>
        </w:rPr>
        <w:t>》与对应期次的理财计划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spacing w:line="360" w:lineRule="auto"/>
        <w:ind w:firstLine="482" w:firstLineChars="200"/>
        <w:rPr>
          <w:b/>
          <w:bCs/>
          <w:sz w:val="24"/>
          <w:highlight w:val="none"/>
        </w:rPr>
      </w:pPr>
      <w:r>
        <w:rPr>
          <w:rFonts w:hint="eastAsia"/>
          <w:b/>
          <w:bCs/>
          <w:sz w:val="24"/>
          <w:highlight w:val="none"/>
        </w:rPr>
        <w:t>理财非存款、产品有风险、投资须谨慎，理财计划过往业绩不代表其未来表现，不等于理财计划实际收益。</w:t>
      </w:r>
    </w:p>
    <w:p>
      <w:pPr>
        <w:widowControl/>
        <w:spacing w:line="360" w:lineRule="auto"/>
        <w:ind w:firstLine="480" w:firstLineChars="200"/>
        <w:rPr>
          <w:rFonts w:hint="eastAsia"/>
          <w:sz w:val="24"/>
          <w:highlight w:val="none"/>
        </w:rPr>
      </w:pPr>
      <w:r>
        <w:rPr>
          <w:rFonts w:hint="eastAsia"/>
          <w:sz w:val="24"/>
          <w:highlight w:val="none"/>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sz w:val="24"/>
          <w:highlight w:val="none"/>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sz w:val="24"/>
          <w:highlight w:val="none"/>
        </w:rPr>
        <w:t>销售机构面向投资者实施销售行为，两方共同承担理财计划的合规销售和投资者合法权益保护义务。</w:t>
      </w:r>
    </w:p>
    <w:p>
      <w:pPr>
        <w:widowControl/>
        <w:spacing w:line="360" w:lineRule="auto"/>
        <w:ind w:firstLine="480" w:firstLineChars="200"/>
        <w:rPr>
          <w:rFonts w:hint="eastAsia"/>
          <w:sz w:val="24"/>
          <w:highlight w:val="none"/>
        </w:rPr>
      </w:pPr>
      <w:r>
        <w:rPr>
          <w:rFonts w:hint="eastAsia"/>
          <w:sz w:val="24"/>
          <w:highlight w:val="none"/>
        </w:rPr>
        <w:t>投资者与销售机构经平等友好协商，本着自愿、诚实信用原则，就投资者购买销售机构代理销售的理财计划有关事宜达成如下协议（以下简称“本协议”）：</w:t>
      </w:r>
    </w:p>
    <w:p>
      <w:pPr>
        <w:widowControl/>
        <w:spacing w:line="360" w:lineRule="auto"/>
        <w:ind w:firstLine="480" w:firstLineChars="200"/>
        <w:rPr>
          <w:rFonts w:hint="eastAsia"/>
          <w:sz w:val="24"/>
          <w:highlight w:val="none"/>
        </w:rPr>
      </w:pPr>
    </w:p>
    <w:p>
      <w:pPr>
        <w:widowControl/>
        <w:spacing w:line="360" w:lineRule="auto"/>
        <w:rPr>
          <w:rFonts w:hint="eastAsia"/>
          <w:b/>
          <w:bCs/>
          <w:sz w:val="24"/>
          <w:highlight w:val="none"/>
        </w:rPr>
      </w:pPr>
      <w:r>
        <w:rPr>
          <w:rFonts w:hint="eastAsia"/>
          <w:b/>
          <w:bCs/>
          <w:sz w:val="24"/>
          <w:highlight w:val="none"/>
        </w:rPr>
        <w:t xml:space="preserve">    第一条 名词释义</w:t>
      </w:r>
    </w:p>
    <w:p>
      <w:pPr>
        <w:widowControl/>
        <w:spacing w:line="360" w:lineRule="auto"/>
        <w:ind w:firstLine="480" w:firstLineChars="200"/>
        <w:jc w:val="left"/>
        <w:rPr>
          <w:rFonts w:hint="eastAsia"/>
          <w:bCs/>
          <w:sz w:val="24"/>
          <w:highlight w:val="none"/>
        </w:rPr>
      </w:pPr>
      <w:r>
        <w:rPr>
          <w:rFonts w:hint="eastAsia"/>
          <w:bCs/>
          <w:sz w:val="24"/>
          <w:highlight w:val="none"/>
        </w:rPr>
        <w:t>详见对应期次的理财计划产品说明书“释义”部分。</w:t>
      </w:r>
    </w:p>
    <w:p>
      <w:pPr>
        <w:widowControl/>
        <w:spacing w:line="360" w:lineRule="auto"/>
        <w:ind w:firstLine="480" w:firstLineChars="200"/>
        <w:jc w:val="left"/>
        <w:rPr>
          <w:rFonts w:hint="eastAsia"/>
          <w:bCs/>
          <w:sz w:val="24"/>
          <w:highlight w:val="none"/>
        </w:rPr>
      </w:pPr>
    </w:p>
    <w:p>
      <w:pPr>
        <w:widowControl/>
        <w:spacing w:line="360" w:lineRule="auto"/>
        <w:ind w:firstLine="482" w:firstLineChars="200"/>
        <w:jc w:val="left"/>
        <w:rPr>
          <w:rFonts w:hint="eastAsia"/>
          <w:b/>
          <w:bCs/>
          <w:sz w:val="24"/>
          <w:highlight w:val="none"/>
        </w:rPr>
      </w:pPr>
      <w:r>
        <w:rPr>
          <w:rFonts w:hint="eastAsia"/>
          <w:b/>
          <w:bCs/>
          <w:sz w:val="24"/>
          <w:highlight w:val="none"/>
        </w:rPr>
        <w:t>第二条 投资者权利与义务</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contextualSpacing/>
        <w:rPr>
          <w:rFonts w:hint="eastAsia" w:ascii="宋体" w:hAnsi="宋体"/>
          <w:sz w:val="24"/>
          <w:highlight w:val="none"/>
        </w:rPr>
      </w:pPr>
      <w:r>
        <w:rPr>
          <w:rFonts w:hint="eastAsia" w:ascii="宋体" w:hAnsi="宋体"/>
          <w:b/>
          <w:bCs/>
          <w:sz w:val="24"/>
          <w:highlight w:val="none"/>
        </w:rPr>
        <w:t>投资者购买销售机构代理销售的私募理财计划后，可以享有24 小时的投资冷静期，在投资冷静期内，如投资者改变投资决定，应提出解除相应理财计划合同文件申请，销售机构将及时退还投资者的全部投资款项。</w:t>
      </w:r>
      <w:r>
        <w:rPr>
          <w:rFonts w:hint="eastAsia" w:ascii="宋体" w:hAnsi="宋体"/>
          <w:sz w:val="24"/>
          <w:highlight w:val="none"/>
        </w:rPr>
        <w:t>投资冷静期相关约定详见理财计划产品说明书。</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numPr>
          <w:ilvl w:val="0"/>
          <w:numId w:val="79"/>
        </w:numPr>
        <w:spacing w:line="360" w:lineRule="auto"/>
        <w:contextualSpacing/>
        <w:rPr>
          <w:rFonts w:hint="eastAsia" w:ascii="宋体" w:hAnsi="宋体"/>
          <w:sz w:val="24"/>
          <w:highlight w:val="none"/>
        </w:rPr>
      </w:pPr>
      <w:r>
        <w:rPr>
          <w:rFonts w:hint="eastAsia" w:ascii="宋体" w:hAnsi="宋体"/>
          <w:b/>
          <w:bCs/>
          <w:sz w:val="24"/>
          <w:highlight w:val="none"/>
        </w:rPr>
        <w:t>投资者在此确认销售机构的系统记录以及录音、录像构成对投资者操作行为（包括但不限于购买、赎回、撤单）的有效证据，并且在双方发生争议时可以作为合法有效的证据使用</w:t>
      </w:r>
      <w:r>
        <w:rPr>
          <w:rFonts w:hint="eastAsia" w:ascii="宋体" w:hAnsi="宋体"/>
          <w:sz w:val="24"/>
          <w:highlight w:val="none"/>
        </w:rPr>
        <w:t>。</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sz w:val="24"/>
          <w:highlight w:val="none"/>
          <w:lang w:eastAsia="zh-CN"/>
        </w:rPr>
        <w:t>销售机构</w:t>
      </w:r>
      <w:r>
        <w:rPr>
          <w:rFonts w:hint="eastAsia" w:ascii="宋体" w:hAnsi="宋体"/>
          <w:sz w:val="24"/>
          <w:highlight w:val="none"/>
        </w:rPr>
        <w:t xml:space="preserve">对此不承担任何责任。 </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在本理财计划存续期内，如有权机关要求</w:t>
      </w:r>
      <w:r>
        <w:rPr>
          <w:rFonts w:hint="eastAsia" w:ascii="宋体" w:hAnsi="宋体"/>
          <w:sz w:val="24"/>
          <w:highlight w:val="none"/>
          <w:lang w:eastAsia="zh-CN"/>
        </w:rPr>
        <w:t>销售机构</w:t>
      </w:r>
      <w:r>
        <w:rPr>
          <w:rFonts w:hint="eastAsia" w:ascii="宋体" w:hAnsi="宋体"/>
          <w:sz w:val="24"/>
          <w:highlight w:val="none"/>
        </w:rPr>
        <w:t>配合对投资者理财份额、理财账户、授权指定账户进行查封、冻结或扣划的，</w:t>
      </w:r>
      <w:r>
        <w:rPr>
          <w:rFonts w:hint="eastAsia" w:ascii="宋体" w:hAnsi="宋体"/>
          <w:sz w:val="24"/>
          <w:highlight w:val="none"/>
          <w:lang w:eastAsia="zh-CN"/>
        </w:rPr>
        <w:t>销售机构</w:t>
      </w:r>
      <w:r>
        <w:rPr>
          <w:rFonts w:hint="eastAsia" w:ascii="宋体" w:hAnsi="宋体"/>
          <w:sz w:val="24"/>
          <w:highlight w:val="none"/>
        </w:rPr>
        <w:t>有权根据实际情况采取相应措施。</w:t>
      </w:r>
      <w:r>
        <w:rPr>
          <w:rFonts w:hint="eastAsia" w:ascii="宋体" w:hAnsi="宋体"/>
          <w:sz w:val="24"/>
          <w:highlight w:val="none"/>
          <w:lang w:eastAsia="zh-CN"/>
        </w:rPr>
        <w:t>销售机构</w:t>
      </w:r>
      <w:r>
        <w:rPr>
          <w:rFonts w:hint="eastAsia" w:ascii="宋体" w:hAnsi="宋体"/>
          <w:sz w:val="24"/>
          <w:highlight w:val="none"/>
        </w:rPr>
        <w:t xml:space="preserve">对上述后果不承担任何责任。 </w:t>
      </w:r>
    </w:p>
    <w:p>
      <w:pPr>
        <w:widowControl/>
        <w:numPr>
          <w:ilvl w:val="0"/>
          <w:numId w:val="79"/>
        </w:numPr>
        <w:spacing w:line="360" w:lineRule="auto"/>
        <w:ind w:left="0" w:firstLine="0"/>
        <w:contextualSpacing/>
        <w:rPr>
          <w:rFonts w:hint="eastAsia"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w:t>
      </w:r>
      <w:r>
        <w:rPr>
          <w:rFonts w:hint="eastAsia" w:ascii="宋体" w:hAnsi="宋体"/>
          <w:sz w:val="24"/>
          <w:highlight w:val="none"/>
          <w:lang w:eastAsia="zh-CN"/>
        </w:rPr>
        <w:t>销售机构</w:t>
      </w:r>
      <w:r>
        <w:rPr>
          <w:rFonts w:hint="eastAsia" w:ascii="宋体" w:hAnsi="宋体"/>
          <w:sz w:val="24"/>
          <w:highlight w:val="none"/>
        </w:rPr>
        <w:t>不承担任何责任。</w:t>
      </w:r>
    </w:p>
    <w:p>
      <w:pPr>
        <w:widowControl/>
        <w:numPr>
          <w:ilvl w:val="0"/>
          <w:numId w:val="73"/>
        </w:numPr>
        <w:spacing w:line="360" w:lineRule="auto"/>
        <w:contextualSpacing/>
        <w:rPr>
          <w:rFonts w:hint="eastAsia" w:ascii="宋体" w:hAnsi="宋体"/>
          <w:sz w:val="24"/>
          <w:highlight w:val="none"/>
        </w:rPr>
      </w:pPr>
      <w:r>
        <w:rPr>
          <w:rFonts w:hint="eastAsia" w:ascii="宋体" w:hAnsi="宋体"/>
          <w:sz w:val="24"/>
          <w:highlight w:val="none"/>
        </w:rPr>
        <w:t>投资者应确保其提供的所有资料真实、完整、合法、有效，如果有任何变更，投资者应及时通知</w:t>
      </w:r>
      <w:r>
        <w:rPr>
          <w:rFonts w:hint="eastAsia" w:ascii="宋体" w:hAnsi="宋体"/>
          <w:sz w:val="24"/>
          <w:highlight w:val="none"/>
          <w:lang w:eastAsia="zh-CN"/>
        </w:rPr>
        <w:t>销售机构</w:t>
      </w:r>
      <w:r>
        <w:rPr>
          <w:rFonts w:hint="eastAsia" w:ascii="宋体" w:hAnsi="宋体"/>
          <w:sz w:val="24"/>
          <w:highlight w:val="none"/>
        </w:rPr>
        <w:t>并办理变更手续。如因投资者未及时通知</w:t>
      </w:r>
      <w:r>
        <w:rPr>
          <w:rFonts w:hint="eastAsia" w:ascii="宋体" w:hAnsi="宋体"/>
          <w:sz w:val="24"/>
          <w:highlight w:val="none"/>
          <w:lang w:eastAsia="zh-CN"/>
        </w:rPr>
        <w:t>销售机构</w:t>
      </w:r>
      <w:r>
        <w:rPr>
          <w:rFonts w:hint="eastAsia" w:ascii="宋体" w:hAnsi="宋体"/>
          <w:sz w:val="24"/>
          <w:highlight w:val="none"/>
        </w:rPr>
        <w:t>并办理相应的变更手续，由此导致的一切后果由投资者自行承担，</w:t>
      </w:r>
      <w:r>
        <w:rPr>
          <w:rFonts w:hint="eastAsia" w:ascii="宋体" w:hAnsi="宋体"/>
          <w:sz w:val="24"/>
          <w:highlight w:val="none"/>
          <w:lang w:eastAsia="zh-CN"/>
        </w:rPr>
        <w:t>销售机构</w:t>
      </w:r>
      <w:r>
        <w:rPr>
          <w:rFonts w:hint="eastAsia" w:ascii="宋体" w:hAnsi="宋体"/>
          <w:sz w:val="24"/>
          <w:highlight w:val="none"/>
        </w:rPr>
        <w:t xml:space="preserve">对此不承担任何责任。 </w:t>
      </w:r>
    </w:p>
    <w:p>
      <w:pPr>
        <w:widowControl/>
        <w:numPr>
          <w:ilvl w:val="0"/>
          <w:numId w:val="73"/>
        </w:numPr>
        <w:spacing w:line="360" w:lineRule="auto"/>
        <w:contextualSpacing/>
        <w:rPr>
          <w:rFonts w:hint="eastAsia" w:ascii="宋体" w:hAnsi="宋体"/>
          <w:sz w:val="24"/>
          <w:highlight w:val="none"/>
        </w:rPr>
      </w:pPr>
      <w:r>
        <w:rPr>
          <w:rFonts w:hint="eastAsia" w:ascii="宋体" w:hAnsi="宋体"/>
          <w:sz w:val="24"/>
          <w:highlight w:val="none"/>
        </w:rPr>
        <w:t>投资者对本协议及其条款负有保密义务，未经</w:t>
      </w:r>
      <w:r>
        <w:rPr>
          <w:rFonts w:hint="eastAsia" w:ascii="宋体" w:hAnsi="宋体"/>
          <w:sz w:val="24"/>
          <w:highlight w:val="none"/>
          <w:lang w:eastAsia="zh-CN"/>
        </w:rPr>
        <w:t>销售机构</w:t>
      </w:r>
      <w:r>
        <w:rPr>
          <w:rFonts w:hint="eastAsia" w:ascii="宋体" w:hAnsi="宋体"/>
          <w:sz w:val="24"/>
          <w:highlight w:val="none"/>
        </w:rPr>
        <w:t>书面许可，不得向任何组织、个人提供或泄露与</w:t>
      </w:r>
      <w:r>
        <w:rPr>
          <w:rFonts w:hint="eastAsia" w:ascii="宋体" w:hAnsi="宋体"/>
          <w:sz w:val="24"/>
          <w:highlight w:val="none"/>
          <w:lang w:eastAsia="zh-CN"/>
        </w:rPr>
        <w:t>销售机构</w:t>
      </w:r>
      <w:r>
        <w:rPr>
          <w:rFonts w:hint="eastAsia" w:ascii="宋体" w:hAnsi="宋体"/>
          <w:sz w:val="24"/>
          <w:highlight w:val="none"/>
        </w:rPr>
        <w:t>有关的业务资料及信息，但法律、法规另有规定的除外。</w:t>
      </w:r>
    </w:p>
    <w:p>
      <w:pPr>
        <w:widowControl/>
        <w:numPr>
          <w:ilvl w:val="0"/>
          <w:numId w:val="73"/>
        </w:numPr>
        <w:spacing w:line="360" w:lineRule="auto"/>
        <w:contextualSpacing/>
        <w:rPr>
          <w:rFonts w:hint="eastAsia"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widowControl/>
        <w:numPr>
          <w:ilvl w:val="0"/>
          <w:numId w:val="73"/>
        </w:numPr>
        <w:spacing w:line="360" w:lineRule="auto"/>
        <w:contextualSpacing/>
        <w:rPr>
          <w:rFonts w:hint="eastAsia" w:ascii="宋体" w:hAnsi="宋体"/>
          <w:b/>
          <w:bCs/>
          <w:sz w:val="24"/>
          <w:highlight w:val="none"/>
        </w:rPr>
      </w:pPr>
      <w:r>
        <w:rPr>
          <w:rFonts w:hint="eastAsia" w:ascii="宋体" w:hAnsi="宋体"/>
          <w:b/>
          <w:bCs/>
          <w:sz w:val="24"/>
          <w:highlight w:val="none"/>
        </w:rPr>
        <w:t>投资者个人信息授权</w:t>
      </w:r>
    </w:p>
    <w:p>
      <w:pPr>
        <w:widowControl/>
        <w:spacing w:line="360" w:lineRule="auto"/>
        <w:ind w:firstLine="482" w:firstLineChars="200"/>
        <w:contextualSpacing/>
        <w:rPr>
          <w:rFonts w:hint="eastAsia" w:ascii="宋体" w:hAnsi="宋体"/>
          <w:b/>
          <w:bCs/>
          <w:sz w:val="24"/>
          <w:highlight w:val="none"/>
        </w:rPr>
      </w:pPr>
      <w:r>
        <w:rPr>
          <w:rFonts w:hint="eastAsia" w:ascii="宋体" w:hAnsi="宋体"/>
          <w:b/>
          <w:bCs/>
          <w:sz w:val="24"/>
          <w:highlight w:val="none"/>
        </w:rPr>
        <w:t>基于</w:t>
      </w:r>
      <w:r>
        <w:rPr>
          <w:rFonts w:hint="eastAsia" w:ascii="宋体" w:hAnsi="宋体"/>
          <w:b/>
          <w:bCs/>
          <w:sz w:val="24"/>
          <w:highlight w:val="none"/>
          <w:lang w:eastAsia="zh-CN"/>
        </w:rPr>
        <w:t>销售机构</w:t>
      </w:r>
      <w:r>
        <w:rPr>
          <w:rFonts w:hint="eastAsia" w:ascii="宋体" w:hAnsi="宋体"/>
          <w:b/>
          <w:bCs/>
          <w:sz w:val="24"/>
          <w:highlight w:val="none"/>
        </w:rPr>
        <w:t>履行本协议、进行服务管理和风险管理、报送监管信息等需要，履行反洗钱、投资者资质审核和销售适当性等法律法规和监管要求的义务，投资者在此同意并授权</w:t>
      </w:r>
      <w:r>
        <w:rPr>
          <w:rFonts w:hint="eastAsia" w:ascii="宋体" w:hAnsi="宋体"/>
          <w:b/>
          <w:bCs/>
          <w:sz w:val="24"/>
          <w:highlight w:val="none"/>
          <w:lang w:eastAsia="zh-CN"/>
        </w:rPr>
        <w:t>销售机构</w:t>
      </w:r>
      <w:r>
        <w:rPr>
          <w:rFonts w:hint="eastAsia" w:ascii="宋体" w:hAnsi="宋体"/>
          <w:b/>
          <w:bCs/>
          <w:sz w:val="24"/>
          <w:highlight w:val="none"/>
        </w:rPr>
        <w:t>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spacing w:line="360" w:lineRule="auto"/>
        <w:ind w:firstLine="482" w:firstLineChars="200"/>
        <w:contextualSpacing/>
        <w:rPr>
          <w:rFonts w:hint="eastAsia" w:ascii="宋体" w:hAnsi="宋体"/>
          <w:b/>
          <w:bCs/>
          <w:sz w:val="24"/>
          <w:highlight w:val="none"/>
        </w:rPr>
      </w:pPr>
      <w:r>
        <w:rPr>
          <w:rFonts w:hint="eastAsia" w:ascii="宋体" w:hAnsi="宋体" w:eastAsia="宋体"/>
          <w:b/>
          <w:bCs/>
          <w:sz w:val="24"/>
          <w:highlight w:val="none"/>
          <w:lang w:eastAsia="zh-CN"/>
        </w:rPr>
        <w:t>（</w:t>
      </w:r>
      <w:r>
        <w:rPr>
          <w:rFonts w:hint="eastAsia" w:ascii="宋体" w:hAnsi="宋体" w:eastAsia="宋体"/>
          <w:b/>
          <w:bCs/>
          <w:sz w:val="24"/>
          <w:highlight w:val="none"/>
          <w:lang w:val="en-US" w:eastAsia="zh-CN"/>
        </w:rPr>
        <w:t>十四</w:t>
      </w:r>
      <w:r>
        <w:rPr>
          <w:rFonts w:hint="eastAsia" w:ascii="宋体" w:hAnsi="宋体" w:eastAsia="宋体"/>
          <w:b/>
          <w:bCs/>
          <w:sz w:val="24"/>
          <w:highlight w:val="none"/>
          <w:lang w:eastAsia="zh-CN"/>
        </w:rPr>
        <w:t>）</w:t>
      </w: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spacing w:line="360" w:lineRule="auto"/>
        <w:ind w:firstLine="482" w:firstLineChars="200"/>
        <w:contextualSpacing/>
        <w:rPr>
          <w:rFonts w:ascii="宋体" w:hAnsi="宋体"/>
          <w:b/>
          <w:bCs/>
          <w:sz w:val="24"/>
          <w:highlight w:val="none"/>
        </w:rPr>
      </w:pPr>
    </w:p>
    <w:p>
      <w:pPr>
        <w:widowControl/>
        <w:spacing w:line="360" w:lineRule="auto"/>
        <w:rPr>
          <w:rFonts w:hint="eastAsia"/>
          <w:b/>
          <w:bCs/>
          <w:sz w:val="24"/>
          <w:highlight w:val="none"/>
        </w:rPr>
      </w:pPr>
      <w:r>
        <w:rPr>
          <w:rFonts w:hint="eastAsia"/>
          <w:b/>
          <w:bCs/>
          <w:sz w:val="24"/>
          <w:highlight w:val="none"/>
        </w:rPr>
        <w:t xml:space="preserve">    第三条 </w:t>
      </w:r>
      <w:r>
        <w:rPr>
          <w:rFonts w:hint="eastAsia"/>
          <w:b/>
          <w:bCs/>
          <w:sz w:val="24"/>
          <w:highlight w:val="none"/>
          <w:lang w:eastAsia="zh-CN"/>
        </w:rPr>
        <w:t>销售机构</w:t>
      </w:r>
      <w:r>
        <w:rPr>
          <w:rFonts w:hint="eastAsia"/>
          <w:b/>
          <w:bCs/>
          <w:sz w:val="24"/>
          <w:highlight w:val="none"/>
        </w:rPr>
        <w:t>的权利与义务</w:t>
      </w:r>
    </w:p>
    <w:p>
      <w:pPr>
        <w:widowControl/>
        <w:numPr>
          <w:ilvl w:val="0"/>
          <w:numId w:val="80"/>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应对拟销售的理财计划开展尽职调查，承担审批职责，并纳入本机构统一专门名单管理，不得仅以管理人相关产品资料或其出具意见作为审批依据。</w:t>
      </w:r>
      <w:r>
        <w:rPr>
          <w:rFonts w:hint="eastAsia" w:ascii="宋体" w:hAnsi="宋体"/>
          <w:sz w:val="24"/>
          <w:highlight w:val="none"/>
          <w:lang w:eastAsia="zh-CN"/>
        </w:rPr>
        <w:t>销售机构</w:t>
      </w:r>
      <w:r>
        <w:rPr>
          <w:rFonts w:hint="eastAsia" w:ascii="宋体" w:hAnsi="宋体"/>
          <w:sz w:val="24"/>
          <w:highlight w:val="none"/>
        </w:rPr>
        <w:t>应当根据本机构的方式和方法，独立、审慎地对代理销售的理财计划进行销售评级。销售评级与管理人产品评级结果不一致的，</w:t>
      </w:r>
      <w:r>
        <w:rPr>
          <w:rFonts w:hint="eastAsia" w:ascii="宋体" w:hAnsi="宋体"/>
          <w:sz w:val="24"/>
          <w:highlight w:val="none"/>
          <w:lang w:eastAsia="zh-CN"/>
        </w:rPr>
        <w:t>销售机构</w:t>
      </w:r>
      <w:r>
        <w:rPr>
          <w:rFonts w:hint="eastAsia" w:ascii="宋体" w:hAnsi="宋体"/>
          <w:sz w:val="24"/>
          <w:highlight w:val="none"/>
        </w:rPr>
        <w:t>应当采用对应较高风险等级的评级结果并予以披露。</w:t>
      </w:r>
    </w:p>
    <w:p>
      <w:pPr>
        <w:widowControl/>
        <w:numPr>
          <w:ilvl w:val="0"/>
          <w:numId w:val="80"/>
        </w:numPr>
        <w:spacing w:line="360" w:lineRule="auto"/>
        <w:contextualSpacing/>
        <w:jc w:val="left"/>
        <w:rPr>
          <w:rFonts w:hint="eastAsia" w:ascii="宋体" w:hAnsi="宋体"/>
          <w:sz w:val="24"/>
          <w:highlight w:val="none"/>
        </w:rPr>
      </w:pPr>
      <w:r>
        <w:rPr>
          <w:rFonts w:hint="eastAsia" w:ascii="宋体" w:hAnsi="宋体"/>
          <w:b/>
          <w:bCs/>
          <w:sz w:val="24"/>
          <w:highlight w:val="none"/>
        </w:rPr>
        <w:t>代理销售机构非本计划的发行、管理机构，对本计划的业绩不承担任何保证和其他经济责任，不承担本计划的投资、兑付和风险管理责任</w:t>
      </w:r>
      <w:r>
        <w:rPr>
          <w:rFonts w:hint="eastAsia" w:ascii="宋体" w:hAnsi="宋体"/>
          <w:sz w:val="24"/>
          <w:highlight w:val="none"/>
        </w:rPr>
        <w:t>。</w:t>
      </w:r>
    </w:p>
    <w:p>
      <w:pPr>
        <w:widowControl/>
        <w:numPr>
          <w:ilvl w:val="0"/>
          <w:numId w:val="80"/>
        </w:numPr>
        <w:spacing w:line="360" w:lineRule="auto"/>
        <w:contextualSpacing/>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应定期对购买其代理销售的理财计划的非机构投资者进行有效风险承受能力评估，并保证向投资者推介及销售与其风险承受能力匹配的产品。</w:t>
      </w:r>
    </w:p>
    <w:p>
      <w:pPr>
        <w:widowControl/>
        <w:numPr>
          <w:ilvl w:val="0"/>
          <w:numId w:val="80"/>
        </w:numPr>
        <w:spacing w:line="360" w:lineRule="auto"/>
        <w:contextualSpacing/>
        <w:jc w:val="left"/>
        <w:rPr>
          <w:rFonts w:hint="eastAsia" w:ascii="宋体" w:hAnsi="宋体"/>
          <w:sz w:val="24"/>
          <w:highlight w:val="none"/>
        </w:rPr>
      </w:pPr>
      <w:r>
        <w:rPr>
          <w:rFonts w:hint="eastAsia" w:ascii="宋体" w:hAnsi="宋体"/>
          <w:sz w:val="24"/>
          <w:highlight w:val="none"/>
        </w:rPr>
        <w:t>对于通过营业网点向非机构投资者销售理财计划的，</w:t>
      </w:r>
      <w:r>
        <w:rPr>
          <w:rFonts w:hint="eastAsia" w:ascii="宋体" w:hAnsi="宋体"/>
          <w:sz w:val="24"/>
          <w:highlight w:val="none"/>
          <w:lang w:eastAsia="zh-CN"/>
        </w:rPr>
        <w:t>销售机构</w:t>
      </w:r>
      <w:r>
        <w:rPr>
          <w:rFonts w:hint="eastAsia" w:ascii="宋体" w:hAnsi="宋体"/>
          <w:sz w:val="24"/>
          <w:highlight w:val="none"/>
        </w:rPr>
        <w:t>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numPr>
          <w:ilvl w:val="0"/>
          <w:numId w:val="80"/>
        </w:numPr>
        <w:spacing w:line="360" w:lineRule="auto"/>
        <w:contextualSpacing/>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numPr>
          <w:ilvl w:val="0"/>
          <w:numId w:val="80"/>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应建立健全上岗资格、持续培训、信息公示与查询核实等制度并有效执行。未经</w:t>
      </w:r>
      <w:r>
        <w:rPr>
          <w:rFonts w:hint="eastAsia" w:ascii="宋体" w:hAnsi="宋体"/>
          <w:sz w:val="24"/>
          <w:highlight w:val="none"/>
          <w:lang w:eastAsia="zh-CN"/>
        </w:rPr>
        <w:t>销售机构</w:t>
      </w:r>
      <w:r>
        <w:rPr>
          <w:rFonts w:hint="eastAsia" w:ascii="宋体" w:hAnsi="宋体"/>
          <w:sz w:val="24"/>
          <w:highlight w:val="none"/>
        </w:rPr>
        <w:t>进行上岗资格认定并签订劳动合同，任何人员不得从事理财计划销售业务活动。</w:t>
      </w:r>
    </w:p>
    <w:p>
      <w:pPr>
        <w:widowControl/>
        <w:numPr>
          <w:ilvl w:val="0"/>
          <w:numId w:val="80"/>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应对所有销售人员信息进行登记和公示。销售人员在向投资者宣传销售理财计划前进行自我介绍并告知信息查询和核实渠道，便于投资者查询核实，防止伪冒身份和虚假宣传。</w:t>
      </w:r>
    </w:p>
    <w:p>
      <w:pPr>
        <w:widowControl/>
        <w:numPr>
          <w:ilvl w:val="0"/>
          <w:numId w:val="80"/>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对投资者负有信息保密义务，未经投资者书面许可，乙方不得向任何组织、个人提供或泄露与甲方有关的业务资料及信息，但法律、法规另有规定的除外。</w:t>
      </w:r>
    </w:p>
    <w:p>
      <w:pPr>
        <w:widowControl/>
        <w:numPr>
          <w:ilvl w:val="0"/>
          <w:numId w:val="80"/>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应按照法律法规、监管规定、理财计划合同的约定收取销售费用，并如实核算、记账。未经载明，不得对不同投资者适用不同费率。</w:t>
      </w:r>
    </w:p>
    <w:p>
      <w:pPr>
        <w:widowControl/>
        <w:numPr>
          <w:ilvl w:val="0"/>
          <w:numId w:val="74"/>
        </w:numPr>
        <w:spacing w:line="360" w:lineRule="auto"/>
        <w:contextualSpacing/>
        <w:jc w:val="left"/>
        <w:rPr>
          <w:rFonts w:hint="eastAsia" w:ascii="宋体" w:hAnsi="宋体"/>
          <w:sz w:val="24"/>
          <w:highlight w:val="none"/>
        </w:rPr>
      </w:pPr>
      <w:r>
        <w:rPr>
          <w:rFonts w:hint="eastAsia" w:ascii="宋体" w:hAnsi="宋体"/>
          <w:sz w:val="24"/>
          <w:highlight w:val="none"/>
        </w:rPr>
        <w:t>理财计划销售结算资金属于理财计划投资者，</w:t>
      </w:r>
      <w:r>
        <w:rPr>
          <w:rFonts w:hint="eastAsia" w:ascii="宋体" w:hAnsi="宋体"/>
          <w:sz w:val="24"/>
          <w:highlight w:val="none"/>
          <w:lang w:eastAsia="zh-CN"/>
        </w:rPr>
        <w:t>销售机构</w:t>
      </w:r>
      <w:r>
        <w:rPr>
          <w:rFonts w:hint="eastAsia" w:ascii="宋体" w:hAnsi="宋体"/>
          <w:sz w:val="24"/>
          <w:highlight w:val="none"/>
        </w:rPr>
        <w:t>不得挪用理财计划销售结算资金或将理财计划销售结算资金归入自有资产。</w:t>
      </w:r>
    </w:p>
    <w:p>
      <w:pPr>
        <w:widowControl/>
        <w:numPr>
          <w:ilvl w:val="0"/>
          <w:numId w:val="74"/>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应遵守相关法律、法规、监管规定及理财计划合同约定，诚实守信、勤勉尽责，向购买理财计划的投资者充分传递管理人披露的产品相关信息并进行充分的风险揭示。</w:t>
      </w:r>
    </w:p>
    <w:p>
      <w:pPr>
        <w:widowControl/>
        <w:numPr>
          <w:ilvl w:val="0"/>
          <w:numId w:val="74"/>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应当充分利用科技手段，加强对伪冒网站、伪冒产品等监测，有效防范各类欺诈风险。</w:t>
      </w:r>
    </w:p>
    <w:p>
      <w:pPr>
        <w:widowControl/>
        <w:spacing w:line="360" w:lineRule="auto"/>
        <w:ind w:left="482"/>
        <w:contextualSpacing/>
        <w:jc w:val="left"/>
        <w:rPr>
          <w:rFonts w:hint="eastAsia" w:ascii="宋体" w:hAnsi="宋体"/>
          <w:b/>
          <w:bCs/>
          <w:sz w:val="24"/>
          <w:highlight w:val="none"/>
        </w:rPr>
      </w:pPr>
    </w:p>
    <w:p>
      <w:pPr>
        <w:widowControl/>
        <w:spacing w:line="360" w:lineRule="auto"/>
        <w:rPr>
          <w:rFonts w:hint="eastAsia"/>
          <w:b/>
          <w:bCs/>
          <w:sz w:val="24"/>
          <w:highlight w:val="none"/>
        </w:rPr>
      </w:pPr>
      <w:r>
        <w:rPr>
          <w:rFonts w:hint="eastAsia"/>
          <w:b/>
          <w:bCs/>
          <w:sz w:val="24"/>
          <w:highlight w:val="none"/>
        </w:rPr>
        <w:t xml:space="preserve">    第四条 理财计划认（申）购、赎回及终止</w:t>
      </w:r>
    </w:p>
    <w:p>
      <w:pPr>
        <w:widowControl/>
        <w:numPr>
          <w:ilvl w:val="0"/>
          <w:numId w:val="81"/>
        </w:numPr>
        <w:spacing w:line="360" w:lineRule="auto"/>
        <w:contextualSpacing/>
        <w:rPr>
          <w:rFonts w:hint="eastAsia"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81"/>
        </w:numPr>
        <w:spacing w:line="360" w:lineRule="auto"/>
        <w:contextualSpacing/>
        <w:rPr>
          <w:rFonts w:hint="eastAsia" w:ascii="宋体" w:hAnsi="宋体"/>
          <w:sz w:val="24"/>
          <w:highlight w:val="none"/>
        </w:rPr>
      </w:pPr>
      <w:r>
        <w:rPr>
          <w:rFonts w:hint="eastAsia" w:ascii="宋体" w:hAnsi="宋体"/>
          <w:sz w:val="24"/>
          <w:highlight w:val="none"/>
        </w:rPr>
        <w:t>理财计划认/申购确认：管理人根据销售渠道提供的交易信息及资金划付对投资者相应认/申购进行确认。</w:t>
      </w:r>
    </w:p>
    <w:p>
      <w:pPr>
        <w:widowControl/>
        <w:numPr>
          <w:ilvl w:val="0"/>
          <w:numId w:val="81"/>
        </w:numPr>
        <w:spacing w:line="360" w:lineRule="auto"/>
        <w:contextualSpacing/>
        <w:rPr>
          <w:rFonts w:hint="eastAsia" w:ascii="宋体" w:hAnsi="宋体"/>
          <w:sz w:val="24"/>
          <w:highlight w:val="none"/>
        </w:rPr>
      </w:pPr>
      <w:r>
        <w:rPr>
          <w:rFonts w:hint="eastAsia" w:ascii="宋体" w:hAnsi="宋体"/>
          <w:sz w:val="24"/>
          <w:highlight w:val="none"/>
        </w:rPr>
        <w:t>理财计划不成立：若在募集期结束日，本理财计划发行规模未能达到对应期次的理财计划产品说明书规定的要求，则本理财计划不成立，</w:t>
      </w:r>
      <w:r>
        <w:rPr>
          <w:rFonts w:hint="eastAsia" w:ascii="宋体" w:hAnsi="宋体"/>
          <w:sz w:val="24"/>
          <w:highlight w:val="none"/>
          <w:lang w:eastAsia="zh-CN"/>
        </w:rPr>
        <w:t>销售机构</w:t>
      </w:r>
      <w:r>
        <w:rPr>
          <w:rFonts w:hint="eastAsia" w:ascii="宋体" w:hAnsi="宋体"/>
          <w:sz w:val="24"/>
          <w:highlight w:val="none"/>
        </w:rPr>
        <w:t xml:space="preserve">将按对应期次的理财计划产品说明书约定条款向投资者进行公告，并将及时解除对投资者授权指定账户中认购资金的冻结。 </w:t>
      </w:r>
    </w:p>
    <w:p>
      <w:pPr>
        <w:widowControl/>
        <w:numPr>
          <w:ilvl w:val="0"/>
          <w:numId w:val="81"/>
        </w:numPr>
        <w:spacing w:line="360" w:lineRule="auto"/>
        <w:contextualSpacing/>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81"/>
        </w:numPr>
        <w:spacing w:line="360" w:lineRule="auto"/>
        <w:contextualSpacing/>
        <w:rPr>
          <w:rFonts w:hint="eastAsia" w:ascii="宋体" w:hAnsi="宋体"/>
          <w:sz w:val="24"/>
          <w:highlight w:val="none"/>
        </w:rPr>
      </w:pPr>
      <w:r>
        <w:rPr>
          <w:rFonts w:hint="eastAsia" w:ascii="宋体" w:hAnsi="宋体"/>
          <w:sz w:val="24"/>
          <w:highlight w:val="none"/>
        </w:rPr>
        <w:t>理财计划赎回/终止兑付：在正常情况下，管理人和</w:t>
      </w:r>
      <w:r>
        <w:rPr>
          <w:rFonts w:hint="eastAsia" w:ascii="宋体" w:hAnsi="宋体"/>
          <w:sz w:val="24"/>
          <w:highlight w:val="none"/>
          <w:lang w:eastAsia="zh-CN"/>
        </w:rPr>
        <w:t>销售机构</w:t>
      </w:r>
      <w:r>
        <w:rPr>
          <w:rFonts w:hint="eastAsia" w:ascii="宋体" w:hAnsi="宋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w:t>
      </w:r>
      <w:r>
        <w:rPr>
          <w:rFonts w:hint="eastAsia" w:ascii="宋体" w:hAnsi="宋体"/>
          <w:sz w:val="24"/>
          <w:highlight w:val="none"/>
          <w:lang w:eastAsia="zh-CN"/>
        </w:rPr>
        <w:t>销售机构</w:t>
      </w:r>
      <w:r>
        <w:rPr>
          <w:rFonts w:hint="eastAsia" w:ascii="宋体" w:hAnsi="宋体"/>
          <w:sz w:val="24"/>
          <w:highlight w:val="none"/>
        </w:rPr>
        <w:t>将于原约定清算日前通过信息披露途径及时通知，并根据实际情况进行后续处理。</w:t>
      </w:r>
    </w:p>
    <w:p>
      <w:pPr>
        <w:widowControl/>
        <w:numPr>
          <w:ilvl w:val="0"/>
          <w:numId w:val="81"/>
        </w:numPr>
        <w:spacing w:line="360" w:lineRule="auto"/>
        <w:contextualSpacing/>
        <w:rPr>
          <w:rFonts w:hint="eastAsia" w:ascii="宋体" w:hAnsi="宋体"/>
          <w:sz w:val="24"/>
          <w:highlight w:val="none"/>
        </w:rPr>
      </w:pPr>
      <w:r>
        <w:rPr>
          <w:rFonts w:hint="eastAsia" w:ascii="宋体" w:hAnsi="宋体"/>
          <w:sz w:val="24"/>
          <w:highlight w:val="none"/>
        </w:rPr>
        <w:t>资金清算：理财计划终止或份额赎回时，管理人按理财计划合同约定划付至</w:t>
      </w:r>
      <w:r>
        <w:rPr>
          <w:rFonts w:hint="eastAsia" w:ascii="宋体" w:hAnsi="宋体"/>
          <w:sz w:val="24"/>
          <w:highlight w:val="none"/>
          <w:lang w:eastAsia="zh-CN"/>
        </w:rPr>
        <w:t>销售机构</w:t>
      </w:r>
      <w:r>
        <w:rPr>
          <w:rFonts w:hint="eastAsia" w:ascii="宋体" w:hAnsi="宋体"/>
          <w:sz w:val="24"/>
          <w:highlight w:val="none"/>
        </w:rPr>
        <w:t>清算账户后，由</w:t>
      </w:r>
      <w:r>
        <w:rPr>
          <w:rFonts w:hint="eastAsia" w:ascii="宋体" w:hAnsi="宋体"/>
          <w:sz w:val="24"/>
          <w:highlight w:val="none"/>
          <w:lang w:eastAsia="zh-CN"/>
        </w:rPr>
        <w:t>销售机构</w:t>
      </w:r>
      <w:r>
        <w:rPr>
          <w:rFonts w:hint="eastAsia" w:ascii="宋体" w:hAnsi="宋体"/>
          <w:sz w:val="24"/>
          <w:highlight w:val="none"/>
        </w:rPr>
        <w:t>向投资者划付投资者应得资金。如因投资者清算账户余额不足，或</w:t>
      </w:r>
      <w:r>
        <w:rPr>
          <w:rFonts w:hint="eastAsia" w:ascii="宋体" w:hAnsi="宋体"/>
          <w:sz w:val="24"/>
          <w:highlight w:val="none"/>
          <w:lang w:eastAsia="zh-CN"/>
        </w:rPr>
        <w:t>销售机构</w:t>
      </w:r>
      <w:r>
        <w:rPr>
          <w:rFonts w:hint="eastAsia" w:ascii="宋体" w:hAnsi="宋体"/>
          <w:sz w:val="24"/>
          <w:highlight w:val="none"/>
        </w:rPr>
        <w:t>未及时足额划付资金，或</w:t>
      </w:r>
      <w:r>
        <w:rPr>
          <w:rFonts w:hint="eastAsia" w:ascii="宋体" w:hAnsi="宋体"/>
          <w:sz w:val="24"/>
          <w:highlight w:val="none"/>
          <w:lang w:eastAsia="zh-CN"/>
        </w:rPr>
        <w:t>销售机构</w:t>
      </w:r>
      <w:r>
        <w:rPr>
          <w:rFonts w:hint="eastAsia" w:ascii="宋体" w:hAnsi="宋体"/>
          <w:sz w:val="24"/>
          <w:highlight w:val="none"/>
        </w:rPr>
        <w:t>清算账户内资金被依法冻结或扣划，或</w:t>
      </w:r>
      <w:r>
        <w:rPr>
          <w:rFonts w:hint="eastAsia" w:ascii="宋体" w:hAnsi="宋体"/>
          <w:sz w:val="24"/>
          <w:highlight w:val="none"/>
          <w:lang w:eastAsia="zh-CN"/>
        </w:rPr>
        <w:t>销售机构</w:t>
      </w:r>
      <w:r>
        <w:rPr>
          <w:rFonts w:hint="eastAsia" w:ascii="宋体" w:hAnsi="宋体"/>
          <w:sz w:val="24"/>
          <w:highlight w:val="none"/>
        </w:rPr>
        <w:t>清算账户处于被挂失、冻结、注销或其他非正常状态等原因而导致交易失败，对于因上述原因导致的交易失败可能带来的任何损失及预期损失，投资者须自行承担或向</w:t>
      </w:r>
      <w:r>
        <w:rPr>
          <w:rFonts w:hint="eastAsia" w:ascii="宋体" w:hAnsi="宋体"/>
          <w:sz w:val="24"/>
          <w:highlight w:val="none"/>
          <w:lang w:eastAsia="zh-CN"/>
        </w:rPr>
        <w:t>销售机构</w:t>
      </w:r>
      <w:r>
        <w:rPr>
          <w:rFonts w:hint="eastAsia" w:ascii="宋体" w:hAnsi="宋体"/>
          <w:sz w:val="24"/>
          <w:highlight w:val="none"/>
        </w:rPr>
        <w:t>依法主张。</w:t>
      </w:r>
    </w:p>
    <w:p>
      <w:pPr>
        <w:widowControl/>
        <w:spacing w:line="360" w:lineRule="auto"/>
        <w:ind w:left="178" w:leftChars="85"/>
        <w:contextualSpacing/>
        <w:rPr>
          <w:rFonts w:hint="eastAsia" w:ascii="宋体" w:hAnsi="宋体"/>
          <w:b/>
          <w:bCs/>
          <w:sz w:val="24"/>
          <w:highlight w:val="none"/>
        </w:rPr>
      </w:pPr>
    </w:p>
    <w:p>
      <w:pPr>
        <w:widowControl/>
        <w:spacing w:line="360" w:lineRule="auto"/>
        <w:rPr>
          <w:rFonts w:hint="eastAsia"/>
          <w:b/>
          <w:bCs/>
          <w:sz w:val="24"/>
          <w:highlight w:val="none"/>
        </w:rPr>
      </w:pPr>
      <w:r>
        <w:rPr>
          <w:rFonts w:hint="eastAsia"/>
          <w:b/>
          <w:bCs/>
          <w:sz w:val="24"/>
          <w:highlight w:val="none"/>
        </w:rPr>
        <w:t xml:space="preserve">    第五条 违约责任及免责条款</w:t>
      </w:r>
    </w:p>
    <w:p>
      <w:pPr>
        <w:widowControl/>
        <w:numPr>
          <w:ilvl w:val="0"/>
          <w:numId w:val="82"/>
        </w:numPr>
        <w:spacing w:line="360" w:lineRule="auto"/>
        <w:contextualSpacing/>
        <w:rPr>
          <w:rFonts w:hint="eastAsia" w:ascii="宋体" w:hAnsi="宋体"/>
          <w:sz w:val="24"/>
          <w:highlight w:val="none"/>
        </w:rPr>
      </w:pPr>
      <w:r>
        <w:rPr>
          <w:rFonts w:hint="eastAsia" w:ascii="宋体" w:hAnsi="宋体"/>
          <w:sz w:val="24"/>
          <w:highlight w:val="none"/>
        </w:rPr>
        <w:t>若因投资者原因导致司法或行政等有权机关采取强制措施对其理财本金、收益进行部分或全部被扣划，均视投资者本人就全部理财本金进行了提前</w:t>
      </w:r>
      <w:r>
        <w:rPr>
          <w:rFonts w:hint="eastAsia" w:ascii="宋体" w:hAnsi="宋体"/>
          <w:sz w:val="24"/>
          <w:highlight w:val="none"/>
          <w:lang w:val="en-US" w:eastAsia="zh-CN"/>
        </w:rPr>
        <w:t>赎回</w:t>
      </w:r>
      <w:r>
        <w:rPr>
          <w:rFonts w:hint="eastAsia" w:ascii="宋体" w:hAnsi="宋体"/>
          <w:sz w:val="24"/>
          <w:highlight w:val="none"/>
        </w:rPr>
        <w:t>，本协议自动终止。因提前终止而产生的损失及相关费用由投资者承担。本协议因前述情况终止的，理财本金不计付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82"/>
        </w:numPr>
        <w:spacing w:line="360" w:lineRule="auto"/>
        <w:contextualSpacing/>
        <w:rPr>
          <w:rFonts w:hint="eastAsia" w:ascii="宋体" w:hAnsi="宋体"/>
          <w:sz w:val="24"/>
          <w:highlight w:val="none"/>
        </w:rPr>
      </w:pPr>
      <w:r>
        <w:rPr>
          <w:rFonts w:hint="eastAsia" w:ascii="宋体" w:hAnsi="宋体"/>
          <w:sz w:val="24"/>
          <w:highlight w:val="none"/>
        </w:rPr>
        <w:t>投资者违反本协议第二条内容，应承担相应违约责任。</w:t>
      </w:r>
      <w:r>
        <w:rPr>
          <w:rFonts w:hint="eastAsia" w:ascii="宋体" w:hAnsi="宋体"/>
          <w:sz w:val="24"/>
          <w:highlight w:val="none"/>
          <w:lang w:eastAsia="zh-CN"/>
        </w:rPr>
        <w:t>销售机构</w:t>
      </w:r>
      <w:r>
        <w:rPr>
          <w:rFonts w:hint="eastAsia" w:ascii="宋体" w:hAnsi="宋体"/>
          <w:sz w:val="24"/>
          <w:highlight w:val="none"/>
        </w:rPr>
        <w:t>对由此导致的理财业务交易延误、中断、终止及投资者损失不承担任何责任，并有权单方终止双方理财业务关系。因投资者违反双方约定给</w:t>
      </w:r>
      <w:r>
        <w:rPr>
          <w:rFonts w:hint="eastAsia" w:ascii="宋体" w:hAnsi="宋体"/>
          <w:sz w:val="24"/>
          <w:highlight w:val="none"/>
          <w:lang w:eastAsia="zh-CN"/>
        </w:rPr>
        <w:t>销售机构</w:t>
      </w:r>
      <w:r>
        <w:rPr>
          <w:rFonts w:hint="eastAsia" w:ascii="宋体" w:hAnsi="宋体"/>
          <w:sz w:val="24"/>
          <w:highlight w:val="none"/>
        </w:rPr>
        <w:t>或全体投资者造成损失的，投资者应承担相应的赔偿责任。</w:t>
      </w:r>
    </w:p>
    <w:p>
      <w:pPr>
        <w:widowControl/>
        <w:numPr>
          <w:ilvl w:val="0"/>
          <w:numId w:val="82"/>
        </w:numPr>
        <w:spacing w:line="360" w:lineRule="auto"/>
        <w:contextualSpacing/>
        <w:rPr>
          <w:rFonts w:hint="eastAsia" w:ascii="宋体" w:hAnsi="宋体"/>
          <w:sz w:val="24"/>
          <w:highlight w:val="none"/>
        </w:rPr>
      </w:pPr>
      <w:r>
        <w:rPr>
          <w:rFonts w:hint="eastAsia" w:ascii="宋体" w:hAnsi="宋体"/>
          <w:sz w:val="24"/>
          <w:highlight w:val="none"/>
        </w:rPr>
        <w:t>若由于</w:t>
      </w:r>
      <w:r>
        <w:rPr>
          <w:rFonts w:hint="eastAsia" w:ascii="宋体" w:hAnsi="宋体"/>
          <w:sz w:val="24"/>
          <w:highlight w:val="none"/>
          <w:lang w:eastAsia="zh-CN"/>
        </w:rPr>
        <w:t>销售机构</w:t>
      </w:r>
      <w:r>
        <w:rPr>
          <w:rFonts w:hint="eastAsia" w:ascii="宋体" w:hAnsi="宋体"/>
          <w:sz w:val="24"/>
          <w:highlight w:val="none"/>
        </w:rPr>
        <w:t>过错导致理财计划资产发生损失，</w:t>
      </w:r>
      <w:r>
        <w:rPr>
          <w:rFonts w:hint="eastAsia" w:ascii="宋体" w:hAnsi="宋体"/>
          <w:sz w:val="24"/>
          <w:highlight w:val="none"/>
          <w:lang w:eastAsia="zh-CN"/>
        </w:rPr>
        <w:t>销售机构</w:t>
      </w:r>
      <w:r>
        <w:rPr>
          <w:rFonts w:hint="eastAsia" w:ascii="宋体" w:hAnsi="宋体"/>
          <w:sz w:val="24"/>
          <w:highlight w:val="none"/>
        </w:rPr>
        <w:t>应按其过错承担赔偿责任，</w:t>
      </w:r>
      <w:r>
        <w:rPr>
          <w:rFonts w:hint="eastAsia" w:ascii="宋体" w:hAnsi="宋体"/>
          <w:sz w:val="24"/>
          <w:highlight w:val="none"/>
          <w:lang w:eastAsia="zh-CN"/>
        </w:rPr>
        <w:t>销售机构</w:t>
      </w:r>
      <w:r>
        <w:rPr>
          <w:rFonts w:hint="eastAsia" w:ascii="宋体" w:hAnsi="宋体"/>
          <w:sz w:val="24"/>
          <w:highlight w:val="none"/>
        </w:rPr>
        <w:t>赔偿的款项计入理财计划的资产和收益。</w:t>
      </w:r>
    </w:p>
    <w:p>
      <w:pPr>
        <w:widowControl/>
        <w:numPr>
          <w:ilvl w:val="0"/>
          <w:numId w:val="82"/>
        </w:numPr>
        <w:spacing w:line="360" w:lineRule="auto"/>
        <w:contextualSpacing/>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sz w:val="24"/>
          <w:highlight w:val="none"/>
        </w:rPr>
        <w:t>不承担责任；但</w:t>
      </w:r>
      <w:r>
        <w:rPr>
          <w:rFonts w:hint="eastAsia" w:ascii="宋体" w:hAnsi="宋体"/>
          <w:sz w:val="24"/>
          <w:highlight w:val="none"/>
          <w:lang w:eastAsia="zh-CN"/>
        </w:rPr>
        <w:t>销售机构</w:t>
      </w:r>
      <w:r>
        <w:rPr>
          <w:rFonts w:hint="eastAsia" w:ascii="宋体" w:hAnsi="宋体"/>
          <w:sz w:val="24"/>
          <w:highlight w:val="none"/>
        </w:rPr>
        <w:t>应在上述情况发生后在条件允许时及时通知投资者并采取一切必要且可能的措施阻止损失扩大。</w:t>
      </w:r>
    </w:p>
    <w:p>
      <w:pPr>
        <w:widowControl/>
        <w:numPr>
          <w:ilvl w:val="0"/>
          <w:numId w:val="82"/>
        </w:numPr>
        <w:spacing w:line="360" w:lineRule="auto"/>
        <w:contextualSpacing/>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w:t>
      </w:r>
      <w:r>
        <w:rPr>
          <w:rFonts w:hint="eastAsia" w:ascii="宋体" w:hAnsi="宋体"/>
          <w:sz w:val="24"/>
          <w:highlight w:val="none"/>
          <w:lang w:eastAsia="zh-CN"/>
        </w:rPr>
        <w:t>销售机构</w:t>
      </w:r>
      <w:r>
        <w:rPr>
          <w:rFonts w:hint="eastAsia" w:ascii="宋体" w:hAnsi="宋体"/>
          <w:sz w:val="24"/>
          <w:highlight w:val="none"/>
        </w:rPr>
        <w:t>不承担责任。</w:t>
      </w:r>
    </w:p>
    <w:p>
      <w:pPr>
        <w:widowControl/>
        <w:spacing w:line="360" w:lineRule="auto"/>
        <w:contextualSpacing/>
        <w:rPr>
          <w:rFonts w:hint="eastAsia" w:ascii="宋体" w:hAnsi="宋体"/>
          <w:b/>
          <w:bCs/>
          <w:sz w:val="24"/>
          <w:highlight w:val="none"/>
        </w:rPr>
      </w:pPr>
    </w:p>
    <w:p>
      <w:pPr>
        <w:widowControl/>
        <w:spacing w:line="360" w:lineRule="auto"/>
        <w:rPr>
          <w:rFonts w:hint="eastAsia"/>
          <w:b/>
          <w:bCs/>
          <w:sz w:val="24"/>
          <w:highlight w:val="none"/>
        </w:rPr>
      </w:pPr>
      <w:r>
        <w:rPr>
          <w:rFonts w:hint="eastAsia"/>
          <w:b/>
          <w:bCs/>
          <w:sz w:val="24"/>
          <w:highlight w:val="none"/>
        </w:rPr>
        <w:t xml:space="preserve">    第六条 适用法律与争议解决</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本协议适用中华人民共和国（仅为明确本合同适用法律规则，不含香港特别行政区、澳门特别行政区及中国台湾地区）的法律和行政法规。本协议项下的及与之有关的一切争议，投资者与</w:t>
      </w:r>
      <w:r>
        <w:rPr>
          <w:rFonts w:hint="eastAsia" w:ascii="宋体" w:hAnsi="宋体"/>
          <w:sz w:val="24"/>
          <w:highlight w:val="none"/>
          <w:lang w:eastAsia="zh-CN"/>
        </w:rPr>
        <w:t>销售机构</w:t>
      </w:r>
      <w:r>
        <w:rPr>
          <w:rFonts w:hint="eastAsia" w:ascii="宋体" w:hAnsi="宋体"/>
          <w:sz w:val="24"/>
          <w:highlight w:val="none"/>
        </w:rPr>
        <w:t>双方应首先协商解决，协商不成的，应提交</w:t>
      </w:r>
      <w:r>
        <w:rPr>
          <w:rFonts w:hint="eastAsia" w:ascii="宋体" w:hAnsi="宋体"/>
          <w:sz w:val="24"/>
          <w:highlight w:val="none"/>
          <w:lang w:eastAsia="zh-CN"/>
        </w:rPr>
        <w:t>销售机构</w:t>
      </w:r>
      <w:r>
        <w:rPr>
          <w:rFonts w:hint="eastAsia" w:ascii="宋体" w:hAnsi="宋体" w:eastAsia="宋体" w:cs="黑体"/>
          <w:sz w:val="24"/>
          <w:highlight w:val="none"/>
          <w:lang w:val="en-US" w:eastAsia="zh-CN"/>
        </w:rPr>
        <w:t>或管理人</w:t>
      </w:r>
      <w:r>
        <w:rPr>
          <w:rFonts w:hint="eastAsia" w:ascii="宋体" w:hAnsi="宋体"/>
          <w:sz w:val="24"/>
          <w:highlight w:val="none"/>
        </w:rPr>
        <w:t>所在地人民法院诉讼解决。诉讼期间，未涉及争议的条款仍需继续履行。</w:t>
      </w:r>
    </w:p>
    <w:p>
      <w:pPr>
        <w:widowControl/>
        <w:spacing w:line="360" w:lineRule="auto"/>
        <w:ind w:firstLine="482" w:firstLineChars="200"/>
        <w:contextualSpacing/>
        <w:rPr>
          <w:rFonts w:hint="eastAsia" w:ascii="宋体" w:hAnsi="宋体"/>
          <w:b/>
          <w:bCs/>
          <w:sz w:val="24"/>
          <w:highlight w:val="none"/>
        </w:rPr>
      </w:pPr>
    </w:p>
    <w:p>
      <w:pPr>
        <w:widowControl/>
        <w:spacing w:line="360" w:lineRule="auto"/>
        <w:rPr>
          <w:rFonts w:hint="eastAsia"/>
          <w:b/>
          <w:bCs/>
          <w:sz w:val="24"/>
          <w:highlight w:val="none"/>
        </w:rPr>
      </w:pPr>
      <w:r>
        <w:rPr>
          <w:rFonts w:hint="eastAsia"/>
          <w:b/>
          <w:bCs/>
          <w:sz w:val="24"/>
          <w:highlight w:val="none"/>
        </w:rPr>
        <w:t xml:space="preserve">    第七条 协议生效和终止</w:t>
      </w:r>
    </w:p>
    <w:p>
      <w:pPr>
        <w:widowControl/>
        <w:numPr>
          <w:ilvl w:val="0"/>
          <w:numId w:val="83"/>
        </w:numPr>
        <w:spacing w:line="360" w:lineRule="auto"/>
        <w:contextualSpacing/>
        <w:rPr>
          <w:rFonts w:hint="eastAsia" w:ascii="宋体" w:hAnsi="宋体"/>
          <w:sz w:val="24"/>
          <w:highlight w:val="none"/>
        </w:rPr>
      </w:pPr>
      <w:r>
        <w:rPr>
          <w:rFonts w:hint="eastAsia" w:ascii="宋体" w:hAnsi="宋体"/>
          <w:sz w:val="24"/>
          <w:highlight w:val="none"/>
        </w:rPr>
        <w:t>投资者和</w:t>
      </w:r>
      <w:r>
        <w:rPr>
          <w:rFonts w:hint="eastAsia" w:ascii="宋体" w:hAnsi="宋体"/>
          <w:sz w:val="24"/>
          <w:highlight w:val="none"/>
          <w:lang w:eastAsia="zh-CN"/>
        </w:rPr>
        <w:t>销售机构</w:t>
      </w:r>
      <w:r>
        <w:rPr>
          <w:rFonts w:hint="eastAsia" w:ascii="宋体" w:hAnsi="宋体"/>
          <w:sz w:val="24"/>
          <w:highlight w:val="none"/>
        </w:rPr>
        <w:t xml:space="preserve">双方认可本协议可以纸质或电子数据等形式提交、订立或确认。 </w:t>
      </w:r>
    </w:p>
    <w:p>
      <w:pPr>
        <w:widowControl/>
        <w:numPr>
          <w:ilvl w:val="0"/>
          <w:numId w:val="84"/>
        </w:numPr>
        <w:spacing w:line="360" w:lineRule="auto"/>
        <w:contextualSpacing/>
        <w:rPr>
          <w:rFonts w:hint="eastAsia" w:ascii="宋体" w:hAnsi="宋体"/>
          <w:sz w:val="24"/>
          <w:highlight w:val="none"/>
        </w:rPr>
      </w:pPr>
      <w:r>
        <w:rPr>
          <w:rFonts w:hint="eastAsia" w:ascii="宋体" w:hAnsi="宋体"/>
          <w:sz w:val="24"/>
          <w:highlight w:val="none"/>
        </w:rPr>
        <w:t>本协议书以纸质书面形式订立的，自投资者签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 xml:space="preserve">各执壹份，具有同等法律效力。 </w:t>
      </w:r>
    </w:p>
    <w:p>
      <w:pPr>
        <w:widowControl/>
        <w:numPr>
          <w:ilvl w:val="0"/>
          <w:numId w:val="84"/>
        </w:numPr>
        <w:spacing w:line="360" w:lineRule="auto"/>
        <w:contextualSpacing/>
        <w:rPr>
          <w:rFonts w:hint="eastAsia" w:ascii="宋体" w:hAnsi="宋体"/>
          <w:sz w:val="24"/>
          <w:highlight w:val="none"/>
        </w:rPr>
      </w:pPr>
      <w:r>
        <w:rPr>
          <w:rFonts w:hint="eastAsia" w:ascii="宋体" w:hAnsi="宋体"/>
          <w:sz w:val="24"/>
          <w:highlight w:val="none"/>
        </w:rPr>
        <w:t>本协议书以数据电文形式订立的，投资者在</w:t>
      </w:r>
      <w:r>
        <w:rPr>
          <w:rFonts w:hint="eastAsia" w:ascii="宋体" w:hAnsi="宋体"/>
          <w:sz w:val="24"/>
          <w:highlight w:val="none"/>
          <w:lang w:eastAsia="zh-CN"/>
        </w:rPr>
        <w:t>销售机构</w:t>
      </w:r>
      <w:r>
        <w:rPr>
          <w:rFonts w:hint="eastAsia" w:ascii="宋体" w:hAnsi="宋体"/>
          <w:sz w:val="24"/>
          <w:highlight w:val="none"/>
        </w:rPr>
        <w:t>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84"/>
        </w:numPr>
        <w:spacing w:line="360" w:lineRule="auto"/>
        <w:contextualSpacing/>
        <w:rPr>
          <w:rFonts w:hint="eastAsia" w:ascii="宋体" w:hAnsi="宋体"/>
          <w:sz w:val="24"/>
          <w:highlight w:val="none"/>
        </w:rPr>
      </w:pPr>
      <w:r>
        <w:rPr>
          <w:rFonts w:hint="eastAsia" w:ascii="宋体" w:hAnsi="宋体"/>
          <w:sz w:val="24"/>
          <w:highlight w:val="none"/>
        </w:rPr>
        <w:t>投资者和</w:t>
      </w:r>
      <w:r>
        <w:rPr>
          <w:rFonts w:hint="eastAsia" w:ascii="宋体" w:hAnsi="宋体"/>
          <w:sz w:val="24"/>
          <w:highlight w:val="none"/>
          <w:lang w:eastAsia="zh-CN"/>
        </w:rPr>
        <w:t>销售机构</w:t>
      </w:r>
      <w:r>
        <w:rPr>
          <w:rFonts w:hint="eastAsia" w:ascii="宋体" w:hAnsi="宋体"/>
          <w:sz w:val="24"/>
          <w:highlight w:val="none"/>
        </w:rPr>
        <w:t>双方在本协议及对应期次的理财计划产品说明书项下权利义务履行完毕之日，本协议自动终止。</w:t>
      </w:r>
    </w:p>
    <w:p>
      <w:pPr>
        <w:widowControl/>
        <w:spacing w:line="360" w:lineRule="auto"/>
        <w:ind w:left="420"/>
        <w:contextualSpacing/>
        <w:rPr>
          <w:rFonts w:hint="eastAsia" w:ascii="宋体" w:hAnsi="宋体"/>
          <w:sz w:val="24"/>
          <w:highlight w:val="none"/>
        </w:rPr>
      </w:pPr>
    </w:p>
    <w:p>
      <w:pPr>
        <w:widowControl/>
        <w:spacing w:line="360" w:lineRule="auto"/>
        <w:rPr>
          <w:rFonts w:hint="eastAsia"/>
          <w:b/>
          <w:sz w:val="24"/>
          <w:highlight w:val="none"/>
        </w:rPr>
      </w:pPr>
      <w:r>
        <w:rPr>
          <w:rFonts w:hint="eastAsia"/>
          <w:b/>
          <w:sz w:val="24"/>
          <w:highlight w:val="none"/>
        </w:rPr>
        <w:t xml:space="preserve">    第八条 附则 </w:t>
      </w:r>
    </w:p>
    <w:p>
      <w:pPr>
        <w:widowControl/>
        <w:numPr>
          <w:ilvl w:val="0"/>
          <w:numId w:val="85"/>
        </w:numPr>
        <w:spacing w:line="360" w:lineRule="auto"/>
        <w:contextualSpacing/>
        <w:rPr>
          <w:rFonts w:hint="eastAsia" w:ascii="宋体" w:hAnsi="宋体"/>
          <w:sz w:val="24"/>
          <w:highlight w:val="none"/>
        </w:rPr>
      </w:pPr>
      <w:r>
        <w:rPr>
          <w:rFonts w:hint="eastAsia" w:ascii="宋体" w:hAnsi="宋体"/>
          <w:sz w:val="24"/>
          <w:highlight w:val="none"/>
        </w:rPr>
        <w:t>如果投资者与</w:t>
      </w:r>
      <w:r>
        <w:rPr>
          <w:rFonts w:hint="eastAsia" w:ascii="宋体" w:hAnsi="宋体"/>
          <w:sz w:val="24"/>
          <w:highlight w:val="none"/>
          <w:lang w:eastAsia="zh-CN"/>
        </w:rPr>
        <w:t>销售机构</w:t>
      </w:r>
      <w:r>
        <w:rPr>
          <w:rFonts w:hint="eastAsia" w:ascii="宋体" w:hAnsi="宋体"/>
          <w:sz w:val="24"/>
          <w:highlight w:val="none"/>
        </w:rPr>
        <w:t>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numPr>
          <w:ilvl w:val="0"/>
          <w:numId w:val="85"/>
        </w:numPr>
        <w:spacing w:line="360" w:lineRule="auto"/>
        <w:contextualSpacing/>
        <w:rPr>
          <w:rFonts w:hint="eastAsia"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85"/>
        </w:numPr>
        <w:spacing w:line="360" w:lineRule="auto"/>
        <w:contextualSpacing/>
        <w:rPr>
          <w:rFonts w:hint="eastAsia"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w:t>
      </w:r>
      <w:r>
        <w:rPr>
          <w:rFonts w:ascii="宋体" w:hAnsi="宋体"/>
          <w:sz w:val="24"/>
          <w:highlight w:val="none"/>
        </w:rPr>
        <w:t>合同</w:t>
      </w:r>
      <w:r>
        <w:rPr>
          <w:rFonts w:hint="eastAsia" w:ascii="宋体" w:hAnsi="宋体"/>
          <w:sz w:val="24"/>
          <w:highlight w:val="none"/>
        </w:rPr>
        <w:t>销售文件进行修订。</w:t>
      </w:r>
    </w:p>
    <w:p>
      <w:pPr>
        <w:widowControl/>
        <w:spacing w:line="360" w:lineRule="auto"/>
        <w:contextualSpacing/>
        <w:rPr>
          <w:rFonts w:hint="eastAsia" w:ascii="宋体" w:hAnsi="宋体"/>
          <w:sz w:val="24"/>
          <w:highlight w:val="none"/>
        </w:rPr>
      </w:pPr>
    </w:p>
    <w:p>
      <w:pPr>
        <w:spacing w:line="360" w:lineRule="auto"/>
        <w:rPr>
          <w:highlight w:val="none"/>
        </w:rPr>
      </w:pPr>
    </w:p>
    <w:p>
      <w:pPr>
        <w:spacing w:line="360" w:lineRule="auto"/>
        <w:rPr>
          <w:highlight w:val="none"/>
        </w:rPr>
      </w:pPr>
    </w:p>
    <w:p>
      <w:pPr>
        <w:widowControl/>
        <w:spacing w:line="360" w:lineRule="auto"/>
        <w:jc w:val="right"/>
        <w:rPr>
          <w:rFonts w:hint="eastAsia" w:ascii="宋体" w:hAnsi="Wingdings" w:cs="宋体"/>
          <w:color w:val="000000"/>
          <w:kern w:val="0"/>
          <w:sz w:val="24"/>
          <w:highlight w:val="none"/>
        </w:rPr>
      </w:pPr>
      <w:r>
        <w:rPr>
          <w:rFonts w:hint="eastAsia" w:ascii="宋体" w:hAnsi="宋体" w:cs="宋体"/>
          <w:kern w:val="0"/>
          <w:sz w:val="24"/>
          <w:highlight w:val="none"/>
        </w:rPr>
        <w:t>杭银理财有限责任公司</w:t>
      </w:r>
    </w:p>
    <w:p>
      <w:pPr>
        <w:spacing w:line="360" w:lineRule="auto"/>
        <w:rPr>
          <w:highlight w:val="none"/>
        </w:rPr>
      </w:pPr>
    </w:p>
    <w:p>
      <w:pPr>
        <w:spacing w:line="360" w:lineRule="auto"/>
        <w:rPr>
          <w:highlight w:val="none"/>
        </w:rPr>
      </w:pPr>
    </w:p>
    <w:p>
      <w:pPr>
        <w:spacing w:line="360" w:lineRule="auto"/>
        <w:rPr>
          <w:rFonts w:hint="eastAsia"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本页为纸质形式（如有）销售协议书签章页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lang w:eastAsia="zh-CN"/>
        </w:rPr>
        <w:t>销售机构</w:t>
      </w:r>
      <w:r>
        <w:rPr>
          <w:rFonts w:hint="eastAsia" w:ascii="宋体" w:hAnsi="宋体"/>
          <w:b/>
          <w:bCs/>
          <w:sz w:val="24"/>
          <w:highlight w:val="none"/>
        </w:rPr>
        <w:t>签章：</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rPr>
      </w:pPr>
      <w:r>
        <w:rPr>
          <w:rFonts w:hint="eastAsia" w:ascii="Arial" w:hAnsi="Arial"/>
          <w:sz w:val="24"/>
          <w:highlight w:val="none"/>
        </w:rPr>
        <w:t xml:space="preserve">   年   月   日</w:t>
      </w:r>
    </w:p>
    <w:p>
      <w:pPr>
        <w:spacing w:line="360" w:lineRule="auto"/>
        <w:ind w:firstLine="480" w:firstLineChars="200"/>
        <w:rPr>
          <w:rFonts w:ascii="宋体" w:hAnsi="宋体" w:cs="宋体"/>
          <w:bCs/>
          <w:color w:val="000000"/>
          <w:sz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b/>
        <w:bCs/>
        <w:color w:val="auto"/>
        <w:lang w:eastAsia="zh-CN"/>
      </w:rPr>
      <w:t>理财非存款</w:t>
    </w:r>
    <w:r>
      <w:rPr>
        <w:rFonts w:hint="eastAsia"/>
        <w:b/>
        <w:bCs/>
        <w:color w:val="auto"/>
        <w:lang w:val="en-US" w:eastAsia="zh-CN"/>
      </w:rPr>
      <w:t xml:space="preserve"> 产品有风险 投资</w:t>
    </w:r>
    <w:r>
      <w:rPr>
        <w:rFonts w:hint="eastAsia"/>
        <w:b/>
        <w:bCs/>
        <w:color w:val="auto"/>
        <w:highlight w:val="none"/>
        <w:lang w:val="en-US" w:eastAsia="zh-CN"/>
      </w:rPr>
      <w:t>须</w:t>
    </w:r>
    <w:r>
      <w:rPr>
        <w:rFonts w:hint="eastAsia"/>
        <w:b/>
        <w:bCs/>
        <w:color w:val="auto"/>
        <w:lang w:val="en-US" w:eastAsia="zh-CN"/>
      </w:rPr>
      <w:t>谨慎</w:t>
    </w:r>
    <w:r>
      <w:rPr>
        <w:rFonts w:hint="default" w:eastAsia="宋体"/>
        <w:b/>
        <w:bCs/>
        <w:color w:val="auto"/>
        <w:lang w:val="en-US" w:eastAsia="zh-CN"/>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6B89099"/>
    <w:multiLevelType w:val="singleLevel"/>
    <w:tmpl w:val="C6B89099"/>
    <w:lvl w:ilvl="0" w:tentative="0">
      <w:start w:val="1"/>
      <w:numFmt w:val="upperLetter"/>
      <w:suff w:val="nothing"/>
      <w:lvlText w:val="%1、"/>
      <w:lvlJc w:val="left"/>
    </w:lvl>
  </w:abstractNum>
  <w:abstractNum w:abstractNumId="23">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4">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5">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6">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7">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8">
    <w:nsid w:val="D8D75090"/>
    <w:multiLevelType w:val="singleLevel"/>
    <w:tmpl w:val="D8D75090"/>
    <w:lvl w:ilvl="0" w:tentative="0">
      <w:start w:val="1"/>
      <w:numFmt w:val="decimal"/>
      <w:suff w:val="nothing"/>
      <w:lvlText w:val="（%1）"/>
      <w:lvlJc w:val="left"/>
      <w:rPr>
        <w:rFonts w:hint="default"/>
        <w:b w:val="0"/>
        <w:bCs w:val="0"/>
      </w:rPr>
    </w:lvl>
  </w:abstractNum>
  <w:abstractNum w:abstractNumId="29">
    <w:nsid w:val="DD2251DF"/>
    <w:multiLevelType w:val="singleLevel"/>
    <w:tmpl w:val="DD2251DF"/>
    <w:lvl w:ilvl="0" w:tentative="0">
      <w:start w:val="1"/>
      <w:numFmt w:val="decimal"/>
      <w:suff w:val="nothing"/>
      <w:lvlText w:val="（%1）"/>
      <w:lvlJc w:val="left"/>
      <w:rPr>
        <w:rFonts w:hint="default"/>
        <w:b w:val="0"/>
        <w:bCs w:val="0"/>
      </w:rPr>
    </w:lvl>
  </w:abstractNum>
  <w:abstractNum w:abstractNumId="30">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1">
    <w:nsid w:val="E70DF796"/>
    <w:multiLevelType w:val="singleLevel"/>
    <w:tmpl w:val="E70DF796"/>
    <w:lvl w:ilvl="0" w:tentative="0">
      <w:start w:val="1"/>
      <w:numFmt w:val="decimal"/>
      <w:suff w:val="nothing"/>
      <w:lvlText w:val="（%1）"/>
      <w:lvlJc w:val="left"/>
    </w:lvl>
  </w:abstractNum>
  <w:abstractNum w:abstractNumId="32">
    <w:nsid w:val="EFF37F09"/>
    <w:multiLevelType w:val="singleLevel"/>
    <w:tmpl w:val="EFF37F09"/>
    <w:lvl w:ilvl="0" w:tentative="0">
      <w:start w:val="1"/>
      <w:numFmt w:val="decimal"/>
      <w:suff w:val="nothing"/>
      <w:lvlText w:val="（%1）"/>
      <w:lvlJc w:val="left"/>
      <w:rPr>
        <w:rFonts w:hint="default"/>
        <w:b w:val="0"/>
        <w:bCs w:val="0"/>
      </w:rPr>
    </w:lvl>
  </w:abstractNum>
  <w:abstractNum w:abstractNumId="33">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5">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6">
    <w:nsid w:val="F574F5B6"/>
    <w:multiLevelType w:val="singleLevel"/>
    <w:tmpl w:val="F574F5B6"/>
    <w:lvl w:ilvl="0" w:tentative="0">
      <w:start w:val="1"/>
      <w:numFmt w:val="decimal"/>
      <w:suff w:val="nothing"/>
      <w:lvlText w:val="（%1）"/>
      <w:lvlJc w:val="left"/>
    </w:lvl>
  </w:abstractNum>
  <w:abstractNum w:abstractNumId="37">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8">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9">
    <w:nsid w:val="084A6179"/>
    <w:multiLevelType w:val="singleLevel"/>
    <w:tmpl w:val="084A6179"/>
    <w:lvl w:ilvl="0" w:tentative="0">
      <w:start w:val="1"/>
      <w:numFmt w:val="decimal"/>
      <w:suff w:val="nothing"/>
      <w:lvlText w:val="（%1）"/>
      <w:lvlJc w:val="left"/>
    </w:lvl>
  </w:abstractNum>
  <w:abstractNum w:abstractNumId="40">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42">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3">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4">
    <w:nsid w:val="167B0BB4"/>
    <w:multiLevelType w:val="singleLevel"/>
    <w:tmpl w:val="167B0BB4"/>
    <w:lvl w:ilvl="0" w:tentative="0">
      <w:start w:val="1"/>
      <w:numFmt w:val="decimal"/>
      <w:suff w:val="nothing"/>
      <w:lvlText w:val="（%1）"/>
      <w:lvlJc w:val="left"/>
    </w:lvl>
  </w:abstractNum>
  <w:abstractNum w:abstractNumId="45">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6">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7">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8">
    <w:nsid w:val="2CB63BE6"/>
    <w:multiLevelType w:val="singleLevel"/>
    <w:tmpl w:val="2CB63BE6"/>
    <w:lvl w:ilvl="0" w:tentative="0">
      <w:start w:val="1"/>
      <w:numFmt w:val="decimal"/>
      <w:suff w:val="nothing"/>
      <w:lvlText w:val="（%1）"/>
      <w:lvlJc w:val="left"/>
      <w:rPr>
        <w:rFonts w:hint="default"/>
        <w:b w:val="0"/>
        <w:bCs w:val="0"/>
      </w:rPr>
    </w:lvl>
  </w:abstractNum>
  <w:abstractNum w:abstractNumId="49">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5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85F49ED"/>
    <w:multiLevelType w:val="singleLevel"/>
    <w:tmpl w:val="785F49ED"/>
    <w:lvl w:ilvl="0" w:tentative="0">
      <w:start w:val="1"/>
      <w:numFmt w:val="upperLetter"/>
      <w:suff w:val="nothing"/>
      <w:lvlText w:val="%1、"/>
      <w:lvlJc w:val="left"/>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3"/>
  </w:num>
  <w:num w:numId="4">
    <w:abstractNumId w:val="46"/>
  </w:num>
  <w:num w:numId="5">
    <w:abstractNumId w:val="24"/>
  </w:num>
  <w:num w:numId="6">
    <w:abstractNumId w:val="82"/>
  </w:num>
  <w:num w:numId="7">
    <w:abstractNumId w:val="40"/>
  </w:num>
  <w:num w:numId="8">
    <w:abstractNumId w:val="84"/>
  </w:num>
  <w:num w:numId="9">
    <w:abstractNumId w:val="58"/>
  </w:num>
  <w:num w:numId="10">
    <w:abstractNumId w:val="55"/>
  </w:num>
  <w:num w:numId="11">
    <w:abstractNumId w:val="37"/>
  </w:num>
  <w:num w:numId="12">
    <w:abstractNumId w:val="34"/>
  </w:num>
  <w:num w:numId="13">
    <w:abstractNumId w:val="42"/>
  </w:num>
  <w:num w:numId="14">
    <w:abstractNumId w:val="33"/>
  </w:num>
  <w:num w:numId="15">
    <w:abstractNumId w:val="25"/>
  </w:num>
  <w:num w:numId="16">
    <w:abstractNumId w:val="13"/>
  </w:num>
  <w:num w:numId="17">
    <w:abstractNumId w:val="20"/>
  </w:num>
  <w:num w:numId="18">
    <w:abstractNumId w:val="10"/>
  </w:num>
  <w:num w:numId="19">
    <w:abstractNumId w:val="83"/>
  </w:num>
  <w:num w:numId="20">
    <w:abstractNumId w:val="22"/>
  </w:num>
  <w:num w:numId="21">
    <w:abstractNumId w:val="11"/>
  </w:num>
  <w:num w:numId="22">
    <w:abstractNumId w:val="9"/>
  </w:num>
  <w:num w:numId="23">
    <w:abstractNumId w:val="41"/>
  </w:num>
  <w:num w:numId="24">
    <w:abstractNumId w:val="7"/>
  </w:num>
  <w:num w:numId="25">
    <w:abstractNumId w:val="2"/>
  </w:num>
  <w:num w:numId="26">
    <w:abstractNumId w:val="54"/>
  </w:num>
  <w:num w:numId="27">
    <w:abstractNumId w:val="36"/>
  </w:num>
  <w:num w:numId="28">
    <w:abstractNumId w:val="60"/>
  </w:num>
  <w:num w:numId="29">
    <w:abstractNumId w:val="23"/>
  </w:num>
  <w:num w:numId="30">
    <w:abstractNumId w:val="47"/>
  </w:num>
  <w:num w:numId="31">
    <w:abstractNumId w:val="27"/>
  </w:num>
  <w:num w:numId="32">
    <w:abstractNumId w:val="8"/>
  </w:num>
  <w:num w:numId="33">
    <w:abstractNumId w:val="57"/>
  </w:num>
  <w:num w:numId="34">
    <w:abstractNumId w:val="6"/>
  </w:num>
  <w:num w:numId="35">
    <w:abstractNumId w:val="39"/>
  </w:num>
  <w:num w:numId="36">
    <w:abstractNumId w:val="45"/>
  </w:num>
  <w:num w:numId="37">
    <w:abstractNumId w:val="81"/>
  </w:num>
  <w:num w:numId="38">
    <w:abstractNumId w:val="38"/>
  </w:num>
  <w:num w:numId="39">
    <w:abstractNumId w:val="26"/>
  </w:num>
  <w:num w:numId="40">
    <w:abstractNumId w:val="49"/>
  </w:num>
  <w:num w:numId="41">
    <w:abstractNumId w:val="0"/>
  </w:num>
  <w:num w:numId="42">
    <w:abstractNumId w:val="29"/>
  </w:num>
  <w:num w:numId="43">
    <w:abstractNumId w:val="52"/>
  </w:num>
  <w:num w:numId="44">
    <w:abstractNumId w:val="4"/>
  </w:num>
  <w:num w:numId="45">
    <w:abstractNumId w:val="30"/>
  </w:num>
  <w:num w:numId="46">
    <w:abstractNumId w:val="19"/>
  </w:num>
  <w:num w:numId="47">
    <w:abstractNumId w:val="56"/>
  </w:num>
  <w:num w:numId="48">
    <w:abstractNumId w:val="43"/>
  </w:num>
  <w:num w:numId="49">
    <w:abstractNumId w:val="21"/>
  </w:num>
  <w:num w:numId="50">
    <w:abstractNumId w:val="35"/>
  </w:num>
  <w:num w:numId="51">
    <w:abstractNumId w:val="31"/>
  </w:num>
  <w:num w:numId="52">
    <w:abstractNumId w:val="32"/>
  </w:num>
  <w:num w:numId="53">
    <w:abstractNumId w:val="80"/>
  </w:num>
  <w:num w:numId="54">
    <w:abstractNumId w:val="48"/>
  </w:num>
  <w:num w:numId="55">
    <w:abstractNumId w:val="3"/>
  </w:num>
  <w:num w:numId="56">
    <w:abstractNumId w:val="59"/>
  </w:num>
  <w:num w:numId="57">
    <w:abstractNumId w:val="14"/>
  </w:num>
  <w:num w:numId="58">
    <w:abstractNumId w:val="12"/>
  </w:num>
  <w:num w:numId="59">
    <w:abstractNumId w:val="15"/>
  </w:num>
  <w:num w:numId="60">
    <w:abstractNumId w:val="44"/>
  </w:num>
  <w:num w:numId="61">
    <w:abstractNumId w:val="28"/>
  </w:num>
  <w:num w:numId="62">
    <w:abstractNumId w:val="5"/>
  </w:num>
  <w:num w:numId="63">
    <w:abstractNumId w:val="51"/>
  </w:num>
  <w:num w:numId="64">
    <w:abstractNumId w:val="68"/>
  </w:num>
  <w:num w:numId="65">
    <w:abstractNumId w:val="67"/>
  </w:num>
  <w:num w:numId="66">
    <w:abstractNumId w:val="69"/>
  </w:num>
  <w:num w:numId="67">
    <w:abstractNumId w:val="70"/>
  </w:num>
  <w:num w:numId="68">
    <w:abstractNumId w:val="71"/>
  </w:num>
  <w:num w:numId="69">
    <w:abstractNumId w:val="72"/>
  </w:num>
  <w:num w:numId="70">
    <w:abstractNumId w:val="73"/>
  </w:num>
  <w:num w:numId="71">
    <w:abstractNumId w:val="50"/>
  </w:num>
  <w:num w:numId="72">
    <w:abstractNumId w:val="18"/>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4"/>
  </w:num>
  <w:num w:numId="80">
    <w:abstractNumId w:val="75"/>
  </w:num>
  <w:num w:numId="81">
    <w:abstractNumId w:val="17"/>
  </w:num>
  <w:num w:numId="82">
    <w:abstractNumId w:val="76"/>
  </w:num>
  <w:num w:numId="83">
    <w:abstractNumId w:val="77"/>
  </w:num>
  <w:num w:numId="84">
    <w:abstractNumId w:val="78"/>
  </w:num>
  <w:num w:numId="85">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jUwYzE3NDdkZDY1ZTUwZTQwZTM5ODM0MmI1ZGMifQ=="/>
    <w:docVar w:name="KSO_WPS_MARK_KEY" w:val="37e384c3-4aaa-440e-934e-6eda64ea758b"/>
  </w:docVars>
  <w:rsids>
    <w:rsidRoot w:val="00172A27"/>
    <w:rsid w:val="00127EED"/>
    <w:rsid w:val="002C7EF9"/>
    <w:rsid w:val="004909B3"/>
    <w:rsid w:val="00520830"/>
    <w:rsid w:val="006E07BC"/>
    <w:rsid w:val="007B6489"/>
    <w:rsid w:val="00AB5752"/>
    <w:rsid w:val="00E06929"/>
    <w:rsid w:val="00EB712E"/>
    <w:rsid w:val="00FB0E83"/>
    <w:rsid w:val="01E330BC"/>
    <w:rsid w:val="022C266D"/>
    <w:rsid w:val="02CB4AF7"/>
    <w:rsid w:val="03170B42"/>
    <w:rsid w:val="033259D5"/>
    <w:rsid w:val="03E00C28"/>
    <w:rsid w:val="0468177F"/>
    <w:rsid w:val="04845B79"/>
    <w:rsid w:val="05424251"/>
    <w:rsid w:val="06605967"/>
    <w:rsid w:val="06920C22"/>
    <w:rsid w:val="06DF1F61"/>
    <w:rsid w:val="07F57DA4"/>
    <w:rsid w:val="0825466B"/>
    <w:rsid w:val="08C06B57"/>
    <w:rsid w:val="0AEF3D0C"/>
    <w:rsid w:val="0B413915"/>
    <w:rsid w:val="0B8251C9"/>
    <w:rsid w:val="0B9C1C2D"/>
    <w:rsid w:val="0B9E090F"/>
    <w:rsid w:val="0CD50D95"/>
    <w:rsid w:val="0E9E528B"/>
    <w:rsid w:val="0F777231"/>
    <w:rsid w:val="0F8072BB"/>
    <w:rsid w:val="0F866D61"/>
    <w:rsid w:val="0FAD023A"/>
    <w:rsid w:val="0FEA2F7E"/>
    <w:rsid w:val="10267CF2"/>
    <w:rsid w:val="10D07610"/>
    <w:rsid w:val="10E505B7"/>
    <w:rsid w:val="1141717E"/>
    <w:rsid w:val="116065B3"/>
    <w:rsid w:val="11C946E2"/>
    <w:rsid w:val="126D33E8"/>
    <w:rsid w:val="127D7AC5"/>
    <w:rsid w:val="132F20ED"/>
    <w:rsid w:val="14233F1C"/>
    <w:rsid w:val="14CB7308"/>
    <w:rsid w:val="15025C38"/>
    <w:rsid w:val="15507D31"/>
    <w:rsid w:val="155A68E0"/>
    <w:rsid w:val="162F2D71"/>
    <w:rsid w:val="17F36337"/>
    <w:rsid w:val="18A92B8D"/>
    <w:rsid w:val="1968460F"/>
    <w:rsid w:val="1AE95F31"/>
    <w:rsid w:val="1BFC63BA"/>
    <w:rsid w:val="1C692544"/>
    <w:rsid w:val="1C79739D"/>
    <w:rsid w:val="1C8F465C"/>
    <w:rsid w:val="1CDE544D"/>
    <w:rsid w:val="1E135651"/>
    <w:rsid w:val="1E544E3F"/>
    <w:rsid w:val="1EF50B96"/>
    <w:rsid w:val="1F7D3106"/>
    <w:rsid w:val="1FDA2F63"/>
    <w:rsid w:val="21A67B64"/>
    <w:rsid w:val="2297514B"/>
    <w:rsid w:val="22B23AF8"/>
    <w:rsid w:val="242D0854"/>
    <w:rsid w:val="245970A1"/>
    <w:rsid w:val="247755D9"/>
    <w:rsid w:val="25D26B04"/>
    <w:rsid w:val="25DA3557"/>
    <w:rsid w:val="25F575DD"/>
    <w:rsid w:val="262303A4"/>
    <w:rsid w:val="26B7240F"/>
    <w:rsid w:val="26B84FF0"/>
    <w:rsid w:val="27505FBA"/>
    <w:rsid w:val="28036D87"/>
    <w:rsid w:val="2B47610E"/>
    <w:rsid w:val="2BCD0352"/>
    <w:rsid w:val="2BFB4554"/>
    <w:rsid w:val="2C9B2A75"/>
    <w:rsid w:val="2CA02CA1"/>
    <w:rsid w:val="2CB41CDE"/>
    <w:rsid w:val="2CE66423"/>
    <w:rsid w:val="2D4B4C9F"/>
    <w:rsid w:val="2E804153"/>
    <w:rsid w:val="2F5B1280"/>
    <w:rsid w:val="2F7A6DFD"/>
    <w:rsid w:val="2FAF3B79"/>
    <w:rsid w:val="2FF60969"/>
    <w:rsid w:val="301723CA"/>
    <w:rsid w:val="31750334"/>
    <w:rsid w:val="32485F31"/>
    <w:rsid w:val="34824A12"/>
    <w:rsid w:val="35105209"/>
    <w:rsid w:val="36405DEC"/>
    <w:rsid w:val="370319F6"/>
    <w:rsid w:val="37501DF6"/>
    <w:rsid w:val="3888715E"/>
    <w:rsid w:val="389B7D8D"/>
    <w:rsid w:val="39CE7544"/>
    <w:rsid w:val="39DC1BD6"/>
    <w:rsid w:val="3AFE2EA6"/>
    <w:rsid w:val="3B5B41E5"/>
    <w:rsid w:val="3B613958"/>
    <w:rsid w:val="3B7A06B4"/>
    <w:rsid w:val="3C162EE1"/>
    <w:rsid w:val="3D803185"/>
    <w:rsid w:val="3D952002"/>
    <w:rsid w:val="3DAF1A5E"/>
    <w:rsid w:val="3DC62513"/>
    <w:rsid w:val="3E267866"/>
    <w:rsid w:val="3E446F72"/>
    <w:rsid w:val="3E6260D1"/>
    <w:rsid w:val="3F9428BE"/>
    <w:rsid w:val="401D42F0"/>
    <w:rsid w:val="40FA2D1A"/>
    <w:rsid w:val="41F97743"/>
    <w:rsid w:val="42E329DD"/>
    <w:rsid w:val="433D378B"/>
    <w:rsid w:val="434C7FF3"/>
    <w:rsid w:val="463B593D"/>
    <w:rsid w:val="46CB2C58"/>
    <w:rsid w:val="47AE6C69"/>
    <w:rsid w:val="48402042"/>
    <w:rsid w:val="48424A1F"/>
    <w:rsid w:val="48975A3F"/>
    <w:rsid w:val="49DD0ED4"/>
    <w:rsid w:val="4A2263FF"/>
    <w:rsid w:val="4ADD3BE3"/>
    <w:rsid w:val="4B841650"/>
    <w:rsid w:val="4C5C40B1"/>
    <w:rsid w:val="4CC53366"/>
    <w:rsid w:val="4D2E049A"/>
    <w:rsid w:val="4D4238F3"/>
    <w:rsid w:val="4D693017"/>
    <w:rsid w:val="4D7F06C0"/>
    <w:rsid w:val="4D8D1273"/>
    <w:rsid w:val="4F1B6F35"/>
    <w:rsid w:val="4F20048B"/>
    <w:rsid w:val="4F212124"/>
    <w:rsid w:val="503B586A"/>
    <w:rsid w:val="508D75C7"/>
    <w:rsid w:val="51F56F6B"/>
    <w:rsid w:val="52091595"/>
    <w:rsid w:val="5221238A"/>
    <w:rsid w:val="5246747D"/>
    <w:rsid w:val="525024E8"/>
    <w:rsid w:val="526B7146"/>
    <w:rsid w:val="52D20572"/>
    <w:rsid w:val="53217CCA"/>
    <w:rsid w:val="5349716A"/>
    <w:rsid w:val="53916CC5"/>
    <w:rsid w:val="543B6C03"/>
    <w:rsid w:val="5452022E"/>
    <w:rsid w:val="550A7003"/>
    <w:rsid w:val="554B520C"/>
    <w:rsid w:val="55967810"/>
    <w:rsid w:val="55A42FA5"/>
    <w:rsid w:val="55D73C36"/>
    <w:rsid w:val="56192B5A"/>
    <w:rsid w:val="5764451A"/>
    <w:rsid w:val="58DD72C6"/>
    <w:rsid w:val="59441A38"/>
    <w:rsid w:val="5A0B1227"/>
    <w:rsid w:val="5A1E2133"/>
    <w:rsid w:val="5BFA606A"/>
    <w:rsid w:val="5C7E7C83"/>
    <w:rsid w:val="5D223C27"/>
    <w:rsid w:val="5D6E6559"/>
    <w:rsid w:val="5DF93585"/>
    <w:rsid w:val="5E531617"/>
    <w:rsid w:val="5F087411"/>
    <w:rsid w:val="5FE37D04"/>
    <w:rsid w:val="60A362BD"/>
    <w:rsid w:val="60C809E8"/>
    <w:rsid w:val="60DD604A"/>
    <w:rsid w:val="612B3563"/>
    <w:rsid w:val="61AF074A"/>
    <w:rsid w:val="62D35EDA"/>
    <w:rsid w:val="63145CB9"/>
    <w:rsid w:val="64606D9B"/>
    <w:rsid w:val="66A95B28"/>
    <w:rsid w:val="66B655AC"/>
    <w:rsid w:val="67075395"/>
    <w:rsid w:val="6710553F"/>
    <w:rsid w:val="67B46A51"/>
    <w:rsid w:val="68982F49"/>
    <w:rsid w:val="68C43CF2"/>
    <w:rsid w:val="68E6218C"/>
    <w:rsid w:val="697836CF"/>
    <w:rsid w:val="698C75AE"/>
    <w:rsid w:val="69FF60E8"/>
    <w:rsid w:val="6C1A61DA"/>
    <w:rsid w:val="6CB00E61"/>
    <w:rsid w:val="6DCE5B48"/>
    <w:rsid w:val="6E822944"/>
    <w:rsid w:val="6F443EC4"/>
    <w:rsid w:val="709F5E89"/>
    <w:rsid w:val="70BF03FE"/>
    <w:rsid w:val="70DE1F58"/>
    <w:rsid w:val="723B4B2B"/>
    <w:rsid w:val="73040C29"/>
    <w:rsid w:val="73344936"/>
    <w:rsid w:val="736047B8"/>
    <w:rsid w:val="739F7200"/>
    <w:rsid w:val="74F55397"/>
    <w:rsid w:val="753F4B02"/>
    <w:rsid w:val="77173485"/>
    <w:rsid w:val="7790260C"/>
    <w:rsid w:val="779E2189"/>
    <w:rsid w:val="77B52AAE"/>
    <w:rsid w:val="789E1844"/>
    <w:rsid w:val="79C90C2C"/>
    <w:rsid w:val="7A3B2905"/>
    <w:rsid w:val="7AC953A0"/>
    <w:rsid w:val="7B0F21D0"/>
    <w:rsid w:val="7C0B400E"/>
    <w:rsid w:val="7CC17505"/>
    <w:rsid w:val="7E09751D"/>
    <w:rsid w:val="7E113679"/>
    <w:rsid w:val="7EA570C5"/>
    <w:rsid w:val="7F074098"/>
    <w:rsid w:val="7F7D20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character" w:default="1" w:styleId="11">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link w:val="16"/>
    <w:qFormat/>
    <w:uiPriority w:val="0"/>
    <w:pPr>
      <w:jc w:val="left"/>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link w:val="14"/>
    <w:qFormat/>
    <w:uiPriority w:val="0"/>
    <w:rPr>
      <w:rFonts w:cs="Times New Roman"/>
      <w:b/>
      <w:bCs/>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批注主题 Char"/>
    <w:link w:val="8"/>
    <w:qFormat/>
    <w:uiPriority w:val="0"/>
    <w:rPr>
      <w:rFonts w:ascii="Calibri" w:hAnsi="Calibri" w:cs="黑体"/>
      <w:b/>
      <w:bCs/>
      <w:kern w:val="2"/>
      <w:sz w:val="21"/>
      <w:szCs w:val="24"/>
    </w:rPr>
  </w:style>
  <w:style w:type="character" w:customStyle="1" w:styleId="15">
    <w:name w:val="批注框文本 Char"/>
    <w:link w:val="4"/>
    <w:qFormat/>
    <w:uiPriority w:val="0"/>
    <w:rPr>
      <w:rFonts w:ascii="Calibri" w:hAnsi="Calibri" w:cs="黑体"/>
      <w:kern w:val="2"/>
      <w:sz w:val="18"/>
      <w:szCs w:val="18"/>
    </w:rPr>
  </w:style>
  <w:style w:type="character" w:customStyle="1" w:styleId="16">
    <w:name w:val="批注文字 Char"/>
    <w:link w:val="3"/>
    <w:qFormat/>
    <w:uiPriority w:val="0"/>
    <w:rPr>
      <w:rFonts w:ascii="Calibri" w:hAnsi="Calibri" w:cs="黑体"/>
      <w:kern w:val="2"/>
      <w:sz w:val="21"/>
      <w:szCs w:val="2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35827</Words>
  <Characters>37684</Characters>
  <Lines>255</Lines>
  <Paragraphs>71</Paragraphs>
  <TotalTime>0</TotalTime>
  <ScaleCrop>false</ScaleCrop>
  <LinksUpToDate>false</LinksUpToDate>
  <CharactersWithSpaces>38102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2021-07-01T06:35:00Z</dcterms:created>
  <dc:creator>高玉锦</dc:creator>
  <cp:lastModifiedBy>hccb</cp:lastModifiedBy>
  <dcterms:modified xsi:type="dcterms:W3CDTF">2025-03-24T07:00:16Z</dcterms:modified>
  <dc:title>杭银理财幸福99XXXX理财计划合同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