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 xml:space="preserve"> </w:t>
      </w:r>
    </w:p>
    <w:p/>
    <w:p/>
    <w:p/>
    <w:p/>
    <w:p/>
    <w:p/>
    <w:p/>
    <w:p/>
    <w:p>
      <w:pPr>
        <w:jc w:val="center"/>
        <w:outlineLvl w:val="0"/>
        <w:rPr>
          <w:rFonts w:hint="eastAsia" w:ascii="宋体" w:hAnsi="宋体" w:eastAsia="宋体" w:cs="宋体"/>
          <w:sz w:val="44"/>
          <w:szCs w:val="44"/>
          <w:lang w:eastAsia="zh-CN"/>
        </w:rPr>
      </w:pPr>
      <w:r>
        <w:rPr>
          <w:rFonts w:hint="eastAsia" w:ascii="宋体" w:hAnsi="宋体" w:cs="宋体"/>
          <w:sz w:val="44"/>
          <w:szCs w:val="44"/>
        </w:rPr>
        <w:t>杭银理财幸福99天添益（</w:t>
      </w:r>
      <w:r>
        <w:rPr>
          <w:rFonts w:hint="eastAsia" w:ascii="宋体" w:hAnsi="宋体" w:cs="宋体"/>
          <w:sz w:val="44"/>
          <w:szCs w:val="44"/>
          <w:lang w:eastAsia="zh-CN"/>
        </w:rPr>
        <w:t>安享优选</w:t>
      </w:r>
      <w:r>
        <w:rPr>
          <w:rFonts w:hint="eastAsia" w:ascii="宋体" w:hAnsi="宋体" w:cs="宋体"/>
          <w:sz w:val="44"/>
          <w:szCs w:val="44"/>
        </w:rPr>
        <w:t>）</w:t>
      </w:r>
      <w:r>
        <w:rPr>
          <w:rFonts w:hint="eastAsia" w:ascii="宋体" w:hAnsi="宋体" w:cs="宋体"/>
          <w:sz w:val="44"/>
          <w:szCs w:val="44"/>
          <w:lang w:val="en-US" w:eastAsia="zh-CN"/>
        </w:rPr>
        <w:t>1</w:t>
      </w:r>
      <w:r>
        <w:rPr>
          <w:rFonts w:hint="eastAsia" w:ascii="宋体" w:hAnsi="宋体" w:cs="宋体"/>
          <w:sz w:val="44"/>
          <w:szCs w:val="44"/>
        </w:rPr>
        <w:t>期</w:t>
      </w:r>
      <w:r>
        <w:rPr>
          <w:rFonts w:hint="eastAsia" w:ascii="宋体" w:hAnsi="宋体" w:cs="宋体"/>
          <w:sz w:val="44"/>
          <w:szCs w:val="44"/>
          <w:lang w:eastAsia="zh-CN"/>
        </w:rPr>
        <w:t>理财合同</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32"/>
          <w:szCs w:val="32"/>
        </w:rPr>
      </w:pPr>
      <w:r>
        <w:rPr>
          <w:rFonts w:hint="eastAsia" w:ascii="宋体" w:hAnsi="宋体" w:cs="宋体"/>
          <w:sz w:val="32"/>
          <w:szCs w:val="32"/>
        </w:rPr>
        <w:t>理财计划管理人：杭银理财有限责任公司</w:t>
      </w:r>
    </w:p>
    <w:p>
      <w:pPr>
        <w:jc w:val="center"/>
        <w:rPr>
          <w:rFonts w:ascii="宋体" w:hAnsi="宋体" w:cs="宋体"/>
          <w:sz w:val="32"/>
          <w:szCs w:val="32"/>
        </w:rPr>
      </w:pPr>
      <w:r>
        <w:rPr>
          <w:rFonts w:hint="eastAsia" w:ascii="宋体" w:hAnsi="宋体" w:cs="宋体"/>
          <w:sz w:val="32"/>
          <w:szCs w:val="32"/>
        </w:rPr>
        <w:t>理财计划托管人：杭州银行股份有限公司</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pStyle w:val="2"/>
        <w:bidi w:val="0"/>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rPr>
        <w:t>杭银理财幸福99</w:t>
      </w:r>
      <w:r>
        <w:rPr>
          <w:rFonts w:hint="eastAsia" w:ascii="宋体" w:hAnsi="宋体" w:cs="宋体"/>
          <w:b/>
          <w:bCs/>
          <w:sz w:val="44"/>
          <w:szCs w:val="44"/>
          <w:lang w:eastAsia="zh-CN"/>
        </w:rPr>
        <w:t>天添益（安享优选）</w:t>
      </w:r>
      <w:r>
        <w:rPr>
          <w:rFonts w:hint="eastAsia" w:ascii="宋体" w:hAnsi="宋体" w:cs="宋体"/>
          <w:b/>
          <w:bCs/>
          <w:sz w:val="44"/>
          <w:szCs w:val="44"/>
          <w:lang w:val="en-US" w:eastAsia="zh-CN"/>
        </w:rPr>
        <w:t>1</w:t>
      </w:r>
      <w:r>
        <w:rPr>
          <w:rFonts w:hint="eastAsia" w:ascii="宋体" w:hAnsi="宋体" w:cs="宋体"/>
          <w:b/>
          <w:bCs/>
          <w:sz w:val="44"/>
          <w:szCs w:val="44"/>
          <w:lang w:eastAsia="zh-CN"/>
        </w:rPr>
        <w:t>期理财合同</w:t>
      </w:r>
      <w:r>
        <w:rPr>
          <w:rFonts w:hint="eastAsia" w:ascii="宋体" w:hAnsi="宋体" w:eastAsia="宋体" w:cs="宋体"/>
          <w:b/>
          <w:bCs/>
          <w:sz w:val="44"/>
          <w:szCs w:val="44"/>
          <w:lang w:val="en-US" w:eastAsia="zh-CN"/>
        </w:rPr>
        <w:t>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杭银理财幸福99天添益（安享优选）1期理财风险揭示书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杭银理财幸福99天添益（安享优选）1期理财产品说明书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both"/>
        <w:rPr>
          <w:rFonts w:hint="eastAsia" w:ascii="宋体" w:hAnsi="宋体" w:cs="宋体"/>
          <w:b/>
          <w:bCs/>
          <w:sz w:val="44"/>
          <w:szCs w:val="44"/>
        </w:rPr>
      </w:pPr>
    </w:p>
    <w:p>
      <w:pPr>
        <w:jc w:val="center"/>
        <w:outlineLvl w:val="0"/>
        <w:rPr>
          <w:rFonts w:ascii="宋体" w:hAnsi="宋体" w:cs="宋体"/>
          <w:b/>
          <w:bCs/>
          <w:sz w:val="44"/>
          <w:szCs w:val="44"/>
        </w:rPr>
      </w:pPr>
      <w:r>
        <w:rPr>
          <w:rFonts w:hint="eastAsia" w:ascii="宋体" w:hAnsi="宋体" w:cs="宋体"/>
          <w:b/>
          <w:bCs/>
          <w:sz w:val="44"/>
          <w:szCs w:val="44"/>
        </w:rPr>
        <w:t>杭银理财幸福99天添益（</w:t>
      </w:r>
      <w:r>
        <w:rPr>
          <w:rFonts w:hint="eastAsia" w:ascii="宋体" w:hAnsi="宋体" w:cs="宋体"/>
          <w:b/>
          <w:bCs/>
          <w:sz w:val="44"/>
          <w:szCs w:val="44"/>
          <w:lang w:eastAsia="zh-CN"/>
        </w:rPr>
        <w:t>安享优选</w:t>
      </w:r>
      <w:r>
        <w:rPr>
          <w:rFonts w:hint="eastAsia" w:ascii="宋体" w:hAnsi="宋体" w:cs="宋体"/>
          <w:b/>
          <w:bCs/>
          <w:sz w:val="44"/>
          <w:szCs w:val="44"/>
        </w:rPr>
        <w:t>）</w:t>
      </w:r>
      <w:r>
        <w:rPr>
          <w:rFonts w:hint="eastAsia" w:ascii="宋体" w:hAnsi="宋体" w:cs="宋体"/>
          <w:b/>
          <w:bCs/>
          <w:sz w:val="44"/>
          <w:szCs w:val="44"/>
          <w:lang w:val="en-US" w:eastAsia="zh-CN"/>
        </w:rPr>
        <w:t>1</w:t>
      </w:r>
      <w:r>
        <w:rPr>
          <w:rFonts w:hint="eastAsia" w:ascii="宋体" w:hAnsi="宋体" w:cs="宋体"/>
          <w:b/>
          <w:bCs/>
          <w:sz w:val="44"/>
          <w:szCs w:val="44"/>
        </w:rPr>
        <w:t>期理财风险揭示书</w:t>
      </w:r>
    </w:p>
    <w:p>
      <w:pPr>
        <w:jc w:val="center"/>
        <w:outlineLvl w:val="1"/>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left"/>
        <w:rPr>
          <w:rFonts w:ascii="宋体" w:hAnsi="宋体" w:cs="宋体"/>
          <w:sz w:val="24"/>
        </w:rPr>
      </w:pPr>
      <w:r>
        <w:rPr>
          <w:rFonts w:hint="eastAsia" w:ascii="宋体" w:hAnsi="宋体" w:cs="宋体"/>
          <w:sz w:val="24"/>
        </w:rPr>
        <w:t>尊敬的理财投资者：</w:t>
      </w:r>
    </w:p>
    <w:p>
      <w:pPr>
        <w:spacing w:line="360" w:lineRule="auto"/>
        <w:jc w:val="center"/>
        <w:outlineLvl w:val="2"/>
        <w:rPr>
          <w:rFonts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ind w:firstLine="480" w:firstLineChars="200"/>
        <w:jc w:val="left"/>
        <w:rPr>
          <w:rFonts w:ascii="宋体" w:hAnsi="宋体" w:cs="宋体"/>
          <w:b/>
          <w:sz w:val="24"/>
        </w:rPr>
      </w:pPr>
      <w:r>
        <w:rPr>
          <w:rFonts w:hint="eastAsia" w:ascii="宋体" w:hAnsi="宋体" w:cs="宋体"/>
          <w:bCs/>
          <w:sz w:val="24"/>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lang w:val="en-US" w:eastAsia="zh-CN"/>
        </w:rPr>
        <w:t>理财计划</w:t>
      </w:r>
      <w:r>
        <w:rPr>
          <w:rFonts w:hint="eastAsia" w:ascii="宋体" w:hAnsi="宋体" w:cs="宋体"/>
          <w:bCs/>
          <w:sz w:val="24"/>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rPr>
        <w:t>如影响您风险承受能力的因素发生变化，请及时更新风险承受能力评估。</w:t>
      </w:r>
    </w:p>
    <w:p>
      <w:pPr>
        <w:spacing w:line="360" w:lineRule="auto"/>
        <w:ind w:firstLine="480" w:firstLineChars="200"/>
        <w:jc w:val="left"/>
        <w:rPr>
          <w:rFonts w:ascii="宋体" w:hAnsi="宋体" w:cs="宋体"/>
          <w:bCs/>
          <w:sz w:val="24"/>
        </w:rPr>
      </w:pPr>
      <w:r>
        <w:rPr>
          <w:rFonts w:hint="eastAsia" w:ascii="宋体" w:hAnsi="宋体" w:cs="宋体"/>
          <w:bCs/>
          <w:sz w:val="24"/>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rPr>
      </w:pPr>
      <w:r>
        <w:rPr>
          <w:rFonts w:hint="eastAsia" w:ascii="宋体" w:hAnsi="宋体" w:cs="宋体"/>
          <w:b/>
          <w:sz w:val="24"/>
        </w:rPr>
        <w:t>理财计划共性风险</w:t>
      </w:r>
    </w:p>
    <w:p>
      <w:pPr>
        <w:numPr>
          <w:ilvl w:val="0"/>
          <w:numId w:val="2"/>
        </w:numPr>
        <w:spacing w:line="360" w:lineRule="auto"/>
        <w:jc w:val="left"/>
        <w:rPr>
          <w:rFonts w:ascii="宋体" w:hAnsi="宋体" w:cs="宋体"/>
          <w:b/>
          <w:sz w:val="24"/>
        </w:rPr>
      </w:pPr>
      <w:r>
        <w:rPr>
          <w:rFonts w:hint="eastAsia" w:ascii="宋体" w:hAnsi="宋体" w:cs="宋体"/>
          <w:b/>
          <w:sz w:val="24"/>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rPr>
      </w:pPr>
      <w:r>
        <w:rPr>
          <w:rFonts w:hint="eastAsia" w:ascii="宋体" w:hAnsi="宋体" w:cs="宋体"/>
          <w:b/>
          <w:sz w:val="24"/>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rPr>
      </w:pPr>
      <w:r>
        <w:rPr>
          <w:rFonts w:hint="eastAsia" w:ascii="宋体" w:hAnsi="宋体" w:cs="宋体"/>
          <w:b/>
          <w:sz w:val="24"/>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rPr>
      </w:pPr>
      <w:r>
        <w:rPr>
          <w:rFonts w:hint="eastAsia" w:ascii="宋体" w:hAnsi="宋体" w:cs="宋体"/>
          <w:b/>
          <w:sz w:val="24"/>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rPr>
      </w:pPr>
      <w:r>
        <w:rPr>
          <w:rFonts w:hint="eastAsia" w:ascii="宋体" w:hAnsi="宋体" w:cs="宋体"/>
          <w:b/>
          <w:sz w:val="24"/>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rPr>
      </w:pPr>
      <w:r>
        <w:rPr>
          <w:rFonts w:hint="eastAsia" w:ascii="宋体" w:hAnsi="宋体" w:cs="宋体"/>
          <w:b/>
          <w:sz w:val="24"/>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rPr>
      </w:pPr>
      <w:r>
        <w:rPr>
          <w:rFonts w:hint="eastAsia" w:ascii="宋体" w:hAnsi="宋体" w:cs="宋体"/>
          <w:b/>
          <w:sz w:val="24"/>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rPr>
      </w:pPr>
      <w:r>
        <w:rPr>
          <w:rFonts w:hint="eastAsia" w:ascii="宋体" w:hAnsi="宋体" w:cs="宋体"/>
          <w:b/>
          <w:sz w:val="24"/>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rPr>
        <w:t>的风险。</w:t>
      </w:r>
    </w:p>
    <w:p>
      <w:pPr>
        <w:numPr>
          <w:ilvl w:val="0"/>
          <w:numId w:val="4"/>
        </w:numPr>
        <w:spacing w:line="360" w:lineRule="auto"/>
        <w:jc w:val="left"/>
        <w:rPr>
          <w:rFonts w:ascii="宋体" w:hAnsi="宋体" w:cs="宋体"/>
          <w:b/>
          <w:sz w:val="24"/>
        </w:rPr>
      </w:pPr>
      <w:r>
        <w:rPr>
          <w:rFonts w:hint="eastAsia" w:ascii="宋体" w:hAnsi="宋体" w:cs="宋体"/>
          <w:b/>
          <w:sz w:val="24"/>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lang w:val="en-US" w:eastAsia="zh-CN"/>
        </w:rPr>
        <w:t>理</w:t>
      </w:r>
      <w:r>
        <w:rPr>
          <w:rFonts w:hint="eastAsia" w:ascii="宋体" w:hAnsi="宋体" w:cs="宋体"/>
          <w:b/>
          <w:sz w:val="24"/>
        </w:rPr>
        <w:t>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rPr>
      </w:pPr>
      <w:r>
        <w:rPr>
          <w:rFonts w:hint="eastAsia" w:ascii="宋体" w:hAnsi="宋体" w:cs="宋体"/>
          <w:b/>
          <w:sz w:val="24"/>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rPr>
      </w:pPr>
      <w:r>
        <w:rPr>
          <w:rFonts w:hint="eastAsia" w:ascii="宋体" w:hAnsi="宋体" w:cs="宋体"/>
          <w:b/>
          <w:sz w:val="24"/>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9"/>
        <w:rPr>
          <w:rFonts w:ascii="宋体" w:hAnsi="宋体" w:cs="宋体"/>
          <w:b/>
          <w:sz w:val="24"/>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outlineLvl w:val="2"/>
        <w:rPr>
          <w:rFonts w:ascii="宋体" w:hAnsi="宋体" w:cs="宋体"/>
          <w:b/>
          <w:sz w:val="24"/>
        </w:rPr>
      </w:pPr>
      <w:r>
        <w:rPr>
          <w:rFonts w:hint="eastAsia" w:ascii="宋体" w:hAnsi="宋体" w:cs="宋体"/>
          <w:b/>
          <w:sz w:val="24"/>
        </w:rPr>
        <w:t>理财计划特定风险</w:t>
      </w:r>
    </w:p>
    <w:p>
      <w:pPr>
        <w:numPr>
          <w:ilvl w:val="0"/>
          <w:numId w:val="5"/>
        </w:numPr>
        <w:spacing w:line="360" w:lineRule="auto"/>
        <w:jc w:val="left"/>
        <w:rPr>
          <w:rFonts w:ascii="宋体" w:hAnsi="宋体" w:cs="宋体"/>
          <w:b/>
          <w:sz w:val="24"/>
        </w:rPr>
      </w:pPr>
      <w:r>
        <w:rPr>
          <w:rFonts w:hint="eastAsia" w:ascii="宋体" w:hAnsi="宋体" w:cs="宋体"/>
          <w:b/>
          <w:sz w:val="24"/>
        </w:rPr>
        <w:t>收益不达业绩比较基准风险：本理财计划每日开放，下一交易日确认，投资收益与投资者的申购、赎回时点密切相关，收益存在一定的波动性，投资者的本金可能会出现损失。</w:t>
      </w:r>
    </w:p>
    <w:p>
      <w:pPr>
        <w:spacing w:line="360" w:lineRule="auto"/>
        <w:jc w:val="left"/>
        <w:rPr>
          <w:rFonts w:ascii="宋体" w:hAnsi="宋体" w:cs="宋体"/>
          <w:b/>
          <w:sz w:val="24"/>
        </w:rPr>
      </w:pPr>
      <w:r>
        <w:rPr>
          <w:rFonts w:hint="eastAsia" w:ascii="宋体" w:hAnsi="宋体" w:cs="宋体"/>
          <w:b/>
          <w:sz w:val="24"/>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rPr>
      </w:pPr>
      <w:r>
        <w:rPr>
          <w:rFonts w:hint="eastAsia" w:ascii="宋体" w:hAnsi="宋体" w:cs="宋体"/>
          <w:b/>
          <w:sz w:val="24"/>
        </w:rPr>
        <w:t>其他信息提示</w:t>
      </w:r>
    </w:p>
    <w:p>
      <w:pPr>
        <w:spacing w:line="360" w:lineRule="auto"/>
        <w:ind w:firstLine="480" w:firstLineChars="200"/>
        <w:jc w:val="left"/>
        <w:rPr>
          <w:rFonts w:ascii="宋体" w:hAnsi="宋体" w:cs="宋体"/>
          <w:b/>
          <w:sz w:val="24"/>
        </w:rPr>
      </w:pPr>
      <w:r>
        <w:rPr>
          <w:rFonts w:hint="eastAsia" w:ascii="宋体" w:hAnsi="宋体" w:cs="宋体"/>
          <w:bCs/>
          <w:sz w:val="24"/>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rPr>
      </w:pPr>
      <w:r>
        <w:rPr>
          <w:rFonts w:hint="eastAsia" w:ascii="宋体" w:hAnsi="宋体" w:cs="宋体"/>
          <w:b/>
          <w:sz w:val="24"/>
        </w:rPr>
        <w:t>根据募集方式的不同，理财产品分为公募理财产品和私募理财产品。</w:t>
      </w:r>
      <w:r>
        <w:rPr>
          <w:rFonts w:hint="eastAsia" w:ascii="宋体" w:hAnsi="宋体" w:cs="宋体"/>
          <w:bCs/>
          <w:sz w:val="24"/>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rPr>
      </w:pPr>
      <w:r>
        <w:rPr>
          <w:rFonts w:hint="eastAsia" w:ascii="宋体" w:hAnsi="宋体" w:cs="宋体"/>
          <w:bCs/>
          <w:sz w:val="24"/>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rPr>
      </w:pPr>
      <w:r>
        <w:rPr>
          <w:rFonts w:hint="eastAsia" w:ascii="宋体" w:hAnsi="宋体" w:cs="宋体"/>
          <w:bCs/>
          <w:sz w:val="24"/>
        </w:rPr>
        <w:t>最近1年末净资产不低于1000万元人民币的法人或者依法成立的其他组织；</w:t>
      </w:r>
    </w:p>
    <w:p>
      <w:pPr>
        <w:numPr>
          <w:ilvl w:val="0"/>
          <w:numId w:val="7"/>
        </w:numPr>
        <w:spacing w:line="360" w:lineRule="auto"/>
        <w:jc w:val="left"/>
        <w:rPr>
          <w:rFonts w:ascii="宋体" w:hAnsi="宋体" w:cs="宋体"/>
          <w:bCs/>
          <w:sz w:val="24"/>
        </w:rPr>
      </w:pPr>
      <w:r>
        <w:rPr>
          <w:rFonts w:hint="eastAsia" w:ascii="宋体" w:hAnsi="宋体" w:cs="宋体"/>
          <w:bCs/>
          <w:sz w:val="24"/>
        </w:rPr>
        <w:t>国务院银行业监督管理机构规定的其他情形。</w:t>
      </w:r>
    </w:p>
    <w:p>
      <w:pPr>
        <w:numPr>
          <w:ilvl w:val="0"/>
          <w:numId w:val="8"/>
        </w:numPr>
        <w:spacing w:line="360" w:lineRule="auto"/>
        <w:jc w:val="left"/>
        <w:rPr>
          <w:rFonts w:ascii="宋体" w:hAnsi="宋体" w:cs="宋体"/>
          <w:bCs/>
          <w:sz w:val="24"/>
        </w:rPr>
      </w:pPr>
      <w:r>
        <w:rPr>
          <w:rFonts w:hint="eastAsia" w:ascii="宋体" w:hAnsi="宋体" w:cs="宋体"/>
          <w:b/>
          <w:sz w:val="24"/>
        </w:rPr>
        <w:t>根据投资性质的不同，理财产品分为固定收益类理财产品、权益类理财产品、商品及金融衍生品类理财产品和混合类理财产品。</w:t>
      </w:r>
      <w:r>
        <w:rPr>
          <w:rFonts w:hint="eastAsia" w:ascii="宋体" w:hAnsi="宋体" w:cs="宋体"/>
          <w:bCs/>
          <w:sz w:val="24"/>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rPr>
      </w:pPr>
      <w:r>
        <w:rPr>
          <w:rFonts w:hint="eastAsia" w:ascii="宋体" w:hAnsi="宋体" w:cs="宋体"/>
          <w:b/>
          <w:sz w:val="24"/>
        </w:rPr>
        <w:t>根据运作方式的不同，将理财产品分为封闭式理财产品和开放式理财产品。</w:t>
      </w:r>
      <w:r>
        <w:rPr>
          <w:rFonts w:hint="eastAsia" w:ascii="宋体" w:hAnsi="宋体" w:cs="宋体"/>
          <w:bCs/>
          <w:sz w:val="24"/>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rPr>
      </w:pPr>
    </w:p>
    <w:p>
      <w:pPr>
        <w:spacing w:line="360" w:lineRule="auto"/>
        <w:ind w:firstLine="482" w:firstLineChars="200"/>
        <w:jc w:val="left"/>
        <w:rPr>
          <w:rFonts w:ascii="宋体" w:hAnsi="宋体" w:cs="宋体"/>
          <w:b/>
          <w:sz w:val="24"/>
        </w:rPr>
      </w:pPr>
      <w:r>
        <w:rPr>
          <w:rFonts w:hint="eastAsia" w:ascii="宋体" w:hAnsi="宋体" w:cs="宋体"/>
          <w:b/>
          <w:sz w:val="24"/>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rPr>
        <w:t>（本风险等级为我公司内部风险评级结果，仅供参考</w:t>
      </w:r>
      <w:r>
        <w:rPr>
          <w:rFonts w:hint="eastAsia" w:ascii="宋体" w:hAnsi="宋体" w:cs="宋体"/>
          <w:b/>
          <w:sz w:val="24"/>
        </w:rPr>
        <w:t>，</w:t>
      </w:r>
      <w:r>
        <w:rPr>
          <w:rFonts w:hint="eastAsia" w:ascii="宋体" w:hAnsi="宋体" w:cs="宋体"/>
          <w:bCs/>
          <w:sz w:val="24"/>
        </w:rPr>
        <w:t>理财计划通过代理销售机构渠道销售的，理财计划产品评级应当以代理销售机构最终披露的评级结果为准），</w:t>
      </w:r>
      <w:r>
        <w:rPr>
          <w:rFonts w:hint="eastAsia" w:ascii="宋体" w:hAnsi="宋体" w:cs="宋体"/>
          <w:b/>
          <w:sz w:val="24"/>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rPr>
      </w:pPr>
      <w:r>
        <w:rPr>
          <w:rFonts w:hint="eastAsia" w:ascii="宋体" w:hAnsi="宋体" w:cs="宋体"/>
          <w:b/>
          <w:sz w:val="24"/>
        </w:rPr>
        <w:t>本理财计划适合〖机构投资者〗以及〖稳健型、平衡型、成长型、进取型〗的个人投资者</w:t>
      </w:r>
      <w:r>
        <w:rPr>
          <w:rFonts w:hint="eastAsia" w:ascii="宋体" w:hAnsi="宋体" w:cs="宋体"/>
          <w:b/>
          <w:sz w:val="24"/>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rPr>
      </w:pPr>
      <w:r>
        <w:rPr>
          <w:rFonts w:hint="eastAsia" w:ascii="宋体" w:hAnsi="宋体" w:cs="宋体"/>
          <w:bCs/>
          <w:sz w:val="24"/>
        </w:rPr>
        <w:t>上述风险客观存在，敬请投资者予以充分关注！</w:t>
      </w:r>
    </w:p>
    <w:p>
      <w:pPr>
        <w:spacing w:line="360" w:lineRule="auto"/>
        <w:ind w:firstLine="480" w:firstLineChars="200"/>
        <w:jc w:val="left"/>
        <w:rPr>
          <w:rFonts w:hint="eastAsia" w:ascii="宋体" w:hAnsi="宋体" w:cs="宋体"/>
          <w:bCs/>
          <w:sz w:val="24"/>
        </w:rPr>
      </w:pPr>
    </w:p>
    <w:p>
      <w:pPr>
        <w:spacing w:line="360" w:lineRule="auto"/>
        <w:ind w:firstLine="480" w:firstLineChars="200"/>
        <w:jc w:val="left"/>
        <w:rPr>
          <w:rFonts w:hint="eastAsia" w:ascii="宋体" w:hAnsi="宋体" w:cs="宋体"/>
          <w:bCs/>
          <w:sz w:val="24"/>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rPr>
      </w:pPr>
    </w:p>
    <w:p>
      <w:pPr>
        <w:spacing w:line="360" w:lineRule="auto"/>
        <w:ind w:firstLine="480" w:firstLineChars="200"/>
        <w:jc w:val="left"/>
        <w:rPr>
          <w:rFonts w:ascii="宋体" w:hAnsi="宋体" w:cs="宋体"/>
          <w:bCs/>
          <w:sz w:val="24"/>
        </w:rPr>
      </w:pPr>
    </w:p>
    <w:p>
      <w:pPr>
        <w:spacing w:line="360" w:lineRule="auto"/>
        <w:ind w:firstLine="480" w:firstLineChars="200"/>
        <w:jc w:val="right"/>
        <w:rPr>
          <w:rFonts w:ascii="宋体" w:hAnsi="宋体" w:cs="宋体"/>
          <w:bCs/>
          <w:sz w:val="24"/>
        </w:rPr>
      </w:pPr>
      <w:r>
        <w:rPr>
          <w:rFonts w:hint="eastAsia" w:ascii="宋体" w:hAnsi="宋体" w:cs="宋体"/>
          <w:bCs/>
          <w:sz w:val="24"/>
        </w:rPr>
        <w:t>风险提示方：杭银理财有限责任公司</w:t>
      </w: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rPr>
          <w:rFonts w:ascii="宋体" w:hAnsi="宋体" w:cs="宋体"/>
          <w:bCs/>
          <w:sz w:val="24"/>
        </w:rPr>
      </w:pPr>
    </w:p>
    <w:p>
      <w:pPr>
        <w:pStyle w:val="17"/>
        <w:spacing w:line="360" w:lineRule="auto"/>
        <w:jc w:val="center"/>
        <w:outlineLvl w:val="2"/>
        <w:rPr>
          <w:rFonts w:hint="eastAsia" w:ascii="宋体" w:hAnsi="宋体" w:cs="宋体"/>
          <w:b/>
          <w:color w:val="auto"/>
        </w:rPr>
      </w:pPr>
      <w:r>
        <w:rPr>
          <w:rFonts w:hint="eastAsia" w:ascii="宋体" w:hAnsi="宋体" w:cs="宋体"/>
          <w:b/>
          <w:color w:val="auto"/>
        </w:rPr>
        <w:t>投资者确认栏（个人投资者填写）</w:t>
      </w:r>
    </w:p>
    <w:p>
      <w:pPr>
        <w:pStyle w:val="17"/>
        <w:spacing w:line="360" w:lineRule="auto"/>
        <w:jc w:val="center"/>
        <w:rPr>
          <w:rFonts w:hint="eastAsia" w:ascii="宋体" w:hAnsi="宋体" w:cs="宋体"/>
          <w:b/>
          <w:color w:val="auto"/>
        </w:rPr>
      </w:pPr>
    </w:p>
    <w:p>
      <w:pPr>
        <w:pStyle w:val="17"/>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7"/>
        <w:spacing w:line="360" w:lineRule="auto"/>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7"/>
        <w:spacing w:line="360" w:lineRule="auto"/>
        <w:jc w:val="both"/>
        <w:rPr>
          <w:rFonts w:hint="eastAsia" w:ascii="宋体" w:hAnsi="宋体" w:cs="宋体"/>
          <w:color w:val="auto"/>
          <w:u w:val="single"/>
        </w:rPr>
      </w:pPr>
      <w:r>
        <w:rPr>
          <w:rFonts w:hint="eastAsia" w:ascii="宋体" w:hAnsi="宋体" w:cs="宋体"/>
          <w:color w:val="auto"/>
          <w:u w:val="single"/>
        </w:rPr>
        <w:t xml:space="preserve">    如超过一年未进行风险承受能力评估或影响本人风险承受能力的因素发生变化，本人将于再次购买理财计划时及时完成风险承受能力评估。</w:t>
      </w:r>
    </w:p>
    <w:p>
      <w:pPr>
        <w:pStyle w:val="17"/>
        <w:spacing w:line="360" w:lineRule="auto"/>
        <w:jc w:val="both"/>
        <w:rPr>
          <w:rFonts w:hint="eastAsia" w:ascii="宋体" w:hAnsi="宋体" w:cs="宋体"/>
          <w:b/>
          <w:bCs/>
          <w:color w:val="auto"/>
          <w:u w:val="single"/>
        </w:rPr>
      </w:pPr>
      <w:r>
        <w:rPr>
          <w:rFonts w:hint="eastAsia" w:ascii="宋体" w:hAnsi="宋体" w:cs="宋体"/>
          <w:b/>
          <w:bCs/>
          <w:color w:val="auto"/>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jc w:val="both"/>
        <w:rPr>
          <w:rFonts w:hint="eastAsia" w:ascii="宋体" w:hAnsi="宋体" w:cs="宋体"/>
          <w:b/>
          <w:bCs/>
          <w:color w:val="auto"/>
          <w:u w:val="single"/>
        </w:rPr>
      </w:pPr>
      <w:r>
        <w:rPr>
          <w:rFonts w:hint="eastAsia" w:ascii="宋体" w:hAnsi="宋体" w:cs="宋体"/>
          <w:b/>
          <w:bCs/>
          <w:color w:val="auto"/>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pStyle w:val="17"/>
        <w:spacing w:line="360" w:lineRule="auto"/>
        <w:jc w:val="both"/>
        <w:rPr>
          <w:rFonts w:hint="eastAsia" w:ascii="宋体" w:hAnsi="宋体" w:cs="宋体"/>
          <w:color w:val="auto"/>
        </w:rPr>
      </w:pPr>
      <w:r>
        <w:rPr>
          <w:rFonts w:hint="eastAsia" w:ascii="宋体" w:hAnsi="宋体" w:cs="宋体"/>
          <w:color w:val="auto"/>
          <w:u w:val="single"/>
        </w:rPr>
        <w:t xml:space="preserve">                                                                                </w:t>
      </w:r>
    </w:p>
    <w:p>
      <w:pPr>
        <w:spacing w:line="360" w:lineRule="auto"/>
        <w:rPr>
          <w:rFonts w:hint="eastAsia" w:ascii="宋体" w:hAnsi="宋体" w:cs="宋体"/>
          <w:kern w:val="0"/>
          <w:sz w:val="24"/>
        </w:rPr>
      </w:pPr>
    </w:p>
    <w:p>
      <w:pPr>
        <w:spacing w:line="360" w:lineRule="auto"/>
        <w:rPr>
          <w:rFonts w:hint="eastAsia" w:ascii="宋体" w:hAnsi="宋体" w:cs="宋体"/>
          <w:kern w:val="0"/>
          <w:sz w:val="24"/>
        </w:rPr>
      </w:pPr>
      <w:r>
        <w:rPr>
          <w:rFonts w:hint="eastAsia" w:ascii="宋体" w:hAnsi="宋体" w:cs="宋体"/>
          <w:kern w:val="0"/>
          <w:sz w:val="24"/>
        </w:rPr>
        <w:t>确认人（签字）：</w:t>
      </w:r>
      <w:r>
        <w:rPr>
          <w:rFonts w:hint="eastAsia" w:ascii="宋体" w:hAnsi="宋体" w:cs="宋体"/>
          <w:kern w:val="0"/>
          <w:sz w:val="24"/>
          <w:u w:val="single"/>
        </w:rPr>
        <w:t xml:space="preserve">                    </w:t>
      </w: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napToGrid w:val="0"/>
        <w:rPr>
          <w:rFonts w:hint="eastAsia" w:ascii="宋体" w:hAnsi="宋体"/>
          <w:kern w:val="0"/>
          <w:szCs w:val="21"/>
          <w:u w:val="single"/>
        </w:rPr>
      </w:pPr>
    </w:p>
    <w:p>
      <w:pPr>
        <w:autoSpaceDE w:val="0"/>
        <w:autoSpaceDN w:val="0"/>
        <w:adjustRightInd w:val="0"/>
        <w:spacing w:line="420" w:lineRule="exact"/>
        <w:jc w:val="center"/>
        <w:rPr>
          <w:rFonts w:hint="eastAsia" w:ascii="宋体" w:hAnsi="宋体"/>
          <w:b/>
          <w:kern w:val="0"/>
          <w:szCs w:val="21"/>
        </w:rPr>
      </w:pPr>
    </w:p>
    <w:p>
      <w:pPr>
        <w:autoSpaceDE w:val="0"/>
        <w:autoSpaceDN w:val="0"/>
        <w:adjustRightInd w:val="0"/>
        <w:spacing w:line="360" w:lineRule="auto"/>
        <w:jc w:val="center"/>
        <w:rPr>
          <w:rFonts w:hint="eastAsia" w:ascii="宋体" w:hAnsi="宋体"/>
          <w:b/>
          <w:kern w:val="0"/>
          <w:szCs w:val="21"/>
        </w:rPr>
      </w:pPr>
    </w:p>
    <w:p>
      <w:pPr>
        <w:pStyle w:val="17"/>
        <w:spacing w:line="360" w:lineRule="auto"/>
        <w:jc w:val="center"/>
        <w:rPr>
          <w:rFonts w:hint="eastAsia" w:ascii="宋体" w:hAnsi="宋体" w:cs="宋体"/>
          <w:b/>
          <w:color w:val="auto"/>
        </w:rPr>
      </w:pPr>
    </w:p>
    <w:p>
      <w:pPr>
        <w:pStyle w:val="17"/>
        <w:spacing w:line="360" w:lineRule="auto"/>
        <w:jc w:val="center"/>
        <w:rPr>
          <w:rFonts w:hint="eastAsia" w:ascii="宋体" w:hAnsi="宋体" w:cs="宋体"/>
          <w:b/>
          <w:color w:val="auto"/>
        </w:rPr>
      </w:pPr>
    </w:p>
    <w:p>
      <w:pPr>
        <w:pStyle w:val="17"/>
        <w:spacing w:line="360" w:lineRule="auto"/>
        <w:jc w:val="center"/>
        <w:outlineLvl w:val="2"/>
        <w:rPr>
          <w:rFonts w:hint="eastAsia" w:ascii="宋体" w:hAnsi="宋体" w:cs="宋体"/>
          <w:b/>
        </w:rPr>
      </w:pPr>
      <w:r>
        <w:rPr>
          <w:rFonts w:hint="eastAsia" w:ascii="宋体" w:hAnsi="宋体" w:cs="宋体"/>
          <w:b/>
          <w:color w:val="auto"/>
        </w:rPr>
        <w:t>投资者确认栏（机构投资者）</w:t>
      </w:r>
    </w:p>
    <w:p>
      <w:pPr>
        <w:pStyle w:val="17"/>
        <w:spacing w:line="360" w:lineRule="auto"/>
        <w:jc w:val="center"/>
        <w:rPr>
          <w:rFonts w:hint="eastAsia" w:ascii="宋体" w:hAnsi="宋体" w:cs="宋体"/>
          <w:b/>
        </w:rPr>
      </w:pPr>
    </w:p>
    <w:p>
      <w:pPr>
        <w:widowControl/>
        <w:spacing w:line="360" w:lineRule="auto"/>
        <w:contextualSpacing/>
        <w:outlineLvl w:val="9"/>
        <w:rPr>
          <w:rFonts w:hint="eastAsia" w:ascii="宋体" w:hAnsi="宋体" w:cs="宋体"/>
          <w:b/>
          <w:bCs/>
          <w:sz w:val="24"/>
        </w:rPr>
      </w:pPr>
      <w:r>
        <w:rPr>
          <w:rFonts w:hint="eastAsia" w:ascii="宋体" w:hAnsi="宋体" w:cs="宋体"/>
          <w:b/>
          <w:bCs/>
          <w:sz w:val="24"/>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u w:val="single"/>
        </w:rPr>
        <w:t>接受本风险揭示书及《理财计划产品说明书》《投资者权益须知》《理财计划投资协议书》《理财计划销售协议书》等本理财计划合同全部内容，</w:t>
      </w:r>
      <w:r>
        <w:rPr>
          <w:rFonts w:hint="eastAsia" w:ascii="宋体" w:hAnsi="宋体" w:cs="宋体"/>
          <w:b/>
          <w:bCs/>
          <w:sz w:val="24"/>
        </w:rPr>
        <w:t>自愿且有能力承担</w:t>
      </w:r>
      <w:r>
        <w:rPr>
          <w:rFonts w:hint="eastAsia" w:ascii="宋体" w:hAnsi="宋体" w:cs="宋体"/>
          <w:b/>
          <w:bCs/>
          <w:sz w:val="24"/>
          <w:u w:val="single"/>
        </w:rPr>
        <w:t>投资本理财计划的</w:t>
      </w:r>
      <w:r>
        <w:rPr>
          <w:rFonts w:hint="eastAsia" w:ascii="宋体" w:hAnsi="宋体" w:cs="宋体"/>
          <w:b/>
          <w:bCs/>
          <w:sz w:val="24"/>
        </w:rPr>
        <w:t>风险。</w:t>
      </w:r>
    </w:p>
    <w:p>
      <w:pPr>
        <w:widowControl/>
        <w:spacing w:line="360" w:lineRule="auto"/>
        <w:contextualSpacing/>
        <w:outlineLvl w:val="9"/>
        <w:rPr>
          <w:rFonts w:ascii="宋体" w:hAnsi="宋体" w:cs="宋体"/>
          <w:sz w:val="24"/>
        </w:rPr>
      </w:pPr>
      <w:r>
        <w:rPr>
          <w:rFonts w:hint="eastAsia" w:ascii="宋体" w:hAnsi="宋体" w:cs="宋体"/>
          <w:b/>
          <w:bCs/>
          <w:sz w:val="24"/>
        </w:rPr>
        <w:t xml:space="preserve">    </w:t>
      </w:r>
      <w:r>
        <w:rPr>
          <w:rFonts w:hint="eastAsia" w:ascii="宋体" w:hAnsi="宋体" w:cs="宋体"/>
          <w:b/>
          <w:bCs/>
          <w:sz w:val="24"/>
          <w:u w:val="single"/>
        </w:rPr>
        <w:t>本公司/单位</w:t>
      </w:r>
      <w:r>
        <w:rPr>
          <w:rFonts w:hint="eastAsia" w:ascii="宋体" w:hAnsi="宋体" w:cs="宋体"/>
          <w:b/>
          <w:bCs/>
          <w:sz w:val="24"/>
          <w:u w:val="single"/>
          <w:lang w:val="en-US" w:eastAsia="zh-CN"/>
        </w:rPr>
        <w:t>购买</w:t>
      </w:r>
      <w:r>
        <w:rPr>
          <w:rFonts w:hint="eastAsia" w:ascii="宋体" w:hAnsi="宋体" w:cs="宋体"/>
          <w:b/>
          <w:bCs/>
          <w:sz w:val="24"/>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rPr>
      </w:pPr>
    </w:p>
    <w:p>
      <w:pPr>
        <w:widowControl/>
        <w:spacing w:line="360" w:lineRule="auto"/>
        <w:contextualSpacing/>
        <w:outlineLvl w:val="9"/>
        <w:rPr>
          <w:rFonts w:hint="eastAsia" w:ascii="宋体" w:hAnsi="宋体" w:cs="宋体"/>
          <w:sz w:val="24"/>
        </w:rPr>
      </w:pPr>
    </w:p>
    <w:p>
      <w:pPr>
        <w:widowControl/>
        <w:spacing w:line="360" w:lineRule="auto"/>
        <w:contextualSpacing/>
        <w:outlineLvl w:val="9"/>
        <w:rPr>
          <w:rFonts w:hint="eastAsia" w:ascii="宋体" w:hAnsi="宋体" w:cs="宋体"/>
          <w:kern w:val="0"/>
          <w:sz w:val="24"/>
        </w:rPr>
      </w:pPr>
      <w:r>
        <w:rPr>
          <w:rFonts w:hint="eastAsia" w:ascii="宋体" w:hAnsi="宋体" w:cs="宋体"/>
          <w:kern w:val="0"/>
          <w:sz w:val="24"/>
        </w:rPr>
        <w:t>投资者（公章）                          法定代表人或授权代理人（签章）</w:t>
      </w: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uto"/>
        <w:ind w:firstLine="480" w:firstLineChars="200"/>
        <w:jc w:val="right"/>
        <w:rPr>
          <w:rFonts w:hint="eastAsia"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rPr>
          <w:rFonts w:ascii="宋体" w:hAnsi="宋体" w:cs="宋体"/>
          <w:b/>
          <w:bCs/>
          <w:sz w:val="44"/>
          <w:szCs w:val="44"/>
        </w:rPr>
      </w:pPr>
    </w:p>
    <w:p>
      <w:pPr>
        <w:jc w:val="center"/>
        <w:outlineLvl w:val="0"/>
        <w:rPr>
          <w:rFonts w:ascii="宋体" w:hAnsi="宋体" w:cs="宋体"/>
          <w:b/>
          <w:bCs/>
          <w:sz w:val="44"/>
          <w:szCs w:val="44"/>
        </w:rPr>
      </w:pPr>
      <w:r>
        <w:rPr>
          <w:rFonts w:hint="eastAsia" w:ascii="宋体" w:hAnsi="宋体" w:cs="宋体"/>
          <w:b/>
          <w:bCs/>
          <w:sz w:val="44"/>
          <w:szCs w:val="44"/>
        </w:rPr>
        <w:t>杭银理财幸福99天添益（</w:t>
      </w:r>
      <w:r>
        <w:rPr>
          <w:rFonts w:hint="eastAsia" w:ascii="宋体" w:hAnsi="宋体" w:cs="宋体"/>
          <w:b/>
          <w:bCs/>
          <w:sz w:val="44"/>
          <w:szCs w:val="44"/>
          <w:lang w:eastAsia="zh-CN"/>
        </w:rPr>
        <w:t>安享优选</w:t>
      </w:r>
      <w:r>
        <w:rPr>
          <w:rFonts w:hint="eastAsia" w:ascii="宋体" w:hAnsi="宋体" w:cs="宋体"/>
          <w:b/>
          <w:bCs/>
          <w:sz w:val="44"/>
          <w:szCs w:val="44"/>
        </w:rPr>
        <w:t>）</w:t>
      </w:r>
      <w:r>
        <w:rPr>
          <w:rFonts w:hint="eastAsia" w:ascii="宋体" w:hAnsi="宋体" w:cs="宋体"/>
          <w:b/>
          <w:bCs/>
          <w:sz w:val="44"/>
          <w:szCs w:val="44"/>
          <w:lang w:val="en-US" w:eastAsia="zh-CN"/>
        </w:rPr>
        <w:t>1</w:t>
      </w:r>
      <w:r>
        <w:rPr>
          <w:rFonts w:hint="eastAsia" w:ascii="宋体" w:hAnsi="宋体" w:cs="宋体"/>
          <w:b/>
          <w:bCs/>
          <w:sz w:val="44"/>
          <w:szCs w:val="44"/>
        </w:rPr>
        <w:t>期理财产品说明书</w:t>
      </w:r>
    </w:p>
    <w:p>
      <w:pPr>
        <w:jc w:val="center"/>
        <w:outlineLvl w:val="1"/>
        <w:rPr>
          <w:rFonts w:ascii="宋体" w:hAnsi="宋体" w:cs="宋体"/>
          <w:b/>
          <w:bCs/>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right"/>
        <w:rPr>
          <w:rFonts w:ascii="宋体" w:hAnsi="宋体" w:cs="宋体"/>
          <w:bCs/>
          <w:sz w:val="24"/>
        </w:rPr>
      </w:pPr>
      <w:r>
        <w:rPr>
          <w:rFonts w:hint="eastAsia" w:ascii="宋体" w:hAnsi="宋体" w:cs="宋体"/>
          <w:color w:val="000000"/>
          <w:sz w:val="24"/>
        </w:rPr>
        <w:t>备案编号:</w:t>
      </w:r>
      <w:r>
        <w:rPr>
          <w:rFonts w:hint="eastAsia" w:ascii="宋体" w:hAnsi="宋体" w:cs="宋体"/>
          <w:bCs/>
          <w:sz w:val="24"/>
        </w:rPr>
        <w:t>〖Z7002222000087〗</w:t>
      </w:r>
    </w:p>
    <w:p>
      <w:pPr>
        <w:spacing w:line="360" w:lineRule="auto"/>
        <w:jc w:val="center"/>
        <w:rPr>
          <w:rFonts w:ascii="宋体" w:hAnsi="宋体" w:cs="宋体"/>
          <w:bCs/>
          <w:sz w:val="24"/>
        </w:rPr>
      </w:pPr>
    </w:p>
    <w:p>
      <w:pPr>
        <w:numPr>
          <w:ilvl w:val="0"/>
          <w:numId w:val="9"/>
        </w:numPr>
        <w:spacing w:line="360" w:lineRule="auto"/>
        <w:jc w:val="left"/>
        <w:outlineLvl w:val="1"/>
        <w:rPr>
          <w:rFonts w:ascii="宋体" w:hAnsi="宋体" w:cs="宋体"/>
          <w:b/>
          <w:sz w:val="24"/>
        </w:rPr>
      </w:pPr>
      <w:r>
        <w:rPr>
          <w:rFonts w:hint="eastAsia" w:ascii="宋体" w:hAnsi="宋体" w:cs="宋体"/>
          <w:b/>
          <w:sz w:val="24"/>
        </w:rPr>
        <w:t>重要须知</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本理财计划不等同于银行存款、预期收益型理财产品或其他产品。</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rPr>
      </w:pPr>
      <w:r>
        <w:rPr>
          <w:rFonts w:hint="eastAsia" w:ascii="宋体" w:hAnsi="宋体" w:cs="宋体"/>
          <w:bCs/>
          <w:sz w:val="24"/>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rPr>
      </w:pPr>
      <w:r>
        <w:rPr>
          <w:rFonts w:hint="eastAsia" w:ascii="宋体" w:hAnsi="宋体" w:cs="宋体"/>
          <w:b/>
          <w:sz w:val="24"/>
        </w:rPr>
        <w:t>本理财计划是非保本净值型产品。管理人对本理财计划的本金和收益不提供保证承诺。</w:t>
      </w:r>
      <w:r>
        <w:rPr>
          <w:rFonts w:hint="eastAsia" w:ascii="宋体" w:hAnsi="宋体" w:cs="宋体"/>
          <w:bCs/>
          <w:sz w:val="24"/>
        </w:rPr>
        <w:t>本理财计划主要风险为理财本金及收益风险，在极端市场情况下，投资者将损失本金，请投资者基于自身的独立判断进行投资决策。</w:t>
      </w:r>
    </w:p>
    <w:p>
      <w:pPr>
        <w:numPr>
          <w:ilvl w:val="0"/>
          <w:numId w:val="10"/>
        </w:numPr>
        <w:spacing w:line="360" w:lineRule="auto"/>
        <w:jc w:val="left"/>
        <w:rPr>
          <w:rFonts w:ascii="宋体" w:hAnsi="宋体" w:cs="宋体"/>
          <w:bCs/>
          <w:sz w:val="24"/>
        </w:rPr>
      </w:pPr>
      <w:r>
        <w:rPr>
          <w:rFonts w:hint="eastAsia" w:ascii="宋体" w:hAnsi="宋体" w:cs="宋体"/>
          <w:bCs/>
          <w:sz w:val="24"/>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lang w:val="en-US" w:eastAsia="zh-CN"/>
        </w:rPr>
        <w:t>理财计划</w:t>
      </w:r>
      <w:r>
        <w:rPr>
          <w:rFonts w:hint="eastAsia" w:ascii="宋体" w:hAnsi="宋体" w:cs="宋体"/>
          <w:bCs/>
          <w:sz w:val="24"/>
        </w:rPr>
        <w:t>风险揭示书》《投资者权益须知》《理财计划投资协议书》《理财计划销售协议书》，将共同构成投资者与管理人之间的理财计划交易合同。</w:t>
      </w:r>
    </w:p>
    <w:p>
      <w:pPr>
        <w:numPr>
          <w:ilvl w:val="0"/>
          <w:numId w:val="10"/>
        </w:numPr>
        <w:spacing w:line="360" w:lineRule="auto"/>
        <w:jc w:val="left"/>
        <w:rPr>
          <w:rFonts w:ascii="宋体" w:hAnsi="宋体" w:cs="宋体"/>
          <w:bCs/>
          <w:sz w:val="24"/>
        </w:rPr>
      </w:pPr>
      <w:r>
        <w:rPr>
          <w:rFonts w:hint="eastAsia" w:ascii="宋体" w:hAnsi="宋体" w:cs="宋体"/>
          <w:bCs/>
          <w:sz w:val="24"/>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rPr>
      </w:pPr>
      <w:r>
        <w:rPr>
          <w:rFonts w:hint="eastAsia" w:ascii="宋体" w:hAnsi="宋体" w:cs="宋体"/>
          <w:bCs/>
          <w:sz w:val="24"/>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rPr>
      </w:pPr>
      <w:r>
        <w:rPr>
          <w:rFonts w:hint="eastAsia" w:ascii="宋体" w:hAnsi="宋体" w:cs="宋体"/>
          <w:bCs/>
          <w:sz w:val="24"/>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rPr>
      </w:pPr>
      <w:r>
        <w:rPr>
          <w:rFonts w:hint="eastAsia" w:ascii="宋体" w:hAnsi="宋体" w:cs="宋体"/>
          <w:bCs/>
          <w:sz w:val="24"/>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rPr>
      </w:pPr>
      <w:r>
        <w:rPr>
          <w:rFonts w:hint="eastAsia" w:ascii="宋体" w:hAnsi="宋体" w:cs="宋体"/>
          <w:bCs/>
          <w:sz w:val="24"/>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rPr>
      </w:pPr>
      <w:r>
        <w:rPr>
          <w:rFonts w:hint="eastAsia" w:ascii="宋体" w:hAnsi="宋体" w:cs="宋体"/>
          <w:bCs/>
          <w:sz w:val="24"/>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rPr>
      </w:pPr>
      <w:r>
        <w:rPr>
          <w:rFonts w:hint="eastAsia" w:ascii="宋体" w:hAnsi="宋体" w:cs="宋体"/>
          <w:bCs/>
          <w:sz w:val="24"/>
        </w:rPr>
        <w:t>管理人有权依法对本理财计划产品说明书进行解释。</w:t>
      </w:r>
    </w:p>
    <w:p>
      <w:pPr>
        <w:spacing w:line="360" w:lineRule="auto"/>
        <w:jc w:val="left"/>
        <w:rPr>
          <w:rFonts w:ascii="宋体" w:hAnsi="宋体" w:cs="宋体"/>
          <w:bCs/>
          <w:sz w:val="24"/>
        </w:rPr>
      </w:pPr>
    </w:p>
    <w:p>
      <w:pPr>
        <w:numPr>
          <w:ilvl w:val="0"/>
          <w:numId w:val="11"/>
        </w:numPr>
        <w:spacing w:line="360" w:lineRule="auto"/>
        <w:jc w:val="left"/>
        <w:outlineLvl w:val="1"/>
        <w:rPr>
          <w:rFonts w:ascii="宋体" w:hAnsi="宋体" w:cs="宋体"/>
          <w:b/>
          <w:sz w:val="24"/>
        </w:rPr>
      </w:pPr>
      <w:r>
        <w:rPr>
          <w:rFonts w:hint="eastAsia" w:ascii="宋体" w:hAnsi="宋体" w:cs="宋体"/>
          <w:b/>
          <w:sz w:val="24"/>
        </w:rPr>
        <w:t>释义</w:t>
      </w:r>
    </w:p>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7"/>
        <w:numPr>
          <w:ilvl w:val="0"/>
          <w:numId w:val="12"/>
        </w:numPr>
        <w:adjustRightInd/>
        <w:spacing w:line="360" w:lineRule="auto"/>
        <w:outlineLvl w:val="2"/>
        <w:rPr>
          <w:rFonts w:ascii="宋体" w:hAnsi="宋体" w:cs="宋体"/>
          <w:b/>
          <w:color w:val="auto"/>
          <w:kern w:val="2"/>
        </w:rPr>
      </w:pPr>
      <w:r>
        <w:rPr>
          <w:rFonts w:hint="eastAsia" w:ascii="宋体" w:hAnsi="宋体" w:cs="宋体"/>
          <w:b/>
          <w:color w:val="auto"/>
          <w:kern w:val="2"/>
        </w:rPr>
        <w:t>参与主体用语</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u w:val="single"/>
        </w:rPr>
        <w:t>www.hzbankwealth.com.cn</w:t>
      </w:r>
      <w:r>
        <w:rPr>
          <w:rFonts w:hint="eastAsia" w:ascii="宋体" w:hAnsi="宋体" w:cs="宋体"/>
          <w:bCs/>
          <w:color w:val="auto"/>
          <w:kern w:val="2"/>
        </w:rPr>
        <w:t>。</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u w:val="single"/>
        </w:rPr>
        <w:t>www.hzbank.com.cn</w:t>
      </w:r>
      <w:r>
        <w:rPr>
          <w:rFonts w:hint="eastAsia" w:ascii="宋体" w:hAnsi="宋体" w:cs="宋体"/>
          <w:bCs/>
          <w:color w:val="auto"/>
          <w:kern w:val="2"/>
          <w:u w:val="single"/>
        </w:rPr>
        <w:fldChar w:fldCharType="end"/>
      </w:r>
      <w:r>
        <w:rPr>
          <w:rFonts w:hint="eastAsia" w:ascii="宋体" w:hAnsi="宋体" w:cs="宋体"/>
          <w:bCs/>
          <w:color w:val="auto"/>
          <w:kern w:val="2"/>
        </w:rPr>
        <w:t>，客服热线为95398。</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7"/>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7"/>
        <w:numPr>
          <w:ilvl w:val="0"/>
          <w:numId w:val="12"/>
        </w:numPr>
        <w:adjustRightInd/>
        <w:spacing w:line="360" w:lineRule="auto"/>
        <w:outlineLvl w:val="2"/>
        <w:rPr>
          <w:rFonts w:ascii="宋体" w:hAnsi="宋体" w:cs="宋体"/>
          <w:b/>
          <w:color w:val="auto"/>
          <w:kern w:val="2"/>
        </w:rPr>
      </w:pPr>
      <w:r>
        <w:rPr>
          <w:rFonts w:hint="eastAsia" w:ascii="宋体" w:hAnsi="宋体" w:cs="宋体"/>
          <w:b/>
          <w:color w:val="auto"/>
          <w:kern w:val="2"/>
        </w:rPr>
        <w:t>法律文件用语</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期理财</w:t>
      </w:r>
      <w:r>
        <w:rPr>
          <w:rFonts w:hint="eastAsia" w:ascii="宋体" w:hAnsi="宋体" w:cs="宋体"/>
          <w:bCs/>
        </w:rPr>
        <w:t>产品说明书</w:t>
      </w:r>
      <w:r>
        <w:rPr>
          <w:rFonts w:hint="eastAsia" w:ascii="宋体" w:hAnsi="宋体" w:cs="宋体"/>
          <w:bCs/>
          <w:color w:val="auto"/>
          <w:kern w:val="2"/>
        </w:rPr>
        <w:t>》，以及对该文件的有效修改与补充。</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rPr>
        <w:t>不可分割组成部分的风险揭示书，</w:t>
      </w:r>
      <w:r>
        <w:rPr>
          <w:rFonts w:hint="eastAsia" w:ascii="宋体" w:hAnsi="宋体" w:cs="宋体"/>
          <w:bCs/>
          <w:color w:val="auto"/>
          <w:kern w:val="2"/>
        </w:rPr>
        <w:t>以及对该文件的有效修改与补充。</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lang w:eastAsia="zh-CN"/>
        </w:rPr>
        <w:t>理财合同</w:t>
      </w:r>
      <w:r>
        <w:rPr>
          <w:rFonts w:hint="eastAsia" w:ascii="宋体" w:hAnsi="宋体" w:cs="宋体"/>
          <w:bCs/>
        </w:rPr>
        <w:t>不可分割组成部分的投资者权益须知，</w:t>
      </w:r>
      <w:r>
        <w:rPr>
          <w:rFonts w:hint="eastAsia" w:ascii="宋体" w:hAnsi="宋体" w:cs="宋体"/>
          <w:bCs/>
          <w:color w:val="auto"/>
          <w:kern w:val="2"/>
        </w:rPr>
        <w:t>以及对该文件的有效修改与补充。</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rPr>
        <w:t>不可分割组成部分的理财计划投资协议书，</w:t>
      </w:r>
      <w:r>
        <w:rPr>
          <w:rFonts w:hint="eastAsia" w:ascii="宋体" w:hAnsi="宋体" w:cs="宋体"/>
          <w:bCs/>
          <w:color w:val="auto"/>
          <w:kern w:val="2"/>
        </w:rPr>
        <w:t>以及对该文件的有效修改与补充。</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color w:val="auto"/>
          <w:kern w:val="2"/>
        </w:rPr>
        <w:t>不可分割组成部分的理财计划销售协议书，以及对该文件的有效修改与补充。</w:t>
      </w:r>
    </w:p>
    <w:p>
      <w:pPr>
        <w:pStyle w:val="17"/>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指《理财计划产品说明书》《风险揭示书》《投资者权益须知》《理财计划投资协议书》《理财计划销售协议书》五个部分。</w:t>
      </w:r>
    </w:p>
    <w:p>
      <w:pPr>
        <w:pStyle w:val="17"/>
        <w:numPr>
          <w:ilvl w:val="0"/>
          <w:numId w:val="12"/>
        </w:numPr>
        <w:adjustRightInd/>
        <w:spacing w:line="360" w:lineRule="auto"/>
        <w:outlineLvl w:val="2"/>
        <w:rPr>
          <w:rFonts w:ascii="宋体" w:hAnsi="宋体" w:cs="宋体"/>
          <w:b/>
          <w:color w:val="auto"/>
          <w:kern w:val="2"/>
        </w:rPr>
      </w:pPr>
      <w:r>
        <w:rPr>
          <w:rFonts w:hint="eastAsia" w:ascii="宋体" w:hAnsi="宋体" w:cs="宋体"/>
          <w:b/>
          <w:color w:val="auto"/>
          <w:kern w:val="2"/>
        </w:rPr>
        <w:t>理财产品用语</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期理财</w:t>
      </w:r>
      <w:r>
        <w:rPr>
          <w:rFonts w:hint="eastAsia" w:ascii="宋体" w:hAnsi="宋体" w:cs="宋体"/>
          <w:bCs/>
        </w:rPr>
        <w:t>。</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7"/>
        <w:numPr>
          <w:ilvl w:val="0"/>
          <w:numId w:val="15"/>
        </w:numPr>
        <w:adjustRightInd/>
        <w:spacing w:line="360" w:lineRule="auto"/>
        <w:rPr>
          <w:rFonts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7"/>
        <w:numPr>
          <w:ilvl w:val="0"/>
          <w:numId w:val="15"/>
        </w:numPr>
        <w:adjustRightInd/>
        <w:spacing w:line="360" w:lineRule="auto"/>
        <w:rPr>
          <w:rFonts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w:t>
      </w:r>
      <w:r>
        <w:rPr>
          <w:rFonts w:hint="eastAsia" w:ascii="宋体" w:hAnsi="宋体" w:cs="宋体"/>
          <w:bCs/>
          <w:lang w:eastAsia="zh-CN"/>
        </w:rPr>
        <w:t>、</w:t>
      </w:r>
      <w:r>
        <w:rPr>
          <w:rFonts w:hint="eastAsia" w:ascii="宋体" w:hAnsi="宋体" w:cs="宋体"/>
          <w:bCs/>
          <w:lang w:val="en-US" w:eastAsia="zh-CN"/>
        </w:rPr>
        <w:t>赎回</w:t>
      </w:r>
      <w:r>
        <w:rPr>
          <w:rFonts w:hint="eastAsia" w:ascii="宋体" w:hAnsi="宋体" w:cs="宋体"/>
          <w:bCs/>
        </w:rPr>
        <w:t>交易的时间。</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w:t>
      </w:r>
      <w:r>
        <w:rPr>
          <w:rFonts w:hint="eastAsia" w:ascii="宋体" w:hAnsi="宋体" w:cs="宋体"/>
          <w:bCs/>
          <w:color w:val="auto"/>
          <w:kern w:val="2"/>
          <w:lang w:eastAsia="zh-CN"/>
        </w:rPr>
        <w:t>、</w:t>
      </w:r>
      <w:r>
        <w:rPr>
          <w:rFonts w:hint="eastAsia" w:ascii="宋体" w:hAnsi="宋体" w:cs="宋体"/>
          <w:bCs/>
          <w:color w:val="auto"/>
          <w:kern w:val="2"/>
          <w:lang w:val="en-US" w:eastAsia="zh-CN"/>
        </w:rPr>
        <w:t>赎回</w:t>
      </w:r>
      <w:r>
        <w:rPr>
          <w:rFonts w:hint="eastAsia" w:ascii="宋体" w:hAnsi="宋体" w:cs="宋体"/>
          <w:bCs/>
          <w:color w:val="auto"/>
          <w:kern w:val="2"/>
        </w:rPr>
        <w:t>交易是否有效的日期。</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7"/>
        <w:adjustRightInd/>
        <w:spacing w:line="360" w:lineRule="auto"/>
        <w:ind w:firstLine="482" w:firstLineChars="200"/>
        <w:rPr>
          <w:rFonts w:hint="eastAsia"/>
        </w:rPr>
      </w:pPr>
      <w:r>
        <w:rPr>
          <w:rFonts w:hint="eastAsia" w:ascii="宋体" w:hAnsi="宋体" w:cs="宋体"/>
          <w:b/>
          <w:color w:val="auto"/>
          <w:kern w:val="2"/>
        </w:rPr>
        <w:t>31. 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adjustRightInd/>
        <w:spacing w:line="360" w:lineRule="auto"/>
        <w:ind w:firstLine="482" w:firstLineChars="200"/>
        <w:rPr>
          <w:rFonts w:ascii="宋体" w:hAnsi="宋体" w:cs="宋体"/>
          <w:b/>
          <w:color w:val="auto"/>
          <w:kern w:val="2"/>
        </w:rPr>
      </w:pPr>
      <w:r>
        <w:rPr>
          <w:rFonts w:hint="eastAsia" w:ascii="宋体" w:hAnsi="宋体" w:cs="宋体"/>
          <w:b/>
          <w:color w:val="auto"/>
          <w:kern w:val="2"/>
        </w:rPr>
        <w:t>32. 7</w:t>
      </w:r>
      <w:r>
        <w:rPr>
          <w:rFonts w:hint="eastAsia" w:ascii="宋体" w:hAnsi="宋体" w:cs="宋体"/>
          <w:b/>
          <w:color w:val="auto"/>
          <w:kern w:val="2"/>
          <w:lang w:val="en-US" w:eastAsia="zh-CN"/>
        </w:rPr>
        <w:t>个</w:t>
      </w:r>
      <w:r>
        <w:rPr>
          <w:rFonts w:hint="eastAsia"/>
          <w:b/>
          <w:bCs/>
        </w:rPr>
        <w:t>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outlineLvl w:val="2"/>
        <w:rPr>
          <w:rFonts w:ascii="宋体" w:hAnsi="宋体" w:cs="宋体"/>
          <w:b/>
          <w:color w:val="auto"/>
          <w:kern w:val="2"/>
        </w:rPr>
      </w:pPr>
      <w:r>
        <w:rPr>
          <w:rFonts w:hint="eastAsia" w:ascii="宋体" w:hAnsi="宋体" w:cs="宋体"/>
          <w:b/>
          <w:color w:val="auto"/>
          <w:kern w:val="2"/>
        </w:rPr>
        <w:t>相关事件用语</w:t>
      </w:r>
    </w:p>
    <w:p>
      <w:pPr>
        <w:pStyle w:val="17"/>
        <w:numPr>
          <w:ilvl w:val="0"/>
          <w:numId w:val="16"/>
        </w:numPr>
        <w:adjustRightInd/>
        <w:spacing w:line="360" w:lineRule="auto"/>
        <w:rPr>
          <w:rFonts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（2）战争、政变、恐怖主义行动、骚乱、罢工；</w:t>
      </w:r>
    </w:p>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7"/>
        <w:adjustRightInd/>
        <w:spacing w:line="360" w:lineRule="auto"/>
        <w:ind w:firstLine="241" w:firstLineChars="100"/>
        <w:rPr>
          <w:rFonts w:hint="eastAsia" w:ascii="宋体" w:hAnsi="宋体" w:cs="宋体"/>
          <w:b/>
          <w:color w:val="auto"/>
          <w:kern w:val="2"/>
        </w:rPr>
      </w:pPr>
      <w:r>
        <w:rPr>
          <w:rFonts w:hint="eastAsia" w:ascii="宋体" w:hAnsi="宋体" w:cs="宋体"/>
          <w:b/>
          <w:color w:val="auto"/>
          <w:kern w:val="2"/>
        </w:rPr>
        <w:t>2. 巨额赎回：指理财计划的申购和赎回开放期内，理财计划任一开放日净赎回申请份额超过上一工作日日终理财计划总份额的〖10%〗，即为发生巨额赎回行为。</w:t>
      </w:r>
    </w:p>
    <w:p>
      <w:pPr>
        <w:pStyle w:val="17"/>
        <w:adjustRightInd/>
        <w:spacing w:line="360" w:lineRule="auto"/>
        <w:rPr>
          <w:rFonts w:ascii="宋体" w:hAnsi="宋体" w:cs="宋体"/>
          <w:bCs/>
          <w:color w:val="auto"/>
          <w:kern w:val="2"/>
        </w:rPr>
      </w:pPr>
    </w:p>
    <w:p>
      <w:pPr>
        <w:pStyle w:val="17"/>
        <w:numPr>
          <w:ilvl w:val="0"/>
          <w:numId w:val="17"/>
        </w:numPr>
        <w:adjustRightInd/>
        <w:spacing w:line="360" w:lineRule="auto"/>
        <w:outlineLvl w:val="1"/>
        <w:rPr>
          <w:rFonts w:ascii="宋体" w:hAnsi="宋体" w:cs="宋体"/>
          <w:b/>
          <w:color w:val="auto"/>
          <w:kern w:val="2"/>
        </w:rPr>
      </w:pPr>
      <w:r>
        <w:rPr>
          <w:rFonts w:hint="eastAsia" w:ascii="宋体" w:hAnsi="宋体" w:cs="宋体"/>
          <w:b/>
          <w:color w:val="auto"/>
          <w:kern w:val="2"/>
        </w:rPr>
        <w:t>风险评级</w:t>
      </w:r>
    </w:p>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746"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5064"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746"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5064" w:type="dxa"/>
          </w:tcPr>
          <w:p>
            <w:pPr>
              <w:pStyle w:val="17"/>
              <w:adjustRightInd/>
              <w:spacing w:line="360" w:lineRule="auto"/>
              <w:jc w:val="center"/>
              <w:rPr>
                <w:rFonts w:ascii="宋体" w:hAnsi="宋体" w:cs="宋体"/>
                <w:bCs/>
                <w:color w:val="auto"/>
                <w:kern w:val="2"/>
              </w:rPr>
            </w:pPr>
            <w:r>
              <w:rPr>
                <w:rFonts w:hint="eastAsia" w:ascii="宋体" w:hAnsi="宋体" w:cs="宋体"/>
                <w:bCs/>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
                <w:color w:val="auto"/>
                <w:kern w:val="2"/>
              </w:rPr>
            </w:pPr>
            <w:r>
              <w:rPr>
                <w:rFonts w:ascii="宋体" w:hAnsi="宋体" w:cs="宋体"/>
                <w:b/>
                <w:color w:val="auto"/>
                <w:kern w:val="2"/>
              </w:rPr>
              <w:t>R2</w:t>
            </w:r>
          </w:p>
        </w:tc>
        <w:tc>
          <w:tcPr>
            <w:tcW w:w="1746" w:type="dxa"/>
          </w:tcPr>
          <w:p>
            <w:pPr>
              <w:pStyle w:val="17"/>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5064" w:type="dxa"/>
          </w:tcPr>
          <w:p>
            <w:pPr>
              <w:pStyle w:val="17"/>
              <w:adjustRightInd/>
              <w:spacing w:line="360" w:lineRule="auto"/>
              <w:jc w:val="center"/>
              <w:rPr>
                <w:rFonts w:ascii="宋体" w:hAnsi="宋体" w:cs="宋体"/>
                <w:b/>
                <w:color w:val="auto"/>
                <w:kern w:val="2"/>
              </w:rPr>
            </w:pPr>
            <w:r>
              <w:rPr>
                <w:rFonts w:hint="eastAsia" w:ascii="宋体" w:hAnsi="宋体" w:cs="宋体"/>
                <w:b/>
                <w:color w:val="auto"/>
                <w:kern w:val="2"/>
              </w:rPr>
              <w:t>稳健型</w:t>
            </w:r>
            <w:r>
              <w:rPr>
                <w:rFonts w:hint="eastAsia" w:ascii="宋体" w:hAnsi="宋体" w:cs="宋体"/>
                <w:b/>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746"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5064"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平衡型</w:t>
            </w:r>
            <w:r>
              <w:rPr>
                <w:rFonts w:hint="eastAsia" w:ascii="宋体" w:hAnsi="宋体" w:cs="宋体"/>
                <w:bCs/>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746"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5064"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成长型</w:t>
            </w:r>
            <w:r>
              <w:rPr>
                <w:rFonts w:hint="eastAsia" w:ascii="宋体" w:hAnsi="宋体" w:cs="宋体"/>
                <w:bCs/>
                <w:kern w:val="2"/>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746"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5064" w:type="dxa"/>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7"/>
        <w:adjustRightInd/>
        <w:spacing w:line="360" w:lineRule="auto"/>
        <w:ind w:firstLine="480" w:firstLineChars="200"/>
        <w:rPr>
          <w:rFonts w:ascii="宋体" w:hAnsi="宋体" w:cs="宋体"/>
          <w:bCs/>
          <w:color w:val="auto"/>
          <w:kern w:val="2"/>
          <w:highlight w:val="red"/>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ascii="宋体" w:hAnsi="宋体" w:cs="宋体"/>
          <w:b/>
          <w:color w:val="auto"/>
          <w:kern w:val="2"/>
        </w:rPr>
      </w:pPr>
    </w:p>
    <w:p>
      <w:pPr>
        <w:pStyle w:val="17"/>
        <w:numPr>
          <w:ilvl w:val="0"/>
          <w:numId w:val="17"/>
        </w:numPr>
        <w:adjustRightInd/>
        <w:spacing w:line="360" w:lineRule="auto"/>
        <w:outlineLvl w:val="1"/>
        <w:rPr>
          <w:rFonts w:ascii="宋体" w:hAnsi="宋体" w:cs="宋体"/>
          <w:b/>
          <w:color w:val="auto"/>
          <w:kern w:val="2"/>
        </w:rPr>
      </w:pPr>
      <w:r>
        <w:rPr>
          <w:rFonts w:hint="eastAsia" w:ascii="宋体" w:hAnsi="宋体" w:cs="宋体"/>
          <w:b/>
          <w:color w:val="auto"/>
          <w:kern w:val="2"/>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产品名称</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杭银理财幸福99天添益（</w:t>
            </w:r>
            <w:r>
              <w:rPr>
                <w:rFonts w:hint="eastAsia" w:ascii="宋体" w:hAnsi="宋体" w:cs="宋体"/>
                <w:szCs w:val="21"/>
                <w:lang w:eastAsia="zh-CN"/>
              </w:rPr>
              <w:t>安享优选</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hint="eastAsia" w:ascii="宋体" w:hAnsi="宋体" w:eastAsia="宋体" w:cs="宋体"/>
                <w:color w:val="000000"/>
                <w:szCs w:val="21"/>
                <w:lang w:val="en-US" w:eastAsia="zh-CN"/>
              </w:rPr>
            </w:pPr>
            <w:r>
              <w:rPr>
                <w:rFonts w:hint="eastAsia" w:ascii="宋体" w:hAnsi="宋体" w:cs="宋体"/>
                <w:color w:val="000000"/>
                <w:szCs w:val="21"/>
              </w:rPr>
              <w:t>产品</w:t>
            </w:r>
            <w:r>
              <w:rPr>
                <w:rFonts w:hint="eastAsia" w:ascii="宋体" w:hAnsi="宋体" w:cs="宋体"/>
                <w:color w:val="000000"/>
                <w:szCs w:val="21"/>
                <w:lang w:val="en-US" w:eastAsia="zh-CN"/>
              </w:rPr>
              <w:t>简称</w:t>
            </w:r>
          </w:p>
        </w:tc>
        <w:tc>
          <w:tcPr>
            <w:tcW w:w="7281" w:type="dxa"/>
            <w:vAlign w:val="center"/>
          </w:tcPr>
          <w:p>
            <w:pPr>
              <w:widowControl/>
              <w:spacing w:line="360" w:lineRule="auto"/>
              <w:contextualSpacing/>
              <w:rPr>
                <w:rFonts w:hint="eastAsia" w:ascii="宋体" w:hAnsi="宋体" w:cs="宋体"/>
                <w:szCs w:val="21"/>
              </w:rPr>
            </w:pPr>
            <w:r>
              <w:rPr>
                <w:rFonts w:hint="eastAsia" w:ascii="宋体" w:hAnsi="宋体" w:cs="宋体"/>
                <w:szCs w:val="21"/>
              </w:rPr>
              <w:t>天添益（</w:t>
            </w:r>
            <w:r>
              <w:rPr>
                <w:rFonts w:hint="eastAsia" w:ascii="宋体" w:hAnsi="宋体" w:cs="宋体"/>
                <w:szCs w:val="21"/>
                <w:lang w:eastAsia="zh-CN"/>
              </w:rPr>
              <w:t>安享优选</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szCs w:val="21"/>
              </w:rPr>
            </w:pPr>
            <w:r>
              <w:rPr>
                <w:rFonts w:hint="eastAsia" w:ascii="宋体" w:hAnsi="宋体" w:cs="宋体"/>
                <w:szCs w:val="21"/>
              </w:rPr>
              <w:t>产品编号</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登记编码</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本理财计划在全国银行业理财信息登记系统的登记编码是〖</w:t>
            </w:r>
            <w:r>
              <w:rPr>
                <w:rFonts w:hint="eastAsia" w:ascii="宋体" w:hAnsi="宋体" w:cs="宋体"/>
                <w:szCs w:val="21"/>
              </w:rPr>
              <w:t>Z7002222000087</w:t>
            </w:r>
            <w:r>
              <w:rPr>
                <w:rFonts w:hint="eastAsia" w:ascii="宋体" w:hAnsi="宋体" w:cs="宋体"/>
                <w:color w:val="000000"/>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发行对象</w:t>
            </w:r>
          </w:p>
        </w:tc>
        <w:tc>
          <w:tcPr>
            <w:tcW w:w="7281" w:type="dxa"/>
            <w:vAlign w:val="center"/>
          </w:tcPr>
          <w:p>
            <w:pPr>
              <w:widowControl/>
              <w:spacing w:line="300" w:lineRule="auto"/>
              <w:contextualSpacing/>
              <w:rPr>
                <w:rFonts w:hint="eastAsia" w:ascii="宋体" w:hAnsi="宋体" w:cs="宋体"/>
                <w:bCs w:val="0"/>
                <w:color w:val="000000"/>
                <w:sz w:val="21"/>
                <w:szCs w:val="21"/>
                <w:highlight w:val="none"/>
              </w:rPr>
            </w:pPr>
            <w:r>
              <w:rPr>
                <w:rFonts w:hint="eastAsia" w:ascii="宋体" w:hAnsi="宋体" w:cs="宋体"/>
                <w:color w:val="000000"/>
                <w:szCs w:val="21"/>
              </w:rPr>
              <w:t>本理财计划适合</w:t>
            </w:r>
            <w:r>
              <w:rPr>
                <w:rFonts w:hint="eastAsia" w:ascii="宋体" w:hAnsi="宋体" w:cs="宋体"/>
                <w:b/>
                <w:szCs w:val="21"/>
              </w:rPr>
              <w:t>〖</w:t>
            </w:r>
            <w:r>
              <w:rPr>
                <w:rFonts w:hint="eastAsia" w:ascii="宋体" w:hAnsi="宋体" w:cs="宋体"/>
                <w:b/>
                <w:color w:val="000000"/>
                <w:szCs w:val="21"/>
              </w:rPr>
              <w:t>机构投资者</w:t>
            </w:r>
            <w:r>
              <w:rPr>
                <w:rFonts w:hint="eastAsia" w:ascii="宋体" w:hAnsi="宋体" w:cs="宋体"/>
                <w:b/>
                <w:szCs w:val="21"/>
              </w:rPr>
              <w:t>〗</w:t>
            </w:r>
            <w:r>
              <w:rPr>
                <w:rFonts w:hint="eastAsia" w:ascii="宋体" w:hAnsi="宋体" w:cs="宋体"/>
                <w:b/>
                <w:color w:val="000000"/>
                <w:szCs w:val="21"/>
              </w:rPr>
              <w:t>以及</w:t>
            </w:r>
            <w:r>
              <w:rPr>
                <w:rFonts w:hint="eastAsia" w:ascii="宋体" w:hAnsi="宋体" w:cs="宋体"/>
                <w:b/>
                <w:szCs w:val="21"/>
              </w:rPr>
              <w:t>〖稳健型、平衡型、成长型、进取型〗</w:t>
            </w:r>
            <w:r>
              <w:rPr>
                <w:rFonts w:hint="eastAsia" w:ascii="宋体" w:hAnsi="宋体" w:cs="宋体"/>
                <w:b/>
                <w:color w:val="000000"/>
                <w:szCs w:val="21"/>
              </w:rPr>
              <w:t>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0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00" w:lineRule="auto"/>
              <w:contextualSpacing/>
              <w:rPr>
                <w:rFonts w:hint="eastAsia" w:ascii="宋体" w:hAnsi="宋体" w:cs="宋体"/>
                <w:b w:val="0"/>
                <w:bCs/>
                <w:color w:val="000000"/>
                <w:sz w:val="21"/>
                <w:szCs w:val="21"/>
                <w:highlight w:val="none"/>
                <w:lang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szCs w:val="21"/>
              </w:rPr>
              <w:t>〗</w:t>
            </w:r>
            <w:r>
              <w:rPr>
                <w:rFonts w:hint="eastAsia" w:ascii="宋体" w:hAnsi="宋体" w:cs="宋体"/>
                <w:bCs w:val="0"/>
                <w:color w:val="000000"/>
                <w:sz w:val="21"/>
                <w:szCs w:val="21"/>
                <w:highlight w:val="none"/>
                <w:lang w:val="en-US" w:eastAsia="zh-CN"/>
              </w:rPr>
              <w:t>）</w:t>
            </w:r>
            <w:r>
              <w:rPr>
                <w:rFonts w:hint="eastAsia" w:ascii="宋体" w:hAnsi="宋体" w:cs="宋体"/>
                <w:szCs w:val="21"/>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2201B</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2201C</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color w:val="000000"/>
                <w:szCs w:val="21"/>
              </w:rPr>
              <w:t>D份额</w:t>
            </w:r>
            <w:r>
              <w:rPr>
                <w:rFonts w:hint="eastAsia" w:ascii="宋体" w:hAnsi="宋体" w:cs="宋体"/>
                <w:bCs/>
                <w:color w:val="000000"/>
                <w:szCs w:val="21"/>
                <w:lang w:eastAsia="zh-CN"/>
              </w:rPr>
              <w:t>（</w:t>
            </w:r>
            <w:r>
              <w:rPr>
                <w:rFonts w:hint="eastAsia" w:ascii="宋体" w:hAnsi="宋体" w:cs="宋体"/>
                <w:bCs/>
                <w:color w:val="000000"/>
                <w:szCs w:val="21"/>
                <w:lang w:val="en-US" w:eastAsia="zh-CN"/>
              </w:rPr>
              <w:t>销售名称：杭银理财幸福99天添益私银尊享（安享优选）1期理财D款</w:t>
            </w:r>
            <w:r>
              <w:rPr>
                <w:rFonts w:hint="eastAsia" w:ascii="宋体" w:hAnsi="宋体" w:cs="宋体"/>
                <w:bCs/>
                <w:color w:val="000000"/>
                <w:szCs w:val="21"/>
                <w:lang w:eastAsia="zh-CN"/>
              </w:rPr>
              <w:t>）</w:t>
            </w:r>
            <w:r>
              <w:rPr>
                <w:rFonts w:hint="eastAsia" w:ascii="宋体" w:hAnsi="宋体" w:cs="宋体"/>
                <w:bCs/>
                <w:color w:val="000000"/>
                <w:szCs w:val="21"/>
              </w:rPr>
              <w:t>（</w:t>
            </w:r>
            <w:r>
              <w:rPr>
                <w:rFonts w:hint="eastAsia" w:ascii="宋体" w:hAnsi="宋体" w:cs="宋体"/>
                <w:color w:val="000000"/>
                <w:szCs w:val="21"/>
              </w:rPr>
              <w:t>销售代码</w:t>
            </w:r>
            <w:r>
              <w:rPr>
                <w:rFonts w:hint="eastAsia" w:ascii="宋体" w:hAnsi="宋体" w:cs="宋体"/>
                <w:szCs w:val="21"/>
              </w:rPr>
              <w:t>〖TYG1D2201</w:t>
            </w:r>
            <w:r>
              <w:rPr>
                <w:rFonts w:ascii="宋体" w:hAnsi="宋体" w:cs="宋体"/>
                <w:szCs w:val="21"/>
              </w:rPr>
              <w:t>D</w:t>
            </w:r>
            <w:r>
              <w:rPr>
                <w:rFonts w:hint="eastAsia" w:ascii="宋体" w:hAnsi="宋体" w:cs="宋体"/>
                <w:szCs w:val="21"/>
              </w:rPr>
              <w:t>〗</w:t>
            </w:r>
            <w:r>
              <w:rPr>
                <w:rFonts w:hint="eastAsia" w:ascii="宋体" w:hAnsi="宋体" w:cs="宋体"/>
                <w:bCs/>
                <w:color w:val="000000"/>
                <w:szCs w:val="21"/>
              </w:rPr>
              <w:t>）面向〖</w:t>
            </w:r>
            <w:r>
              <w:rPr>
                <w:rFonts w:hint="eastAsia" w:ascii="宋体" w:hAnsi="宋体" w:cs="宋体"/>
                <w:bCs/>
                <w:color w:val="000000"/>
                <w:szCs w:val="21"/>
                <w:lang w:val="en-US" w:eastAsia="zh-CN"/>
              </w:rPr>
              <w:t>其他代销机构</w:t>
            </w:r>
            <w:r>
              <w:rPr>
                <w:rFonts w:hint="eastAsia" w:ascii="宋体" w:hAnsi="宋体" w:cs="宋体"/>
                <w:bCs/>
                <w:color w:val="000000"/>
                <w:szCs w:val="21"/>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2201E</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F份额（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2201F</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特邀客户</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G份额（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2201G</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H份额（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b w:val="0"/>
                <w:bCs/>
                <w:color w:val="000000"/>
                <w:sz w:val="21"/>
                <w:szCs w:val="21"/>
                <w:highlight w:val="none"/>
                <w:lang w:val="en-US" w:eastAsia="zh-CN"/>
              </w:rPr>
              <w:t>H</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I份额（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b w:val="0"/>
                <w:bCs/>
                <w:color w:val="000000"/>
                <w:sz w:val="21"/>
                <w:szCs w:val="21"/>
                <w:highlight w:val="none"/>
                <w:lang w:val="en-US" w:eastAsia="zh-CN"/>
              </w:rPr>
              <w:t>I</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发行方式</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产品类型</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〖固定收益〗</w:t>
            </w:r>
            <w:r>
              <w:rPr>
                <w:rFonts w:hint="eastAsia" w:ascii="宋体" w:hAnsi="宋体" w:cs="宋体"/>
                <w:color w:val="000000"/>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运作模式</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销售范围</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全国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销售渠道</w:t>
            </w:r>
          </w:p>
        </w:tc>
        <w:tc>
          <w:tcPr>
            <w:tcW w:w="7281" w:type="dxa"/>
            <w:vAlign w:val="center"/>
          </w:tcPr>
          <w:p>
            <w:pPr>
              <w:widowControl/>
              <w:spacing w:line="360" w:lineRule="auto"/>
              <w:contextualSpacing/>
              <w:jc w:val="left"/>
              <w:rPr>
                <w:rFonts w:ascii="宋体" w:hAnsi="宋体" w:cs="宋体"/>
                <w:color w:val="000000"/>
                <w:szCs w:val="21"/>
              </w:rPr>
            </w:pPr>
            <w:r>
              <w:rPr>
                <w:rFonts w:hint="eastAsia" w:ascii="宋体" w:hAnsi="宋体" w:cs="宋体"/>
                <w:color w:val="000000"/>
                <w:szCs w:val="21"/>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lang w:eastAsia="zh-CN"/>
              </w:rPr>
              <w:t>和代理</w:t>
            </w:r>
            <w:r>
              <w:rPr>
                <w:rFonts w:hint="eastAsia" w:ascii="宋体" w:hAnsi="宋体" w:cs="宋体"/>
                <w:color w:val="000000"/>
                <w:szCs w:val="21"/>
              </w:rPr>
              <w:t>销售机构的</w:t>
            </w:r>
            <w:r>
              <w:rPr>
                <w:rFonts w:hint="eastAsia" w:ascii="宋体" w:hAnsi="宋体" w:cs="宋体"/>
                <w:szCs w:val="21"/>
              </w:rPr>
              <w:t>〖</w:t>
            </w:r>
            <w:r>
              <w:rPr>
                <w:rFonts w:hint="eastAsia" w:ascii="宋体" w:hAnsi="宋体" w:cs="宋体"/>
                <w:color w:val="000000"/>
                <w:szCs w:val="21"/>
              </w:rPr>
              <w:t>营业网点、网上银行、手机银行</w:t>
            </w:r>
            <w:r>
              <w:rPr>
                <w:rFonts w:hint="eastAsia" w:ascii="宋体" w:hAnsi="宋体" w:cs="宋体"/>
                <w:szCs w:val="21"/>
              </w:rPr>
              <w:t>〗</w:t>
            </w:r>
            <w:r>
              <w:rPr>
                <w:rFonts w:hint="eastAsia" w:ascii="宋体" w:hAnsi="宋体" w:cs="宋体"/>
                <w:color w:val="000000"/>
                <w:szCs w:val="21"/>
              </w:rPr>
              <w:t>等渠道购买</w:t>
            </w:r>
            <w:r>
              <w:rPr>
                <w:rFonts w:hint="eastAsia" w:ascii="宋体" w:hAnsi="宋体" w:cs="宋体"/>
                <w:color w:val="000000"/>
                <w:sz w:val="21"/>
                <w:szCs w:val="21"/>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交易币种</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人民币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发行规模上限</w:t>
            </w:r>
          </w:p>
        </w:tc>
        <w:tc>
          <w:tcPr>
            <w:tcW w:w="7281" w:type="dxa"/>
            <w:vAlign w:val="center"/>
          </w:tcPr>
          <w:p>
            <w:pPr>
              <w:widowControl/>
              <w:spacing w:line="360" w:lineRule="auto"/>
              <w:jc w:val="left"/>
              <w:rPr>
                <w:rFonts w:hint="eastAsia" w:ascii="宋体" w:hAnsi="宋体" w:cs="宋体"/>
                <w:color w:val="000000"/>
                <w:szCs w:val="21"/>
              </w:rPr>
            </w:pPr>
            <w:r>
              <w:rPr>
                <w:rFonts w:hint="eastAsia" w:ascii="宋体" w:hAnsi="宋体" w:cs="宋体"/>
                <w:color w:val="000000"/>
                <w:szCs w:val="21"/>
                <w:highlight w:val="none"/>
                <w:lang w:val="en-US" w:eastAsia="zh-CN"/>
              </w:rPr>
              <w:t>A、B、C、E、F、G、H、I份额合计：</w:t>
            </w:r>
            <w:r>
              <w:rPr>
                <w:rFonts w:hint="eastAsia" w:ascii="宋体" w:hAnsi="宋体" w:cs="宋体"/>
                <w:color w:val="000000"/>
                <w:szCs w:val="21"/>
              </w:rPr>
              <w:t>〖</w:t>
            </w:r>
            <w:r>
              <w:rPr>
                <w:rFonts w:hint="eastAsia" w:ascii="宋体" w:hAnsi="宋体" w:cs="宋体"/>
                <w:color w:val="000000"/>
                <w:szCs w:val="21"/>
                <w:lang w:val="en-US" w:eastAsia="zh-CN"/>
              </w:rPr>
              <w:t>300</w:t>
            </w:r>
            <w:r>
              <w:rPr>
                <w:rFonts w:hint="eastAsia" w:ascii="宋体" w:hAnsi="宋体" w:cs="宋体"/>
                <w:color w:val="000000"/>
                <w:szCs w:val="21"/>
              </w:rPr>
              <w:t>〗亿元</w:t>
            </w:r>
          </w:p>
          <w:p>
            <w:pPr>
              <w:widowControl/>
              <w:spacing w:line="360" w:lineRule="auto"/>
              <w:jc w:val="left"/>
              <w:rPr>
                <w:rFonts w:hint="eastAsia" w:ascii="宋体" w:hAnsi="宋体" w:cs="宋体"/>
                <w:color w:val="000000"/>
                <w:szCs w:val="21"/>
              </w:rPr>
            </w:pPr>
            <w:r>
              <w:rPr>
                <w:rFonts w:hint="eastAsia" w:ascii="宋体" w:hAnsi="宋体" w:cs="宋体"/>
                <w:color w:val="000000"/>
                <w:szCs w:val="21"/>
                <w:highlight w:val="none"/>
                <w:lang w:val="en-US" w:eastAsia="zh-CN"/>
              </w:rPr>
              <w:t>D份额：</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认购期</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14</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认购时间</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认购期首日〖9：00〗至认购结束日〖1</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45</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成立日</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理财期限</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无固定期限（实际理财期限受制于管理人</w:t>
            </w:r>
            <w:r>
              <w:rPr>
                <w:rFonts w:hint="eastAsia" w:ascii="宋体" w:hAnsi="宋体" w:cs="宋体"/>
                <w:color w:val="000000"/>
                <w:sz w:val="21"/>
                <w:szCs w:val="21"/>
              </w:rPr>
              <w:t>提前</w:t>
            </w:r>
            <w:r>
              <w:rPr>
                <w:rFonts w:hint="eastAsia" w:ascii="宋体" w:hAnsi="宋体" w:cs="宋体"/>
                <w:color w:val="000000"/>
                <w:szCs w:val="21"/>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认购/申购</w:t>
            </w:r>
          </w:p>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起点金额</w:t>
            </w:r>
          </w:p>
        </w:tc>
        <w:tc>
          <w:tcPr>
            <w:tcW w:w="7281"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bCs/>
                <w:color w:val="auto"/>
                <w:szCs w:val="21"/>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bCs/>
                <w:color w:val="auto"/>
                <w:szCs w:val="21"/>
              </w:rPr>
              <w:t>起点</w:t>
            </w: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w:t>
            </w:r>
            <w:r>
              <w:rPr>
                <w:rFonts w:hint="eastAsia" w:ascii="宋体" w:hAnsi="宋体" w:cs="宋体"/>
                <w:bCs/>
                <w:color w:val="auto"/>
                <w:szCs w:val="21"/>
              </w:rPr>
              <w:t>元整，超过认购/申购起点部分，应为</w:t>
            </w: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w:t>
            </w:r>
            <w:r>
              <w:rPr>
                <w:rFonts w:hint="eastAsia" w:ascii="宋体" w:hAnsi="宋体" w:cs="宋体"/>
                <w:bCs/>
                <w:color w:val="auto"/>
                <w:szCs w:val="21"/>
              </w:rPr>
              <w:t>元的整数倍。</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bCs/>
                <w:szCs w:val="21"/>
              </w:rPr>
            </w:pPr>
            <w:r>
              <w:rPr>
                <w:rFonts w:hint="eastAsia" w:ascii="宋体" w:hAnsi="宋体" w:cs="宋体"/>
                <w:szCs w:val="21"/>
              </w:rPr>
              <w:t>〖</w:t>
            </w:r>
            <w:r>
              <w:rPr>
                <w:rFonts w:ascii="宋体" w:hAnsi="宋体" w:cs="宋体"/>
                <w:szCs w:val="21"/>
              </w:rPr>
              <w:t>D</w:t>
            </w:r>
            <w:r>
              <w:rPr>
                <w:rFonts w:hint="eastAsia" w:ascii="宋体" w:hAnsi="宋体" w:cs="宋体"/>
                <w:bCs/>
                <w:szCs w:val="21"/>
              </w:rPr>
              <w:t>份额</w:t>
            </w:r>
            <w:r>
              <w:rPr>
                <w:rFonts w:hint="eastAsia" w:ascii="宋体" w:hAnsi="宋体" w:cs="宋体"/>
                <w:szCs w:val="21"/>
              </w:rPr>
              <w:t>〗</w:t>
            </w:r>
            <w:r>
              <w:rPr>
                <w:rFonts w:hint="eastAsia" w:ascii="宋体" w:hAnsi="宋体" w:cs="宋体"/>
                <w:bCs/>
                <w:szCs w:val="21"/>
              </w:rPr>
              <w:t>，经代销机构评定为私银客户的投资起点为</w:t>
            </w:r>
            <w:r>
              <w:rPr>
                <w:rFonts w:hint="eastAsia" w:ascii="宋体" w:hAnsi="宋体" w:cs="宋体"/>
                <w:szCs w:val="21"/>
              </w:rPr>
              <w:t>〖</w:t>
            </w:r>
            <w:r>
              <w:rPr>
                <w:rFonts w:ascii="宋体" w:hAnsi="宋体" w:cs="宋体"/>
                <w:bCs/>
                <w:szCs w:val="21"/>
              </w:rPr>
              <w:t>1</w:t>
            </w:r>
            <w:r>
              <w:rPr>
                <w:rFonts w:hint="eastAsia" w:ascii="宋体" w:hAnsi="宋体" w:cs="宋体"/>
                <w:szCs w:val="21"/>
              </w:rPr>
              <w:t>〗</w:t>
            </w:r>
            <w:r>
              <w:rPr>
                <w:rFonts w:hint="eastAsia" w:ascii="宋体" w:hAnsi="宋体" w:cs="宋体"/>
                <w:bCs/>
                <w:szCs w:val="21"/>
              </w:rPr>
              <w:t>元整，非私银客户的投资起点为</w:t>
            </w:r>
            <w:r>
              <w:rPr>
                <w:rFonts w:hint="eastAsia" w:ascii="宋体" w:hAnsi="宋体" w:cs="宋体"/>
                <w:szCs w:val="21"/>
              </w:rPr>
              <w:t>〖</w:t>
            </w:r>
            <w:r>
              <w:rPr>
                <w:rFonts w:hint="eastAsia" w:ascii="宋体" w:hAnsi="宋体" w:cs="宋体"/>
                <w:bCs/>
                <w:szCs w:val="21"/>
              </w:rPr>
              <w:t>600万</w:t>
            </w:r>
            <w:r>
              <w:rPr>
                <w:rFonts w:hint="eastAsia" w:ascii="宋体" w:hAnsi="宋体" w:cs="宋体"/>
                <w:szCs w:val="21"/>
              </w:rPr>
              <w:t>〗</w:t>
            </w:r>
            <w:r>
              <w:rPr>
                <w:rFonts w:hint="eastAsia" w:ascii="宋体" w:hAnsi="宋体" w:cs="宋体"/>
                <w:bCs/>
                <w:szCs w:val="21"/>
              </w:rPr>
              <w:t>元整，超过认购/申购起点部分，应为〖1〗元的整数倍。</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s="宋体"/>
                <w:color w:val="000000"/>
                <w:szCs w:val="21"/>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I</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bCs/>
                <w:color w:val="auto"/>
                <w:szCs w:val="21"/>
                <w:highlight w:val="none"/>
              </w:rPr>
              <w:t>具体以销售机构规定为准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认购份额</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产品成立</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rPr>
              <w:t>〖</w:t>
            </w:r>
            <w:r>
              <w:rPr>
                <w:rFonts w:hint="eastAsia" w:ascii="宋体" w:hAnsi="宋体" w:cs="宋体"/>
                <w:szCs w:val="21"/>
                <w:lang w:val="en-US" w:eastAsia="zh-CN"/>
              </w:rPr>
              <w:t>2000</w:t>
            </w:r>
            <w:r>
              <w:rPr>
                <w:rFonts w:hint="eastAsia" w:ascii="宋体" w:hAnsi="宋体" w:cs="宋体"/>
                <w:szCs w:val="21"/>
              </w:rPr>
              <w:t>〗</w:t>
            </w:r>
            <w:r>
              <w:rPr>
                <w:rFonts w:hint="eastAsia" w:ascii="宋体" w:hAnsi="宋体" w:cs="宋体"/>
                <w:color w:val="000000"/>
                <w:szCs w:val="21"/>
              </w:rPr>
              <w:t>万元，则管理人可宣布本理财计划不成立并在原定理财计划成立日后</w:t>
            </w:r>
            <w:r>
              <w:rPr>
                <w:rFonts w:hint="eastAsia" w:ascii="宋体" w:hAnsi="宋体" w:cs="宋体"/>
                <w:szCs w:val="21"/>
              </w:rPr>
              <w:t>〖</w:t>
            </w: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封闭期</w:t>
            </w:r>
          </w:p>
        </w:tc>
        <w:tc>
          <w:tcPr>
            <w:tcW w:w="7281" w:type="dxa"/>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16</w:t>
            </w:r>
            <w:r>
              <w:rPr>
                <w:rFonts w:hint="eastAsia" w:ascii="宋体" w:hAnsi="宋体" w:cs="宋体"/>
                <w:color w:val="000000"/>
                <w:szCs w:val="21"/>
              </w:rPr>
              <w:t>〗日-〖</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9</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开放期</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本理财计划开放期为</w:t>
            </w:r>
            <w:r>
              <w:rPr>
                <w:rFonts w:hint="eastAsia" w:ascii="宋体" w:hAnsi="宋体" w:cs="宋体"/>
                <w:szCs w:val="21"/>
              </w:rPr>
              <w:t>〖封闭期后的每个交易日〗</w:t>
            </w:r>
            <w:r>
              <w:rPr>
                <w:rFonts w:hint="eastAsia" w:ascii="宋体" w:hAnsi="宋体" w:cs="宋体"/>
                <w:color w:val="000000"/>
                <w:kern w:val="0"/>
              </w:rPr>
              <w:t>。如遇特殊情况具体</w:t>
            </w:r>
            <w:r>
              <w:rPr>
                <w:rFonts w:hint="eastAsia" w:ascii="宋体" w:hAnsi="宋体" w:cs="宋体"/>
                <w:szCs w:val="21"/>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交易时间</w:t>
            </w:r>
          </w:p>
        </w:tc>
        <w:tc>
          <w:tcPr>
            <w:tcW w:w="7281" w:type="dxa"/>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1.本理财计划在每个开放期的工作时间均可进行申购</w:t>
            </w:r>
            <w:r>
              <w:rPr>
                <w:rFonts w:hint="eastAsia" w:ascii="宋体" w:hAnsi="宋体" w:cs="宋体"/>
                <w:color w:val="000000"/>
                <w:szCs w:val="21"/>
                <w:lang w:val="en-US" w:eastAsia="zh-CN"/>
              </w:rPr>
              <w:t>、赎回和撤单申请</w:t>
            </w:r>
            <w:r>
              <w:rPr>
                <w:rFonts w:hint="eastAsia" w:ascii="宋体" w:hAnsi="宋体" w:cs="宋体"/>
                <w:color w:val="000000"/>
                <w:szCs w:val="21"/>
              </w:rPr>
              <w:t>，申购</w:t>
            </w:r>
            <w:r>
              <w:rPr>
                <w:rFonts w:hint="eastAsia" w:ascii="宋体" w:hAnsi="宋体" w:cs="宋体"/>
                <w:color w:val="000000"/>
                <w:szCs w:val="21"/>
                <w:lang w:val="en-US" w:eastAsia="zh-CN"/>
              </w:rPr>
              <w:t>和赎回</w:t>
            </w:r>
            <w:r>
              <w:rPr>
                <w:rFonts w:hint="eastAsia" w:ascii="宋体" w:hAnsi="宋体" w:cs="宋体"/>
                <w:color w:val="000000"/>
                <w:szCs w:val="21"/>
              </w:rPr>
              <w:t>申请将在确认日，即开放期后的第</w:t>
            </w:r>
            <w:r>
              <w:rPr>
                <w:rFonts w:hint="eastAsia" w:ascii="宋体" w:hAnsi="宋体" w:cs="宋体"/>
                <w:szCs w:val="21"/>
              </w:rPr>
              <w:t>〖1〗个交易</w:t>
            </w:r>
            <w:r>
              <w:rPr>
                <w:rFonts w:hint="eastAsia" w:ascii="宋体" w:hAnsi="宋体" w:cs="宋体"/>
                <w:bCs/>
                <w:szCs w:val="21"/>
              </w:rPr>
              <w:t>日进行确认。</w:t>
            </w:r>
          </w:p>
          <w:p>
            <w:pPr>
              <w:widowControl/>
              <w:spacing w:line="360" w:lineRule="auto"/>
              <w:contextualSpacing/>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.工作时间为每个交易日上午〖9:00〗至下午〖</w:t>
            </w:r>
            <w:r>
              <w:rPr>
                <w:rFonts w:hint="eastAsia" w:ascii="宋体" w:hAnsi="宋体" w:cs="宋体"/>
                <w:color w:val="000000"/>
                <w:szCs w:val="21"/>
                <w:lang w:eastAsia="zh-CN"/>
              </w:rPr>
              <w:t>1</w:t>
            </w:r>
            <w:r>
              <w:rPr>
                <w:rFonts w:hint="eastAsia" w:ascii="宋体" w:hAnsi="宋体" w:cs="宋体"/>
                <w:color w:val="000000"/>
                <w:szCs w:val="21"/>
                <w:lang w:val="en-US" w:eastAsia="zh-CN"/>
              </w:rPr>
              <w:t>7</w:t>
            </w:r>
            <w:r>
              <w:rPr>
                <w:rFonts w:hint="eastAsia" w:ascii="宋体" w:hAnsi="宋体" w:cs="宋体"/>
                <w:color w:val="000000"/>
                <w:szCs w:val="21"/>
                <w:lang w:eastAsia="zh-CN"/>
              </w:rPr>
              <w:t>:</w:t>
            </w:r>
            <w:r>
              <w:rPr>
                <w:rFonts w:hint="eastAsia" w:ascii="宋体" w:hAnsi="宋体" w:cs="宋体"/>
                <w:color w:val="000000"/>
                <w:szCs w:val="21"/>
                <w:lang w:val="en-US" w:eastAsia="zh-CN"/>
              </w:rPr>
              <w:t>00</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具体以销售机构销售要素为准</w:t>
            </w:r>
            <w:r>
              <w:rPr>
                <w:rFonts w:hint="eastAsia" w:ascii="宋体" w:hAnsi="宋体" w:cs="宋体"/>
                <w:color w:val="000000"/>
                <w:szCs w:val="21"/>
                <w:lang w:eastAsia="zh-CN"/>
              </w:rPr>
              <w:t>）</w:t>
            </w:r>
            <w:r>
              <w:rPr>
                <w:rFonts w:hint="eastAsia" w:ascii="宋体" w:hAnsi="宋体" w:cs="宋体"/>
                <w:color w:val="000000"/>
                <w:szCs w:val="21"/>
              </w:rPr>
              <w:t>。</w:t>
            </w:r>
          </w:p>
          <w:p>
            <w:pPr>
              <w:widowControl/>
              <w:spacing w:line="360" w:lineRule="auto"/>
              <w:contextualSpacing/>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.在开放期</w:t>
            </w:r>
            <w:r>
              <w:rPr>
                <w:rFonts w:hint="eastAsia" w:ascii="宋体" w:hAnsi="宋体" w:cs="宋体"/>
                <w:color w:val="000000"/>
                <w:szCs w:val="21"/>
                <w:lang w:val="en-US" w:eastAsia="zh-CN"/>
              </w:rPr>
              <w:t>的</w:t>
            </w:r>
            <w:r>
              <w:rPr>
                <w:rFonts w:hint="eastAsia" w:ascii="宋体" w:hAnsi="宋体" w:cs="宋体"/>
                <w:color w:val="000000"/>
                <w:szCs w:val="21"/>
              </w:rPr>
              <w:t>工作时间内提交的申购/赎回申请，将作为当日申请处理；在开放期</w:t>
            </w:r>
            <w:r>
              <w:rPr>
                <w:rFonts w:hint="eastAsia" w:ascii="宋体" w:hAnsi="宋体" w:cs="宋体"/>
                <w:color w:val="000000"/>
                <w:szCs w:val="21"/>
                <w:lang w:val="en-US" w:eastAsia="zh-CN"/>
              </w:rPr>
              <w:t>的</w:t>
            </w:r>
            <w:r>
              <w:rPr>
                <w:rFonts w:hint="eastAsia" w:ascii="宋体" w:hAnsi="宋体" w:cs="宋体"/>
                <w:color w:val="000000"/>
                <w:szCs w:val="21"/>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巨额赎回</w:t>
            </w:r>
          </w:p>
        </w:tc>
        <w:tc>
          <w:tcPr>
            <w:tcW w:w="7281" w:type="dxa"/>
            <w:vAlign w:val="center"/>
          </w:tcPr>
          <w:p>
            <w:pPr>
              <w:widowControl/>
              <w:spacing w:line="360" w:lineRule="auto"/>
              <w:contextualSpacing/>
              <w:rPr>
                <w:rFonts w:hint="eastAsia" w:ascii="宋体" w:hAnsi="宋体" w:cs="宋体"/>
                <w:szCs w:val="21"/>
              </w:rPr>
            </w:pPr>
            <w:r>
              <w:rPr>
                <w:rFonts w:hint="eastAsia" w:ascii="宋体" w:hAnsi="宋体" w:cs="宋体"/>
                <w:color w:val="000000"/>
                <w:szCs w:val="21"/>
              </w:rPr>
              <w:t>理财计划存续期内，若理财计划开放期净赎回申请份额超过上一日日终理财计划总份额</w:t>
            </w:r>
            <w:r>
              <w:rPr>
                <w:rFonts w:hint="eastAsia" w:ascii="宋体" w:hAnsi="宋体" w:cs="宋体"/>
                <w:szCs w:val="21"/>
              </w:rPr>
              <w:t>〖</w:t>
            </w:r>
            <w:r>
              <w:rPr>
                <w:rFonts w:hint="eastAsia" w:ascii="宋体" w:hAnsi="宋体" w:cs="宋体"/>
                <w:color w:val="000000"/>
                <w:szCs w:val="21"/>
              </w:rPr>
              <w:t>10%</w:t>
            </w:r>
            <w:r>
              <w:rPr>
                <w:rFonts w:hint="eastAsia" w:ascii="宋体" w:hAnsi="宋体" w:cs="宋体"/>
                <w:szCs w:val="21"/>
              </w:rPr>
              <w:t>〗</w:t>
            </w:r>
            <w:r>
              <w:rPr>
                <w:rFonts w:hint="eastAsia" w:ascii="宋体" w:hAnsi="宋体" w:cs="宋体"/>
                <w:color w:val="000000"/>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单户限额</w:t>
            </w:r>
          </w:p>
        </w:tc>
        <w:tc>
          <w:tcPr>
            <w:tcW w:w="7281" w:type="dxa"/>
            <w:vAlign w:val="center"/>
          </w:tcPr>
          <w:p>
            <w:pPr>
              <w:widowControl/>
              <w:numPr>
                <w:ilvl w:val="0"/>
                <w:numId w:val="18"/>
              </w:numPr>
              <w:spacing w:line="360" w:lineRule="auto"/>
              <w:contextualSpacing/>
              <w:rPr>
                <w:rFonts w:hint="eastAsia" w:ascii="宋体" w:hAnsi="宋体" w:cs="宋体"/>
                <w:szCs w:val="21"/>
              </w:rPr>
            </w:pPr>
            <w:r>
              <w:rPr>
                <w:rFonts w:hint="eastAsia" w:ascii="宋体" w:hAnsi="宋体" w:cs="宋体"/>
                <w:color w:val="000000"/>
                <w:szCs w:val="21"/>
                <w:highlight w:val="none"/>
                <w:lang w:val="en-US" w:eastAsia="zh-CN"/>
              </w:rPr>
              <w:t>B、D、E、G、H、I份额：</w:t>
            </w:r>
            <w:r>
              <w:rPr>
                <w:rFonts w:hint="eastAsia" w:ascii="宋体" w:hAnsi="宋体" w:cs="宋体"/>
                <w:szCs w:val="21"/>
              </w:rPr>
              <w:t>单户持有上限〖</w:t>
            </w:r>
            <w:r>
              <w:rPr>
                <w:rFonts w:hint="eastAsia" w:ascii="宋体" w:hAnsi="宋体" w:cs="宋体"/>
                <w:szCs w:val="21"/>
                <w:lang w:val="en-US" w:eastAsia="zh-CN"/>
              </w:rPr>
              <w:t>1亿</w:t>
            </w:r>
            <w:r>
              <w:rPr>
                <w:rFonts w:hint="eastAsia" w:ascii="宋体" w:hAnsi="宋体" w:cs="宋体"/>
                <w:szCs w:val="21"/>
              </w:rPr>
              <w:t>〗元</w:t>
            </w:r>
          </w:p>
          <w:p>
            <w:pPr>
              <w:widowControl/>
              <w:numPr>
                <w:ilvl w:val="0"/>
                <w:numId w:val="0"/>
              </w:numPr>
              <w:spacing w:line="360" w:lineRule="auto"/>
              <w:contextualSpacing/>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C份额：</w:t>
            </w:r>
            <w:r>
              <w:rPr>
                <w:rFonts w:hint="eastAsia" w:ascii="宋体" w:hAnsi="宋体" w:cs="宋体"/>
                <w:szCs w:val="21"/>
              </w:rPr>
              <w:t>单户持有上限〖</w:t>
            </w:r>
            <w:r>
              <w:rPr>
                <w:rFonts w:hint="eastAsia" w:ascii="宋体" w:hAnsi="宋体" w:cs="宋体"/>
                <w:szCs w:val="21"/>
                <w:lang w:val="en-US" w:eastAsia="zh-CN"/>
              </w:rPr>
              <w:t>2亿</w:t>
            </w:r>
            <w:r>
              <w:rPr>
                <w:rFonts w:hint="eastAsia" w:ascii="宋体" w:hAnsi="宋体" w:cs="宋体"/>
                <w:szCs w:val="21"/>
              </w:rPr>
              <w:t>〗元</w:t>
            </w:r>
          </w:p>
          <w:p>
            <w:pPr>
              <w:widowControl/>
              <w:numPr>
                <w:ilvl w:val="0"/>
                <w:numId w:val="0"/>
              </w:numPr>
              <w:spacing w:line="360" w:lineRule="auto"/>
              <w:contextualSpacing/>
              <w:rPr>
                <w:rFonts w:hint="eastAsia" w:ascii="宋体" w:hAnsi="宋体" w:cs="宋体"/>
                <w:szCs w:val="21"/>
              </w:rPr>
            </w:pPr>
            <w:r>
              <w:rPr>
                <w:rFonts w:hint="eastAsia" w:ascii="宋体" w:hAnsi="宋体" w:cs="宋体"/>
                <w:color w:val="000000"/>
                <w:szCs w:val="21"/>
                <w:highlight w:val="none"/>
                <w:lang w:val="en-US" w:eastAsia="zh-CN"/>
              </w:rPr>
              <w:t>F份额：</w:t>
            </w:r>
            <w:r>
              <w:rPr>
                <w:rFonts w:hint="eastAsia" w:ascii="宋体" w:hAnsi="宋体" w:cs="宋体"/>
                <w:szCs w:val="21"/>
              </w:rPr>
              <w:t>单户持有上限〖</w:t>
            </w:r>
            <w:r>
              <w:rPr>
                <w:rFonts w:hint="eastAsia" w:ascii="宋体" w:hAnsi="宋体" w:cs="宋体"/>
                <w:szCs w:val="21"/>
                <w:lang w:val="en-US" w:eastAsia="zh-CN"/>
              </w:rPr>
              <w:t>5亿</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申购份额</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bCs/>
                <w:szCs w:val="21"/>
              </w:rPr>
              <w:t>申购份额=申购金额/确认日前一日的单位净值</w:t>
            </w:r>
            <w:r>
              <w:rPr>
                <w:rFonts w:hint="eastAsia" w:ascii="宋体" w:hAnsi="宋体" w:cs="宋体"/>
                <w:bCs/>
                <w:szCs w:val="21"/>
                <w:lang w:eastAsia="zh-CN"/>
              </w:rPr>
              <w:t>。</w:t>
            </w:r>
            <w:r>
              <w:rPr>
                <w:rFonts w:hint="eastAsia" w:ascii="宋体" w:hAnsi="宋体" w:cs="宋体"/>
                <w:bCs/>
                <w:szCs w:val="21"/>
              </w:rPr>
              <w:t>申购</w:t>
            </w:r>
            <w:r>
              <w:rPr>
                <w:rFonts w:hint="eastAsia" w:ascii="宋体" w:hAnsi="宋体" w:cs="宋体"/>
                <w:color w:val="000000"/>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赎回金额</w:t>
            </w:r>
          </w:p>
        </w:tc>
        <w:tc>
          <w:tcPr>
            <w:tcW w:w="7281" w:type="dxa"/>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赎回金额=赎</w:t>
            </w:r>
            <w:r>
              <w:rPr>
                <w:rFonts w:hint="eastAsia" w:ascii="宋体" w:hAnsi="宋体" w:cs="宋体"/>
                <w:bCs/>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单位净值</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单位净值=理财计划估值日理财计划总净值/理财计划总份额，单位净值保留小数点后</w:t>
            </w:r>
            <w:r>
              <w:rPr>
                <w:rFonts w:hint="eastAsia" w:ascii="宋体" w:hAnsi="宋体" w:cs="宋体"/>
                <w:color w:val="000000"/>
                <w:szCs w:val="21"/>
                <w:lang w:val="en-US" w:eastAsia="zh-CN"/>
              </w:rPr>
              <w:t>六</w:t>
            </w:r>
            <w:r>
              <w:rPr>
                <w:rFonts w:hint="eastAsia" w:ascii="宋体" w:hAnsi="宋体" w:cs="宋体"/>
                <w:color w:val="000000"/>
                <w:szCs w:val="21"/>
              </w:rPr>
              <w:t>位</w:t>
            </w:r>
            <w:r>
              <w:rPr>
                <w:rFonts w:hint="eastAsia" w:ascii="宋体" w:hAnsi="宋体" w:cs="宋体"/>
                <w:color w:val="000000"/>
                <w:szCs w:val="21"/>
                <w:lang w:eastAsia="zh-CN"/>
              </w:rPr>
              <w:t>，</w:t>
            </w:r>
            <w:r>
              <w:rPr>
                <w:rFonts w:hint="eastAsia" w:ascii="宋体" w:hAnsi="宋体" w:cs="宋体"/>
                <w:color w:val="000000"/>
                <w:szCs w:val="21"/>
                <w:lang w:val="en-US" w:eastAsia="zh-CN"/>
              </w:rPr>
              <w:t>小数点六位以后去尾</w:t>
            </w:r>
            <w:r>
              <w:rPr>
                <w:rFonts w:hint="eastAsia" w:ascii="宋体" w:hAnsi="宋体" w:cs="宋体"/>
                <w:color w:val="000000"/>
                <w:szCs w:val="21"/>
              </w:rPr>
              <w:t>。</w:t>
            </w:r>
          </w:p>
          <w:p>
            <w:pPr>
              <w:widowControl/>
              <w:spacing w:line="360" w:lineRule="auto"/>
              <w:contextualSpacing/>
              <w:rPr>
                <w:rFonts w:ascii="宋体" w:hAnsi="宋体" w:cs="宋体"/>
                <w:b/>
                <w:color w:val="000000"/>
                <w:szCs w:val="21"/>
              </w:rPr>
            </w:pPr>
            <w:r>
              <w:rPr>
                <w:rFonts w:hint="eastAsia" w:ascii="宋体" w:hAnsi="宋体" w:cs="宋体"/>
                <w:color w:val="000000"/>
                <w:szCs w:val="21"/>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资金与收益支付方式</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1.赎回资金确认后，最快</w:t>
            </w:r>
            <w:r>
              <w:rPr>
                <w:rFonts w:hint="eastAsia" w:ascii="宋体" w:hAnsi="宋体" w:cs="宋体"/>
                <w:color w:val="000000"/>
                <w:szCs w:val="21"/>
                <w:lang w:val="en-US" w:eastAsia="zh-CN"/>
              </w:rPr>
              <w:t>于确认日当日</w:t>
            </w:r>
            <w:r>
              <w:rPr>
                <w:rFonts w:hint="eastAsia" w:ascii="宋体" w:hAnsi="宋体" w:cs="宋体"/>
                <w:color w:val="000000"/>
                <w:szCs w:val="21"/>
              </w:rPr>
              <w:t>，最晚</w:t>
            </w:r>
            <w:r>
              <w:rPr>
                <w:rFonts w:hint="eastAsia" w:ascii="宋体" w:hAnsi="宋体" w:cs="宋体"/>
                <w:color w:val="000000"/>
                <w:szCs w:val="21"/>
                <w:lang w:val="en-US" w:eastAsia="zh-CN"/>
              </w:rPr>
              <w:t>于确认日后</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color w:val="000000"/>
                <w:szCs w:val="21"/>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ascii="宋体" w:hAnsi="宋体" w:cs="宋体"/>
                <w:color w:val="000000"/>
                <w:szCs w:val="21"/>
              </w:rPr>
            </w:pPr>
            <w:r>
              <w:rPr>
                <w:rFonts w:hint="eastAsia" w:ascii="宋体" w:hAnsi="宋体" w:cs="宋体"/>
                <w:color w:val="000000"/>
                <w:szCs w:val="21"/>
              </w:rPr>
              <w:t>2.理财计划到期后，最快</w:t>
            </w:r>
            <w:r>
              <w:rPr>
                <w:rFonts w:hint="eastAsia" w:ascii="宋体" w:hAnsi="宋体" w:cs="宋体"/>
                <w:color w:val="000000"/>
                <w:szCs w:val="21"/>
                <w:lang w:val="en-US" w:eastAsia="zh-CN"/>
              </w:rPr>
              <w:t>于到期日当日</w:t>
            </w:r>
            <w:r>
              <w:rPr>
                <w:rFonts w:hint="eastAsia" w:ascii="宋体" w:hAnsi="宋体" w:cs="宋体"/>
                <w:color w:val="000000"/>
                <w:szCs w:val="21"/>
              </w:rPr>
              <w:t>，最晚</w:t>
            </w:r>
            <w:r>
              <w:rPr>
                <w:rFonts w:hint="eastAsia" w:ascii="宋体" w:hAnsi="宋体" w:cs="宋体"/>
                <w:color w:val="000000"/>
                <w:szCs w:val="21"/>
                <w:lang w:val="en-US" w:eastAsia="zh-CN"/>
              </w:rPr>
              <w:t>于到期日后</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color w:val="000000"/>
                <w:szCs w:val="21"/>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收益分配</w:t>
            </w:r>
          </w:p>
        </w:tc>
        <w:tc>
          <w:tcPr>
            <w:tcW w:w="7281" w:type="dxa"/>
            <w:vAlign w:val="center"/>
          </w:tcPr>
          <w:p>
            <w:pPr>
              <w:widowControl/>
              <w:spacing w:line="360" w:lineRule="auto"/>
              <w:contextualSpacing/>
              <w:rPr>
                <w:rFonts w:ascii="宋体" w:hAnsi="宋体" w:cs="宋体"/>
                <w:b/>
                <w:szCs w:val="21"/>
              </w:rPr>
            </w:pPr>
            <w:r>
              <w:rPr>
                <w:rFonts w:hint="eastAsia" w:ascii="宋体" w:hAnsi="宋体" w:cs="宋体"/>
                <w:color w:val="000000"/>
                <w:szCs w:val="21"/>
              </w:rPr>
              <w:t>在满足收益分配基准日理财计划份额净值大于1元的情况下，管理人将</w:t>
            </w:r>
            <w:r>
              <w:rPr>
                <w:rFonts w:hint="eastAsia" w:ascii="宋体" w:hAnsi="宋体" w:cs="宋体"/>
                <w:szCs w:val="21"/>
              </w:rPr>
              <w:t>〖不</w:t>
            </w:r>
            <w:r>
              <w:rPr>
                <w:rFonts w:hint="eastAsia" w:ascii="宋体" w:hAnsi="宋体" w:cs="宋体"/>
                <w:color w:val="000000"/>
                <w:szCs w:val="21"/>
              </w:rPr>
              <w:t>定期</w:t>
            </w:r>
            <w:r>
              <w:rPr>
                <w:rFonts w:hint="eastAsia" w:ascii="宋体" w:hAnsi="宋体" w:cs="宋体"/>
                <w:szCs w:val="21"/>
              </w:rPr>
              <w:t>〗</w:t>
            </w:r>
            <w:r>
              <w:rPr>
                <w:rFonts w:hint="eastAsia" w:ascii="宋体" w:hAnsi="宋体" w:cs="宋体"/>
                <w:color w:val="000000"/>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业绩比较基准</w:t>
            </w:r>
          </w:p>
        </w:tc>
        <w:tc>
          <w:tcPr>
            <w:tcW w:w="7281" w:type="dxa"/>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rPr>
              <w:t>〗（年化）。</w:t>
            </w:r>
          </w:p>
          <w:p>
            <w:pPr>
              <w:widowControl/>
              <w:spacing w:line="360" w:lineRule="auto"/>
              <w:jc w:val="left"/>
              <w:rPr>
                <w:rFonts w:hint="eastAsia" w:ascii="宋体" w:hAnsi="宋体" w:eastAsia="宋体" w:cs="宋体"/>
                <w:szCs w:val="21"/>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w:t>
            </w:r>
            <w:r>
              <w:rPr>
                <w:rFonts w:hint="eastAsia" w:ascii="宋体" w:hAnsi="宋体" w:eastAsia="宋体" w:cs="宋体"/>
                <w:szCs w:val="21"/>
              </w:rPr>
              <w:t>〗（年化）。</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7天通知存款利率+0.25%</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7天通知存款利率+0.05%</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7天通知存款利率+0.20%</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F份额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G份额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hint="eastAsia" w:ascii="宋体" w:hAnsi="宋体" w:eastAsia="宋体" w:cs="宋体"/>
                <w:szCs w:val="21"/>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I份额</w:t>
            </w:r>
            <w:r>
              <w:rPr>
                <w:rFonts w:hint="eastAsia" w:ascii="宋体" w:hAnsi="宋体" w:cs="宋体"/>
                <w:sz w:val="21"/>
                <w:szCs w:val="21"/>
                <w:highlight w:val="none"/>
              </w:rPr>
              <w:t>〗业绩比较基准为</w:t>
            </w:r>
            <w:r>
              <w:rPr>
                <w:rFonts w:hint="eastAsia" w:ascii="宋体" w:hAnsi="宋体" w:eastAsia="宋体" w:cs="宋体"/>
                <w:szCs w:val="21"/>
              </w:rPr>
              <w:t>〖</w:t>
            </w:r>
            <w:r>
              <w:rPr>
                <w:rFonts w:hint="eastAsia" w:ascii="宋体" w:hAnsi="宋体" w:eastAsia="宋体" w:cs="宋体"/>
                <w:szCs w:val="21"/>
                <w:lang w:val="en-US" w:eastAsia="zh-CN"/>
              </w:rPr>
              <w:t>7天通知存款利率+0.30%</w:t>
            </w:r>
            <w:r>
              <w:rPr>
                <w:rFonts w:hint="eastAsia" w:ascii="宋体" w:hAnsi="宋体" w:eastAsia="宋体" w:cs="宋体"/>
                <w:szCs w:val="21"/>
              </w:rPr>
              <w:t>〗（年化）</w:t>
            </w:r>
            <w:r>
              <w:rPr>
                <w:rFonts w:hint="eastAsia" w:ascii="宋体" w:hAnsi="宋体" w:eastAsia="宋体" w:cs="宋体"/>
                <w:szCs w:val="21"/>
                <w:lang w:eastAsia="zh-CN"/>
              </w:rPr>
              <w:t>。</w:t>
            </w:r>
          </w:p>
          <w:p>
            <w:pPr>
              <w:widowControl/>
              <w:spacing w:line="360" w:lineRule="auto"/>
              <w:jc w:val="left"/>
              <w:rPr>
                <w:rFonts w:ascii="宋体" w:hAnsi="宋体" w:cs="宋体"/>
                <w:b/>
                <w:bCs/>
                <w:szCs w:val="21"/>
              </w:rPr>
            </w:pPr>
            <w:r>
              <w:rPr>
                <w:rFonts w:hint="eastAsia" w:ascii="宋体" w:hAnsi="宋体" w:cs="宋体"/>
                <w:b/>
                <w:bCs/>
                <w:szCs w:val="21"/>
              </w:rPr>
              <w:t>业绩基准测算依据：产品重点投资于同业存单</w:t>
            </w:r>
            <w:r>
              <w:rPr>
                <w:rFonts w:hint="eastAsia" w:ascii="宋体" w:hAnsi="宋体" w:cs="宋体"/>
                <w:b/>
                <w:bCs/>
                <w:szCs w:val="21"/>
                <w:lang w:eastAsia="zh-CN"/>
              </w:rPr>
              <w:t>、</w:t>
            </w:r>
            <w:r>
              <w:rPr>
                <w:rFonts w:hint="eastAsia" w:ascii="宋体" w:hAnsi="宋体" w:cs="宋体"/>
                <w:b/>
                <w:bCs/>
                <w:szCs w:val="21"/>
              </w:rPr>
              <w:t>信用债等资产，根据当前市场环境，拟投资产收益率在</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rPr>
              <w:t>左右，同时根据流动性管理需要和监管要求配置不低于5%的高流动性资产。</w:t>
            </w:r>
          </w:p>
          <w:p>
            <w:pPr>
              <w:widowControl/>
              <w:spacing w:line="360" w:lineRule="auto"/>
              <w:jc w:val="left"/>
              <w:rPr>
                <w:rFonts w:ascii="宋体" w:hAnsi="宋体" w:cs="宋体"/>
                <w:szCs w:val="21"/>
              </w:rPr>
            </w:pPr>
            <w:r>
              <w:rPr>
                <w:rFonts w:hint="eastAsia" w:ascii="宋体" w:hAnsi="宋体" w:cs="宋体"/>
                <w:szCs w:val="21"/>
              </w:rPr>
              <w:t>管理人有权根据市场情况及</w:t>
            </w:r>
            <w:r>
              <w:rPr>
                <w:rFonts w:hint="eastAsia" w:ascii="宋体" w:hAnsi="宋体" w:cs="宋体"/>
                <w:szCs w:val="21"/>
                <w:lang w:val="en-US" w:eastAsia="zh-CN"/>
              </w:rPr>
              <w:t>理财计划</w:t>
            </w:r>
            <w:r>
              <w:rPr>
                <w:rFonts w:hint="eastAsia" w:ascii="宋体" w:hAnsi="宋体" w:cs="宋体"/>
                <w:szCs w:val="21"/>
              </w:rPr>
              <w:t>运作情况调整业绩基准，并至少于新业绩基准启用前</w:t>
            </w:r>
            <w:r>
              <w:rPr>
                <w:rFonts w:hint="eastAsia" w:ascii="宋体" w:hAnsi="宋体" w:cs="宋体"/>
                <w:kern w:val="0"/>
              </w:rPr>
              <w:t>〖2〗</w:t>
            </w:r>
            <w:r>
              <w:rPr>
                <w:rFonts w:hint="eastAsia" w:ascii="宋体" w:hAnsi="宋体" w:cs="宋体"/>
                <w:szCs w:val="21"/>
              </w:rPr>
              <w:t>个工作日公告。</w:t>
            </w:r>
          </w:p>
          <w:p>
            <w:pPr>
              <w:widowControl/>
              <w:spacing w:line="360" w:lineRule="auto"/>
              <w:jc w:val="left"/>
              <w:rPr>
                <w:rFonts w:ascii="宋体" w:hAnsi="宋体" w:cs="宋体"/>
                <w:b/>
                <w:szCs w:val="21"/>
              </w:rPr>
            </w:pPr>
            <w:r>
              <w:rPr>
                <w:rFonts w:hint="eastAsia" w:ascii="宋体" w:hAnsi="宋体" w:cs="宋体"/>
                <w:b/>
                <w:szCs w:val="21"/>
              </w:rPr>
              <w:t>本理财计划为净值型理财产品，其业绩表现将随市场波动具有不确定性。本公司提醒投资者关注，业绩比较基准并不代表</w:t>
            </w:r>
            <w:r>
              <w:rPr>
                <w:rFonts w:hint="eastAsia" w:ascii="宋体" w:hAnsi="宋体" w:cs="宋体"/>
                <w:b/>
                <w:sz w:val="21"/>
                <w:szCs w:val="21"/>
              </w:rPr>
              <w:t>理财计划的未来表现和实际收益，也不构成对理财计划收益的承诺</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产品费用</w:t>
            </w:r>
          </w:p>
        </w:tc>
        <w:tc>
          <w:tcPr>
            <w:tcW w:w="7281" w:type="dxa"/>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0.20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I</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Cs w:val="21"/>
              </w:rPr>
              <w:t>。</w:t>
            </w:r>
          </w:p>
          <w:p>
            <w:pPr>
              <w:widowControl/>
              <w:spacing w:line="360" w:lineRule="auto"/>
              <w:contextualSpacing/>
              <w:rPr>
                <w:rFonts w:ascii="宋体" w:hAnsi="宋体" w:cs="宋体"/>
                <w:color w:val="000000"/>
                <w:szCs w:val="21"/>
              </w:rPr>
            </w:pPr>
            <w:r>
              <w:rPr>
                <w:rFonts w:hint="eastAsia" w:ascii="宋体" w:hAnsi="宋体" w:cs="宋体"/>
                <w:color w:val="000000"/>
                <w:szCs w:val="21"/>
              </w:rPr>
              <w:t>2.托管费：收取年化</w:t>
            </w:r>
            <w:r>
              <w:rPr>
                <w:rFonts w:hint="eastAsia" w:ascii="宋体" w:hAnsi="宋体" w:cs="宋体"/>
                <w:szCs w:val="21"/>
              </w:rPr>
              <w:t>〖</w:t>
            </w:r>
            <w:r>
              <w:rPr>
                <w:rFonts w:hint="eastAsia" w:ascii="宋体" w:hAnsi="宋体" w:cs="宋体"/>
                <w:szCs w:val="21"/>
                <w:lang w:val="en-US" w:eastAsia="zh-CN"/>
              </w:rPr>
              <w:t>0.025</w:t>
            </w:r>
            <w:r>
              <w:rPr>
                <w:rFonts w:hint="eastAsia" w:ascii="宋体" w:hAnsi="宋体" w:cs="宋体"/>
                <w:szCs w:val="21"/>
              </w:rPr>
              <w:t>%〗</w:t>
            </w:r>
            <w:r>
              <w:rPr>
                <w:rFonts w:hint="eastAsia" w:ascii="宋体" w:hAnsi="宋体" w:cs="宋体"/>
                <w:color w:val="000000"/>
                <w:szCs w:val="21"/>
              </w:rPr>
              <w:t>的托管费。</w:t>
            </w:r>
          </w:p>
          <w:p>
            <w:pPr>
              <w:widowControl/>
              <w:spacing w:line="360" w:lineRule="auto"/>
              <w:contextualSpacing/>
              <w:rPr>
                <w:rFonts w:ascii="宋体" w:hAnsi="宋体" w:cs="宋体"/>
                <w:color w:val="000000"/>
                <w:szCs w:val="21"/>
              </w:rPr>
            </w:pPr>
            <w:r>
              <w:rPr>
                <w:rFonts w:hint="eastAsia" w:ascii="宋体" w:hAnsi="宋体" w:cs="宋体"/>
                <w:color w:val="000000"/>
                <w:szCs w:val="21"/>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0.40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0.15</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F份额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0.40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G份额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0.50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H份额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I份额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Cs w:val="21"/>
              </w:rPr>
              <w:t>。</w:t>
            </w:r>
          </w:p>
          <w:p>
            <w:pPr>
              <w:widowControl/>
              <w:spacing w:line="360" w:lineRule="auto"/>
              <w:contextualSpacing/>
              <w:rPr>
                <w:rFonts w:ascii="宋体" w:hAnsi="宋体" w:cs="宋体"/>
                <w:bCs/>
                <w:color w:val="FF0000"/>
                <w:szCs w:val="21"/>
              </w:rPr>
            </w:pPr>
            <w:r>
              <w:rPr>
                <w:rFonts w:hint="eastAsia" w:ascii="宋体" w:hAnsi="宋体" w:cs="宋体"/>
                <w:color w:val="000000"/>
                <w:szCs w:val="21"/>
              </w:rPr>
              <w:t>4.认购费：本理财计划免除认购费。</w:t>
            </w:r>
          </w:p>
          <w:p>
            <w:pPr>
              <w:widowControl/>
              <w:spacing w:line="360" w:lineRule="auto"/>
              <w:contextualSpacing/>
              <w:rPr>
                <w:rFonts w:ascii="宋体" w:hAnsi="宋体" w:cs="宋体"/>
                <w:bCs/>
                <w:szCs w:val="21"/>
              </w:rPr>
            </w:pPr>
            <w:r>
              <w:rPr>
                <w:rFonts w:hint="eastAsia" w:ascii="宋体" w:hAnsi="宋体" w:cs="宋体"/>
                <w:bCs/>
                <w:szCs w:val="21"/>
              </w:rPr>
              <w:t>5.申购费：</w:t>
            </w:r>
            <w:r>
              <w:rPr>
                <w:rFonts w:hint="eastAsia" w:ascii="宋体" w:hAnsi="宋体" w:cs="宋体"/>
                <w:color w:val="000000"/>
                <w:szCs w:val="21"/>
              </w:rPr>
              <w:t>本理财计划免除申购费。</w:t>
            </w:r>
          </w:p>
          <w:p>
            <w:pPr>
              <w:widowControl/>
              <w:spacing w:line="360" w:lineRule="auto"/>
              <w:contextualSpacing/>
              <w:rPr>
                <w:rFonts w:hint="eastAsia" w:ascii="宋体" w:hAnsi="宋体" w:cs="宋体"/>
                <w:bCs/>
                <w:szCs w:val="21"/>
              </w:rPr>
            </w:pPr>
            <w:r>
              <w:rPr>
                <w:rFonts w:hint="eastAsia" w:ascii="宋体" w:hAnsi="宋体" w:cs="宋体"/>
                <w:bCs/>
                <w:szCs w:val="21"/>
              </w:rPr>
              <w:t>6.赎回费：</w:t>
            </w:r>
            <w:r>
              <w:rPr>
                <w:rFonts w:hint="eastAsia" w:ascii="宋体" w:hAnsi="宋体" w:cs="宋体"/>
                <w:color w:val="000000"/>
                <w:szCs w:val="21"/>
              </w:rPr>
              <w:t>本理财计划免除赎回费。</w:t>
            </w:r>
          </w:p>
          <w:p>
            <w:pPr>
              <w:widowControl/>
              <w:spacing w:line="360" w:lineRule="auto"/>
              <w:contextualSpacing/>
              <w:rPr>
                <w:rFonts w:ascii="宋体" w:hAnsi="宋体" w:cs="宋体"/>
                <w:color w:val="000000"/>
                <w:szCs w:val="21"/>
              </w:rPr>
            </w:pPr>
            <w:r>
              <w:rPr>
                <w:rFonts w:hint="eastAsia" w:ascii="宋体" w:hAnsi="宋体" w:cs="宋体"/>
                <w:color w:val="000000"/>
                <w:szCs w:val="21"/>
              </w:rPr>
              <w:t>7.浮动管理费：本理财计划免除浮动管理费。</w:t>
            </w:r>
          </w:p>
          <w:p>
            <w:pPr>
              <w:widowControl/>
              <w:spacing w:line="360" w:lineRule="auto"/>
              <w:contextualSpacing/>
              <w:rPr>
                <w:rFonts w:ascii="宋体" w:hAnsi="宋体" w:cs="宋体"/>
                <w:color w:val="000000"/>
                <w:szCs w:val="21"/>
              </w:rPr>
            </w:pPr>
            <w:r>
              <w:rPr>
                <w:rFonts w:hint="eastAsia" w:ascii="宋体" w:hAnsi="宋体"/>
                <w:b/>
                <w:bCs/>
              </w:rPr>
              <w:t>管理人保留变更上述收取费率标准的权利，如有变更将提前</w:t>
            </w:r>
            <w:r>
              <w:rPr>
                <w:rFonts w:hint="eastAsia" w:ascii="宋体" w:hAnsi="宋体" w:cs="宋体"/>
                <w:b/>
                <w:bCs/>
                <w:kern w:val="0"/>
              </w:rPr>
              <w:t>〖</w:t>
            </w:r>
            <w:r>
              <w:rPr>
                <w:rFonts w:hint="eastAsia" w:ascii="宋体" w:hAnsi="宋体"/>
                <w:b/>
                <w:bCs/>
              </w:rPr>
              <w:t>2</w:t>
            </w:r>
            <w:r>
              <w:rPr>
                <w:rFonts w:hint="eastAsia" w:ascii="宋体" w:hAnsi="宋体" w:cs="宋体"/>
                <w:b/>
                <w:bCs/>
                <w:kern w:val="0"/>
              </w:rPr>
              <w:t>〗</w:t>
            </w:r>
            <w:r>
              <w:rPr>
                <w:rFonts w:hint="eastAsia" w:ascii="宋体" w:hAnsi="宋体"/>
                <w:b/>
                <w:bCs/>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提前终止</w:t>
            </w:r>
          </w:p>
        </w:tc>
        <w:tc>
          <w:tcPr>
            <w:tcW w:w="7281" w:type="dxa"/>
            <w:vAlign w:val="center"/>
          </w:tcPr>
          <w:p>
            <w:pPr>
              <w:widowControl/>
              <w:spacing w:line="360" w:lineRule="auto"/>
              <w:contextualSpacing/>
              <w:rPr>
                <w:rFonts w:ascii="宋体" w:hAnsi="宋体" w:cs="宋体"/>
                <w:b/>
                <w:color w:val="000000"/>
                <w:kern w:val="0"/>
                <w:szCs w:val="21"/>
              </w:rPr>
            </w:pPr>
            <w:r>
              <w:rPr>
                <w:rFonts w:hint="eastAsia" w:ascii="宋体" w:hAnsi="宋体" w:cs="宋体"/>
                <w:b/>
                <w:color w:val="000000"/>
                <w:kern w:val="0"/>
                <w:szCs w:val="21"/>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lang w:eastAsia="zh-CN"/>
              </w:rPr>
              <w:t>全部或部分</w:t>
            </w:r>
            <w:r>
              <w:rPr>
                <w:rFonts w:hint="eastAsia" w:ascii="宋体" w:hAnsi="宋体" w:cs="宋体"/>
                <w:b/>
                <w:color w:val="000000"/>
                <w:kern w:val="0"/>
                <w:szCs w:val="21"/>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税费规定</w:t>
            </w:r>
          </w:p>
        </w:tc>
        <w:tc>
          <w:tcPr>
            <w:tcW w:w="7281" w:type="dxa"/>
            <w:vAlign w:val="center"/>
          </w:tcPr>
          <w:p>
            <w:pPr>
              <w:spacing w:line="360" w:lineRule="auto"/>
              <w:outlineLvl w:val="9"/>
              <w:rPr>
                <w:rFonts w:ascii="宋体" w:hAnsi="宋体" w:cs="宋体"/>
                <w:color w:val="000000"/>
                <w:szCs w:val="21"/>
              </w:rPr>
            </w:pPr>
            <w:r>
              <w:rPr>
                <w:rFonts w:hint="eastAsia" w:ascii="宋体" w:hAnsi="宋体" w:cs="宋体"/>
                <w:color w:val="000000"/>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rPr>
            </w:pPr>
            <w:r>
              <w:rPr>
                <w:rFonts w:hint="eastAsia" w:ascii="宋体" w:hAnsi="宋体" w:cs="宋体"/>
                <w:color w:val="000000"/>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kern w:val="0"/>
                <w:szCs w:val="21"/>
              </w:rPr>
            </w:pPr>
            <w:r>
              <w:rPr>
                <w:rFonts w:hint="eastAsia" w:ascii="宋体" w:hAnsi="宋体" w:cs="宋体"/>
                <w:color w:val="000000"/>
                <w:szCs w:val="21"/>
              </w:rPr>
              <w:t>融资服务</w:t>
            </w:r>
          </w:p>
        </w:tc>
        <w:tc>
          <w:tcPr>
            <w:tcW w:w="7281" w:type="dxa"/>
            <w:vAlign w:val="bottom"/>
          </w:tcPr>
          <w:p>
            <w:pPr>
              <w:spacing w:line="360" w:lineRule="auto"/>
              <w:rPr>
                <w:rFonts w:ascii="宋体" w:hAnsi="宋体" w:cs="宋体"/>
                <w:b/>
                <w:color w:val="000000"/>
                <w:kern w:val="0"/>
                <w:szCs w:val="21"/>
              </w:rPr>
            </w:pPr>
            <w:r>
              <w:rPr>
                <w:rFonts w:hint="eastAsia" w:ascii="宋体" w:hAnsi="宋体" w:cs="宋体"/>
                <w:b/>
                <w:color w:val="000000"/>
                <w:szCs w:val="21"/>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其他规定</w:t>
            </w:r>
          </w:p>
        </w:tc>
        <w:tc>
          <w:tcPr>
            <w:tcW w:w="7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Cs w:val="21"/>
              </w:rPr>
            </w:pPr>
            <w:r>
              <w:rPr>
                <w:rFonts w:hint="eastAsia" w:ascii="宋体" w:hAnsi="宋体" w:cs="宋体"/>
                <w:color w:val="000000"/>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rPr>
              <w:t>（具体以销售机构规定为准）</w:t>
            </w:r>
          </w:p>
          <w:p>
            <w:pPr>
              <w:spacing w:line="360" w:lineRule="auto"/>
              <w:rPr>
                <w:rFonts w:ascii="宋体" w:hAnsi="宋体" w:cs="宋体"/>
                <w:color w:val="000000"/>
                <w:kern w:val="0"/>
                <w:szCs w:val="21"/>
              </w:rPr>
            </w:pPr>
            <w:r>
              <w:rPr>
                <w:rFonts w:hint="eastAsia" w:ascii="宋体" w:hAnsi="宋体" w:cs="宋体"/>
                <w:color w:val="000000"/>
                <w:kern w:val="0"/>
                <w:szCs w:val="21"/>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rPr>
      </w:pPr>
      <w:r>
        <w:rPr>
          <w:rFonts w:hint="eastAsia" w:ascii="宋体" w:hAnsi="宋体"/>
          <w:b/>
          <w:color w:val="000000"/>
          <w:sz w:val="24"/>
        </w:rPr>
        <w:t>特别说明：</w:t>
      </w:r>
      <w:r>
        <w:rPr>
          <w:rFonts w:hint="eastAsia" w:ascii="宋体" w:hAnsi="宋体" w:cs="宋体"/>
          <w:b/>
          <w:color w:val="000000"/>
          <w:sz w:val="24"/>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rPr>
      </w:pPr>
    </w:p>
    <w:p>
      <w:pPr>
        <w:numPr>
          <w:ilvl w:val="0"/>
          <w:numId w:val="19"/>
        </w:numPr>
        <w:spacing w:line="360" w:lineRule="auto"/>
        <w:outlineLvl w:val="1"/>
        <w:rPr>
          <w:rFonts w:ascii="宋体" w:hAnsi="宋体" w:cs="宋体"/>
          <w:b/>
          <w:color w:val="000000"/>
          <w:sz w:val="24"/>
        </w:rPr>
      </w:pPr>
      <w:r>
        <w:rPr>
          <w:rFonts w:hint="eastAsia" w:ascii="宋体" w:hAnsi="宋体" w:cs="宋体"/>
          <w:b/>
          <w:color w:val="000000"/>
          <w:sz w:val="24"/>
        </w:rPr>
        <w:t>投资管理</w:t>
      </w:r>
    </w:p>
    <w:p>
      <w:pPr>
        <w:numPr>
          <w:ilvl w:val="0"/>
          <w:numId w:val="20"/>
        </w:numPr>
        <w:spacing w:line="360" w:lineRule="auto"/>
        <w:jc w:val="left"/>
        <w:outlineLvl w:val="2"/>
        <w:rPr>
          <w:rFonts w:ascii="宋体" w:hAnsi="宋体" w:cs="宋体"/>
          <w:b/>
          <w:sz w:val="24"/>
        </w:rPr>
      </w:pPr>
      <w:r>
        <w:rPr>
          <w:rFonts w:hint="eastAsia" w:ascii="宋体" w:hAnsi="宋体" w:cs="宋体"/>
          <w:b/>
          <w:sz w:val="24"/>
        </w:rPr>
        <w:t>投资范围</w:t>
      </w:r>
    </w:p>
    <w:p>
      <w:pPr>
        <w:spacing w:line="360" w:lineRule="auto"/>
        <w:ind w:firstLine="480" w:firstLineChars="200"/>
        <w:jc w:val="left"/>
        <w:rPr>
          <w:rFonts w:ascii="宋体" w:hAnsi="宋体" w:cs="宋体"/>
          <w:bCs/>
          <w:sz w:val="24"/>
        </w:rPr>
      </w:pPr>
      <w:r>
        <w:rPr>
          <w:rFonts w:hint="eastAsia" w:ascii="宋体" w:hAnsi="宋体" w:cs="宋体"/>
          <w:bCs/>
          <w:sz w:val="24"/>
        </w:rPr>
        <w:t>本理财计划主要投资于符合监管要求的各类资产：</w:t>
      </w:r>
    </w:p>
    <w:p>
      <w:pPr>
        <w:numPr>
          <w:ilvl w:val="0"/>
          <w:numId w:val="21"/>
        </w:numPr>
        <w:spacing w:line="360" w:lineRule="auto"/>
        <w:jc w:val="left"/>
        <w:rPr>
          <w:rFonts w:ascii="宋体" w:hAnsi="宋体" w:cs="宋体"/>
          <w:bCs/>
          <w:sz w:val="24"/>
        </w:rPr>
      </w:pPr>
      <w:r>
        <w:rPr>
          <w:rFonts w:hint="eastAsia" w:ascii="宋体" w:hAnsi="宋体" w:cs="宋体"/>
          <w:bCs/>
          <w:sz w:val="24"/>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21"/>
        </w:numPr>
        <w:spacing w:line="360" w:lineRule="auto"/>
        <w:rPr>
          <w:rFonts w:ascii="宋体" w:hAnsi="宋体" w:cs="宋体"/>
          <w:bCs/>
        </w:rPr>
      </w:pPr>
      <w:r>
        <w:rPr>
          <w:rFonts w:hint="eastAsia" w:ascii="宋体" w:hAnsi="宋体" w:cs="宋体"/>
          <w:bCs/>
          <w:sz w:val="24"/>
        </w:rPr>
        <w:t>权益类资产：包括国内发行上市优先股以及其他符合监管要求的权益类资产（不包括未上市企业股权）。</w:t>
      </w:r>
    </w:p>
    <w:p>
      <w:pPr>
        <w:numPr>
          <w:ilvl w:val="0"/>
          <w:numId w:val="21"/>
        </w:numPr>
        <w:spacing w:line="360" w:lineRule="auto"/>
        <w:rPr>
          <w:rFonts w:ascii="宋体" w:hAnsi="宋体" w:cs="宋体"/>
          <w:bCs/>
        </w:rPr>
      </w:pPr>
      <w:r>
        <w:rPr>
          <w:rFonts w:hint="eastAsia" w:ascii="宋体" w:hAnsi="宋体" w:cs="宋体"/>
          <w:bCs/>
          <w:sz w:val="24"/>
        </w:rPr>
        <w:t>其他符合监管要求资产：包括其他符合监管要求的资产或资产管理产品。</w:t>
      </w:r>
    </w:p>
    <w:p>
      <w:pPr>
        <w:numPr>
          <w:ilvl w:val="0"/>
          <w:numId w:val="20"/>
        </w:numPr>
        <w:spacing w:line="360" w:lineRule="auto"/>
        <w:jc w:val="left"/>
        <w:outlineLvl w:val="2"/>
        <w:rPr>
          <w:rFonts w:ascii="宋体" w:hAnsi="宋体" w:cs="宋体"/>
          <w:b/>
          <w:sz w:val="24"/>
        </w:rPr>
      </w:pPr>
      <w:r>
        <w:rPr>
          <w:rFonts w:hint="eastAsia" w:ascii="宋体" w:hAnsi="宋体" w:cs="宋体"/>
          <w:b/>
          <w:sz w:val="24"/>
        </w:rPr>
        <w:t>投资比例</w:t>
      </w:r>
    </w:p>
    <w:p>
      <w:pPr>
        <w:spacing w:line="360" w:lineRule="auto"/>
        <w:ind w:firstLine="480" w:firstLineChars="200"/>
        <w:jc w:val="left"/>
        <w:rPr>
          <w:rFonts w:ascii="宋体" w:hAnsi="宋体" w:cs="宋体"/>
          <w:bCs/>
          <w:sz w:val="24"/>
        </w:rPr>
      </w:pPr>
      <w:r>
        <w:rPr>
          <w:rFonts w:hint="eastAsia" w:ascii="宋体" w:hAnsi="宋体" w:cs="宋体"/>
          <w:bCs/>
          <w:sz w:val="24"/>
        </w:rPr>
        <w:t>本理财计划各投资资产占</w:t>
      </w:r>
      <w:r>
        <w:rPr>
          <w:rFonts w:hint="eastAsia" w:ascii="宋体" w:hAnsi="宋体" w:cs="宋体"/>
          <w:bCs/>
          <w:sz w:val="24"/>
          <w:lang w:val="en-US" w:eastAsia="zh-CN"/>
        </w:rPr>
        <w:t>总</w:t>
      </w:r>
      <w:r>
        <w:rPr>
          <w:rFonts w:hint="eastAsia" w:ascii="宋体" w:hAnsi="宋体" w:cs="宋体"/>
          <w:bCs/>
          <w:sz w:val="24"/>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jc w:val="center"/>
              <w:rPr>
                <w:rFonts w:hint="eastAsia" w:ascii="宋体" w:hAnsi="宋体" w:cs="宋体"/>
                <w:bCs/>
                <w:szCs w:val="21"/>
              </w:rPr>
            </w:pPr>
            <w:r>
              <w:rPr>
                <w:rFonts w:hint="eastAsia" w:ascii="宋体" w:hAnsi="宋体" w:cs="宋体"/>
                <w:bCs/>
                <w:szCs w:val="21"/>
              </w:rPr>
              <w:t>类型</w:t>
            </w:r>
          </w:p>
        </w:tc>
        <w:tc>
          <w:tcPr>
            <w:tcW w:w="4740" w:type="dxa"/>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w:t>
            </w:r>
            <w:r>
              <w:rPr>
                <w:rFonts w:hint="eastAsia" w:ascii="宋体" w:hAnsi="宋体" w:cs="宋体"/>
                <w:bCs/>
                <w:szCs w:val="21"/>
                <w:lang w:val="en-US" w:eastAsia="zh-CN"/>
              </w:rPr>
              <w:t>5</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其他符合监管要求资产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17"/>
        <w:adjustRightInd/>
        <w:spacing w:line="360" w:lineRule="auto"/>
        <w:ind w:firstLine="456" w:firstLineChars="190"/>
        <w:rPr>
          <w:rFonts w:hint="eastAsia" w:ascii="宋体" w:hAnsi="宋体" w:cs="宋体"/>
          <w:bCs/>
          <w:color w:val="auto"/>
          <w:kern w:val="2"/>
        </w:rPr>
      </w:pPr>
      <w:r>
        <w:rPr>
          <w:rFonts w:hint="eastAsia" w:ascii="宋体" w:hAnsi="宋体" w:cs="宋体"/>
          <w:bCs/>
          <w:color w:val="auto"/>
          <w:kern w:val="2"/>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jc w:val="left"/>
        <w:outlineLvl w:val="2"/>
        <w:rPr>
          <w:rFonts w:ascii="宋体" w:hAnsi="宋体" w:cs="宋体"/>
          <w:b/>
          <w:sz w:val="24"/>
        </w:rPr>
      </w:pPr>
      <w:r>
        <w:rPr>
          <w:rFonts w:hint="eastAsia" w:ascii="宋体" w:hAnsi="宋体" w:cs="宋体"/>
          <w:b/>
          <w:sz w:val="24"/>
        </w:rPr>
        <w:t>投资策略</w:t>
      </w:r>
    </w:p>
    <w:p>
      <w:pPr>
        <w:spacing w:line="360" w:lineRule="auto"/>
        <w:ind w:firstLine="480" w:firstLineChars="200"/>
        <w:jc w:val="left"/>
        <w:rPr>
          <w:rFonts w:ascii="宋体" w:hAnsi="宋体" w:cs="宋体"/>
          <w:b/>
          <w:sz w:val="24"/>
        </w:rPr>
      </w:pPr>
      <w:r>
        <w:rPr>
          <w:rFonts w:hint="eastAsia" w:ascii="宋体" w:hAnsi="宋体" w:cs="宋体"/>
          <w:bCs/>
          <w:sz w:val="24"/>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20"/>
        </w:numPr>
        <w:spacing w:line="360" w:lineRule="auto"/>
        <w:jc w:val="left"/>
        <w:outlineLvl w:val="2"/>
        <w:rPr>
          <w:rFonts w:ascii="宋体" w:hAnsi="宋体" w:cs="宋体"/>
          <w:b/>
          <w:sz w:val="24"/>
        </w:rPr>
      </w:pPr>
      <w:r>
        <w:rPr>
          <w:rFonts w:hint="eastAsia" w:ascii="宋体" w:hAnsi="宋体" w:cs="宋体"/>
          <w:b/>
          <w:sz w:val="24"/>
        </w:rPr>
        <w:t>投资限制</w:t>
      </w:r>
    </w:p>
    <w:p>
      <w:pPr>
        <w:pStyle w:val="17"/>
        <w:adjustRightInd/>
        <w:spacing w:line="360" w:lineRule="auto"/>
        <w:ind w:firstLine="480" w:firstLineChars="200"/>
        <w:rPr>
          <w:rFonts w:ascii="宋体" w:hAnsi="宋体" w:cs="宋体"/>
          <w:b/>
          <w:sz w:val="24"/>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jc w:val="left"/>
        <w:rPr>
          <w:rFonts w:ascii="宋体" w:hAnsi="宋体" w:cs="宋体"/>
          <w:bCs/>
          <w:sz w:val="24"/>
        </w:rPr>
      </w:pPr>
      <w:r>
        <w:rPr>
          <w:rFonts w:hint="eastAsia" w:ascii="宋体" w:hAnsi="宋体" w:cs="宋体"/>
          <w:bCs/>
          <w:sz w:val="24"/>
        </w:rPr>
        <w:t>投资集中度限制</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color w:val="000000"/>
          <w:sz w:val="24"/>
        </w:rPr>
        <w:t>本理</w:t>
      </w:r>
      <w:r>
        <w:rPr>
          <w:rFonts w:hint="eastAsia" w:ascii="宋体" w:hAnsi="宋体" w:cs="宋体"/>
          <w:bCs/>
          <w:sz w:val="24"/>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rPr>
        <w:t>证券投资基金</w:t>
      </w:r>
      <w:r>
        <w:rPr>
          <w:rFonts w:ascii="宋体" w:hAnsi="宋体" w:cs="宋体"/>
          <w:bCs/>
          <w:sz w:val="24"/>
        </w:rPr>
        <w:fldChar w:fldCharType="end"/>
      </w:r>
      <w:r>
        <w:rPr>
          <w:rFonts w:ascii="宋体" w:hAnsi="宋体" w:cs="宋体"/>
          <w:bCs/>
          <w:sz w:val="24"/>
        </w:rPr>
        <w:t>的市值不得超过该理财</w:t>
      </w:r>
      <w:r>
        <w:rPr>
          <w:rFonts w:hint="eastAsia" w:ascii="宋体" w:hAnsi="宋体" w:cs="宋体"/>
          <w:bCs/>
          <w:sz w:val="24"/>
        </w:rPr>
        <w:t>计划</w:t>
      </w:r>
      <w:r>
        <w:rPr>
          <w:rFonts w:ascii="宋体" w:hAnsi="宋体" w:cs="宋体"/>
          <w:bCs/>
          <w:sz w:val="24"/>
        </w:rPr>
        <w:t>净资产</w:t>
      </w:r>
      <w:r>
        <w:rPr>
          <w:rFonts w:hint="eastAsia" w:ascii="宋体" w:hAnsi="宋体" w:cs="宋体"/>
          <w:bCs/>
          <w:sz w:val="24"/>
        </w:rPr>
        <w:t>的</w:t>
      </w:r>
      <w:r>
        <w:rPr>
          <w:rFonts w:ascii="宋体" w:hAnsi="宋体" w:cs="宋体"/>
          <w:bCs/>
          <w:sz w:val="24"/>
        </w:rPr>
        <w:t>10%</w:t>
      </w:r>
      <w:r>
        <w:rPr>
          <w:rFonts w:hint="eastAsia" w:ascii="宋体" w:hAnsi="宋体" w:cs="宋体"/>
          <w:bCs/>
          <w:sz w:val="24"/>
        </w:rPr>
        <w:t>。</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sz w:val="24"/>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sz w:val="24"/>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hint="eastAsia" w:ascii="宋体" w:hAnsi="宋体" w:cs="宋体"/>
          <w:bCs/>
          <w:sz w:val="24"/>
        </w:rPr>
      </w:pPr>
      <w:r>
        <w:rPr>
          <w:rFonts w:hint="eastAsia" w:ascii="宋体" w:hAnsi="宋体" w:cs="宋体"/>
          <w:bCs/>
          <w:sz w:val="24"/>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rPr>
      </w:pPr>
      <w:r>
        <w:rPr>
          <w:rFonts w:hint="eastAsia" w:ascii="宋体" w:hAnsi="宋体" w:cs="宋体"/>
          <w:bCs/>
          <w:sz w:val="24"/>
        </w:rPr>
        <w:t>国务院银行业监督管理机构另有规定的除外。</w:t>
      </w:r>
    </w:p>
    <w:p>
      <w:pPr>
        <w:spacing w:line="360" w:lineRule="auto"/>
        <w:ind w:firstLine="480" w:firstLineChars="200"/>
        <w:jc w:val="left"/>
        <w:rPr>
          <w:rFonts w:hint="eastAsia" w:ascii="宋体" w:hAnsi="宋体" w:cs="宋体"/>
          <w:bCs/>
          <w:sz w:val="24"/>
        </w:rPr>
      </w:pPr>
      <w:r>
        <w:rPr>
          <w:rFonts w:hint="eastAsia" w:ascii="宋体" w:hAnsi="宋体" w:cs="宋体"/>
          <w:bCs/>
          <w:sz w:val="24"/>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投资期限限制</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本理财计划投资的非标准化债权类资产到期日不得晚于理财计划最近一次开放日。</w:t>
      </w:r>
    </w:p>
    <w:p>
      <w:pPr>
        <w:numPr>
          <w:ilvl w:val="0"/>
          <w:numId w:val="22"/>
        </w:numPr>
        <w:spacing w:line="360" w:lineRule="auto"/>
        <w:jc w:val="left"/>
        <w:rPr>
          <w:rFonts w:ascii="宋体" w:hAnsi="宋体" w:cs="宋体"/>
          <w:bCs/>
          <w:sz w:val="24"/>
        </w:rPr>
      </w:pPr>
      <w:r>
        <w:rPr>
          <w:rFonts w:hint="eastAsia" w:ascii="宋体" w:hAnsi="宋体" w:cs="宋体"/>
          <w:bCs/>
          <w:sz w:val="24"/>
        </w:rPr>
        <w:t>投资杠杆率限制</w:t>
      </w:r>
    </w:p>
    <w:p>
      <w:pPr>
        <w:spacing w:line="360" w:lineRule="auto"/>
        <w:ind w:firstLine="480" w:firstLineChars="200"/>
        <w:jc w:val="left"/>
        <w:rPr>
          <w:rFonts w:ascii="宋体" w:hAnsi="宋体" w:cs="宋体"/>
          <w:bCs/>
          <w:sz w:val="24"/>
        </w:rPr>
      </w:pPr>
      <w:r>
        <w:rPr>
          <w:rFonts w:hint="eastAsia" w:ascii="宋体" w:hAnsi="宋体" w:cs="宋体"/>
          <w:bCs/>
          <w:sz w:val="24"/>
        </w:rPr>
        <w:t>本理财计划的总资产不得超过净资产的140%。</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流动性限制</w:t>
      </w:r>
    </w:p>
    <w:p>
      <w:pPr>
        <w:numPr>
          <w:ilvl w:val="0"/>
          <w:numId w:val="24"/>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本理财计划直接投资于流动性受限资产的市值在开放日不得超过该理财计划资产净值的15%。</w:t>
      </w:r>
    </w:p>
    <w:p>
      <w:pPr>
        <w:numPr>
          <w:ilvl w:val="0"/>
          <w:numId w:val="24"/>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在开放日前一工作日内，本理财计划7个工作日可变现资产的可变现价值应当不低于该理财计划资产净值的10%。</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本理财计划如定期开放周期低于90天，计划投资不存在活跃交易市场，并且需要采用估值技术确定公允价值的资产比例不得超过理财产品净资产50%以上。</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其他投资限制</w:t>
      </w:r>
    </w:p>
    <w:p>
      <w:pPr>
        <w:spacing w:line="360" w:lineRule="auto"/>
        <w:ind w:firstLine="480" w:firstLineChars="200"/>
        <w:jc w:val="left"/>
        <w:rPr>
          <w:rFonts w:ascii="宋体" w:hAnsi="宋体" w:cs="宋体"/>
          <w:bCs/>
          <w:sz w:val="24"/>
        </w:rPr>
      </w:pPr>
      <w:r>
        <w:rPr>
          <w:rFonts w:hint="eastAsia" w:ascii="宋体" w:hAnsi="宋体" w:cs="宋体"/>
          <w:bCs/>
          <w:sz w:val="24"/>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rPr>
        <w:t>资产支持证券</w:t>
      </w:r>
      <w:r>
        <w:rPr>
          <w:rFonts w:ascii="宋体" w:hAnsi="宋体" w:cs="宋体"/>
          <w:bCs/>
          <w:sz w:val="24"/>
        </w:rPr>
        <w:fldChar w:fldCharType="end"/>
      </w:r>
      <w:r>
        <w:rPr>
          <w:rFonts w:hint="eastAsia" w:ascii="宋体" w:hAnsi="宋体" w:cs="宋体"/>
          <w:bCs/>
          <w:sz w:val="24"/>
        </w:rPr>
        <w:t>，不得直接或间接投资于未上市公司股权及其受（收）益权。</w:t>
      </w:r>
    </w:p>
    <w:p>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（五）拟投资市场、资产的流动性风险评估</w:t>
      </w:r>
    </w:p>
    <w:p>
      <w:pPr>
        <w:spacing w:line="360" w:lineRule="auto"/>
        <w:ind w:left="420"/>
        <w:jc w:val="left"/>
        <w:rPr>
          <w:rFonts w:hint="eastAsia" w:ascii="宋体" w:hAnsi="宋体" w:cs="宋体"/>
          <w:bCs/>
          <w:sz w:val="24"/>
        </w:rPr>
      </w:pPr>
      <w:r>
        <w:rPr>
          <w:rFonts w:hint="eastAsia" w:ascii="宋体" w:hAnsi="宋体" w:cs="宋体"/>
          <w:bCs/>
          <w:sz w:val="24"/>
        </w:rPr>
        <w:t>本理财计划拟投资市场可能面临的流动性风险如下：</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rPr>
      </w:pPr>
      <w:r>
        <w:rPr>
          <w:rFonts w:hint="eastAsia" w:ascii="宋体" w:hAnsi="宋体" w:cs="宋体"/>
          <w:bCs/>
          <w:sz w:val="24"/>
        </w:rPr>
        <w:t>以上风险仅为列举性质，未能详尽列明拟投资市场和资产面临的全部流动性风险</w:t>
      </w:r>
      <w:r>
        <w:rPr>
          <w:rFonts w:ascii="宋体" w:hAnsi="宋体" w:cs="宋体"/>
          <w:bCs/>
          <w:sz w:val="24"/>
        </w:rPr>
        <w:t>可能导致投资者投资本金及收益损失</w:t>
      </w:r>
      <w:r>
        <w:rPr>
          <w:rFonts w:hint="eastAsia" w:ascii="宋体" w:hAnsi="宋体" w:cs="宋体"/>
          <w:bCs/>
          <w:sz w:val="24"/>
        </w:rPr>
        <w:t>或延期兑付</w:t>
      </w:r>
      <w:r>
        <w:rPr>
          <w:rFonts w:ascii="宋体" w:hAnsi="宋体" w:cs="宋体"/>
          <w:bCs/>
          <w:sz w:val="24"/>
        </w:rPr>
        <w:t>的所有因素</w:t>
      </w:r>
      <w:r>
        <w:rPr>
          <w:rFonts w:hint="eastAsia" w:ascii="宋体" w:hAnsi="宋体" w:cs="宋体"/>
          <w:bCs/>
          <w:sz w:val="24"/>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合作机构及主要职责</w:t>
      </w:r>
    </w:p>
    <w:p>
      <w:pPr>
        <w:numPr>
          <w:ilvl w:val="0"/>
          <w:numId w:val="27"/>
        </w:numPr>
        <w:spacing w:line="360" w:lineRule="auto"/>
        <w:jc w:val="left"/>
        <w:outlineLvl w:val="2"/>
        <w:rPr>
          <w:rFonts w:ascii="宋体" w:hAnsi="宋体" w:cs="宋体"/>
          <w:b/>
          <w:sz w:val="24"/>
        </w:rPr>
      </w:pPr>
      <w:r>
        <w:rPr>
          <w:rFonts w:hint="eastAsia" w:ascii="宋体" w:hAnsi="宋体" w:cs="宋体"/>
          <w:b/>
          <w:sz w:val="24"/>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6053" w:type="dxa"/>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6053" w:type="dxa"/>
          </w:tcPr>
          <w:p>
            <w:pPr>
              <w:spacing w:line="360" w:lineRule="auto"/>
              <w:jc w:val="left"/>
              <w:rPr>
                <w:rFonts w:hint="eastAsia" w:ascii="宋体" w:hAnsi="宋体" w:eastAsia="宋体" w:cs="宋体"/>
                <w:bCs/>
                <w:szCs w:val="21"/>
                <w:lang w:eastAsia="zh-CN"/>
              </w:rPr>
            </w:pPr>
            <w:r>
              <w:rPr>
                <w:rFonts w:hint="eastAsia" w:ascii="宋体" w:hAnsi="宋体" w:cs="宋体"/>
                <w:bCs/>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6053" w:type="dxa"/>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28"/>
        </w:numPr>
        <w:spacing w:line="360" w:lineRule="auto"/>
        <w:jc w:val="left"/>
        <w:outlineLvl w:val="2"/>
        <w:rPr>
          <w:rFonts w:ascii="宋体" w:hAnsi="宋体" w:cs="宋体"/>
          <w:b/>
          <w:sz w:val="24"/>
        </w:rPr>
      </w:pPr>
      <w:r>
        <w:rPr>
          <w:rFonts w:hint="eastAsia" w:ascii="宋体" w:hAnsi="宋体" w:cs="宋体"/>
          <w:b/>
          <w:sz w:val="24"/>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rPr>
            </w:pPr>
            <w:r>
              <w:rPr>
                <w:rFonts w:hint="eastAsia" w:ascii="宋体" w:hAnsi="宋体" w:cs="宋体"/>
                <w:bCs/>
                <w:szCs w:val="21"/>
              </w:rPr>
              <w:t>销售机构信息</w:t>
            </w:r>
          </w:p>
        </w:tc>
        <w:tc>
          <w:tcPr>
            <w:tcW w:w="2475" w:type="dxa"/>
            <w:vMerge w:val="restart"/>
            <w:vAlign w:val="center"/>
          </w:tcPr>
          <w:p>
            <w:pPr>
              <w:spacing w:line="360" w:lineRule="auto"/>
              <w:jc w:val="center"/>
              <w:rPr>
                <w:rFonts w:ascii="宋体" w:hAnsi="宋体" w:cs="宋体"/>
                <w:bCs/>
                <w:szCs w:val="21"/>
              </w:rPr>
            </w:pPr>
            <w:r>
              <w:rPr>
                <w:rFonts w:hint="eastAsia" w:ascii="宋体" w:hAnsi="宋体" w:cs="宋体"/>
                <w:bCs/>
                <w:szCs w:val="21"/>
              </w:rPr>
              <w:t>杭州银行股份有限公司</w:t>
            </w:r>
          </w:p>
        </w:tc>
        <w:tc>
          <w:tcPr>
            <w:tcW w:w="1155" w:type="dxa"/>
            <w:vAlign w:val="center"/>
          </w:tcPr>
          <w:p>
            <w:pPr>
              <w:spacing w:line="360" w:lineRule="auto"/>
              <w:jc w:val="center"/>
              <w:rPr>
                <w:rFonts w:ascii="宋体" w:hAnsi="宋体" w:cs="宋体"/>
                <w:bCs/>
                <w:szCs w:val="21"/>
              </w:rPr>
            </w:pPr>
            <w:r>
              <w:rPr>
                <w:rFonts w:hint="eastAsia" w:ascii="宋体" w:hAnsi="宋体" w:cs="宋体"/>
                <w:bCs/>
                <w:szCs w:val="21"/>
              </w:rPr>
              <w:t>住所</w:t>
            </w:r>
          </w:p>
        </w:tc>
        <w:tc>
          <w:tcPr>
            <w:tcW w:w="3210" w:type="dxa"/>
            <w:vAlign w:val="center"/>
          </w:tcPr>
          <w:p>
            <w:pPr>
              <w:spacing w:line="360" w:lineRule="auto"/>
              <w:jc w:val="left"/>
              <w:rPr>
                <w:rFonts w:hint="eastAsia" w:ascii="宋体" w:hAnsi="宋体" w:eastAsia="宋体" w:cs="宋体"/>
                <w:bCs/>
                <w:szCs w:val="21"/>
                <w:lang w:eastAsia="zh-CN"/>
              </w:rPr>
            </w:pPr>
            <w:r>
              <w:rPr>
                <w:rFonts w:hint="eastAsia" w:ascii="宋体" w:hAnsi="宋体" w:cs="宋体"/>
                <w:bCs/>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spacing w:line="360" w:lineRule="auto"/>
              <w:jc w:val="center"/>
              <w:rPr>
                <w:rFonts w:ascii="宋体" w:hAnsi="宋体" w:cs="宋体"/>
                <w:bCs/>
                <w:szCs w:val="21"/>
              </w:rPr>
            </w:pPr>
          </w:p>
        </w:tc>
        <w:tc>
          <w:tcPr>
            <w:tcW w:w="1155" w:type="dxa"/>
            <w:vAlign w:val="center"/>
          </w:tcPr>
          <w:p>
            <w:pPr>
              <w:spacing w:line="360" w:lineRule="auto"/>
              <w:jc w:val="center"/>
              <w:rPr>
                <w:rFonts w:ascii="宋体" w:hAnsi="宋体" w:cs="宋体"/>
                <w:bCs/>
                <w:szCs w:val="21"/>
              </w:rPr>
            </w:pPr>
            <w:r>
              <w:rPr>
                <w:rFonts w:hint="eastAsia" w:ascii="宋体" w:hAnsi="宋体" w:cs="宋体"/>
                <w:bCs/>
                <w:szCs w:val="21"/>
              </w:rPr>
              <w:t>客服热线</w:t>
            </w:r>
          </w:p>
        </w:tc>
        <w:tc>
          <w:tcPr>
            <w:tcW w:w="3210" w:type="dxa"/>
            <w:vAlign w:val="center"/>
          </w:tcPr>
          <w:p>
            <w:pPr>
              <w:spacing w:line="360" w:lineRule="auto"/>
              <w:jc w:val="center"/>
              <w:rPr>
                <w:rFonts w:ascii="宋体" w:hAnsi="宋体" w:cs="宋体"/>
                <w:bCs/>
                <w:szCs w:val="21"/>
              </w:rPr>
            </w:pPr>
            <w:r>
              <w:rPr>
                <w:rFonts w:hint="eastAsia" w:ascii="宋体" w:hAnsi="宋体" w:cs="宋体"/>
                <w:bCs/>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南洋商业银行（中国）有限公司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中国（上海）自由贸易试验区浦明路898号13层至16层、18层至20层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95</w:t>
            </w:r>
            <w:r>
              <w:rPr>
                <w:rFonts w:hint="eastAsia" w:ascii="宋体" w:hAnsi="宋体" w:cs="宋体"/>
                <w:color w:val="000000"/>
                <w:kern w:val="0"/>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绍兴银行股份有限公司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4000896528</w:t>
            </w:r>
          </w:p>
        </w:tc>
      </w:tr>
      <w:tr>
        <w:tblPrEx>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潍坊银行股份有限公司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中信百信银行股份有限公司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lang w:val="en-US" w:eastAsia="zh-CN"/>
              </w:rPr>
              <w:t>956</w:t>
            </w:r>
            <w:r>
              <w:rPr>
                <w:rFonts w:hint="eastAsia" w:ascii="宋体" w:hAnsi="宋体" w:cs="宋体"/>
                <w:color w:val="000000"/>
                <w:kern w:val="0"/>
              </w:rPr>
              <w:t>1</w:t>
            </w:r>
            <w:r>
              <w:rPr>
                <w:rFonts w:hint="eastAsia" w:ascii="宋体" w:hAnsi="宋体" w:cs="宋体"/>
                <w:color w:val="000000"/>
                <w:kern w:val="0"/>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大连农村商业银行股份有限公司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辽宁省大连经济技术开发区五彩城A区1栋-A1号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96689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杭银理财有限责任公司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浙江永康农村商业银行股份有限公司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浙江丽水莲都农村商业银行股份有限公司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浙江省丽水市莲都区解放街438号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0578-2027170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浙江舟山普陀农村商业银行股份有限公司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浙江省舟山市普陀区东港街道麒麟街225号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0580-3811083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宁波余姚农村商业银行股份有限公司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浙江省余姚市新建路69号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0574-62628862</w:t>
            </w:r>
          </w:p>
        </w:tc>
      </w:tr>
      <w:tr>
        <w:tblPrEx>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浙江文成农村商业银行股份有限公司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浙江省温州市文成县大学镇伯温路6号文成农商银行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restart"/>
            <w:vAlign w:val="center"/>
          </w:tcPr>
          <w:p>
            <w:pPr>
              <w:widowControl/>
              <w:jc w:val="center"/>
              <w:rPr>
                <w:rFonts w:ascii="宋体" w:hAnsi="宋体" w:cs="宋体"/>
                <w:bCs/>
                <w:szCs w:val="21"/>
              </w:rPr>
            </w:pPr>
            <w:r>
              <w:rPr>
                <w:rFonts w:hint="eastAsia" w:ascii="宋体" w:hAnsi="宋体" w:cs="宋体"/>
                <w:color w:val="000000"/>
                <w:kern w:val="0"/>
              </w:rPr>
              <w:t>福建海峡银行股份有限公司</w:t>
            </w: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福建省福州市台江区江滨中大道358号海峡银行大厦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rPr>
            </w:pPr>
          </w:p>
        </w:tc>
        <w:tc>
          <w:tcPr>
            <w:tcW w:w="2475" w:type="dxa"/>
            <w:vMerge w:val="continue"/>
            <w:vAlign w:val="center"/>
          </w:tcPr>
          <w:p>
            <w:pPr>
              <w:widowControl/>
              <w:jc w:val="left"/>
              <w:rPr>
                <w:rFonts w:ascii="宋体" w:hAnsi="宋体" w:cs="宋体"/>
                <w:bCs/>
                <w:szCs w:val="21"/>
              </w:rPr>
            </w:pPr>
          </w:p>
        </w:tc>
        <w:tc>
          <w:tcPr>
            <w:tcW w:w="1155" w:type="dxa"/>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vAlign w:val="center"/>
          </w:tcPr>
          <w:p>
            <w:pPr>
              <w:widowControl/>
              <w:jc w:val="center"/>
              <w:rPr>
                <w:rFonts w:hint="eastAsia" w:ascii="宋体" w:hAnsi="宋体" w:cs="宋体"/>
                <w:bCs/>
                <w:szCs w:val="21"/>
              </w:rPr>
            </w:pPr>
            <w:r>
              <w:rPr>
                <w:rFonts w:hint="eastAsia" w:ascii="宋体" w:hAnsi="宋体" w:cs="宋体"/>
                <w:color w:val="000000"/>
                <w:kern w:val="0"/>
              </w:rPr>
              <w:t>4008939999</w:t>
            </w:r>
          </w:p>
        </w:tc>
      </w:tr>
      <w:tr>
        <w:tblPrEx>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rPr>
            </w:pPr>
            <w:r>
              <w:rPr>
                <w:rFonts w:hint="eastAsia" w:ascii="宋体" w:hAnsi="宋体" w:cs="宋体"/>
                <w:bCs/>
                <w:szCs w:val="21"/>
              </w:rPr>
              <w:t>销售机构职责</w:t>
            </w:r>
          </w:p>
        </w:tc>
        <w:tc>
          <w:tcPr>
            <w:tcW w:w="6840" w:type="dxa"/>
            <w:gridSpan w:val="3"/>
          </w:tcPr>
          <w:p>
            <w:pPr>
              <w:spacing w:line="360" w:lineRule="auto"/>
              <w:jc w:val="left"/>
              <w:rPr>
                <w:rFonts w:ascii="宋体" w:hAnsi="宋体" w:cs="宋体"/>
                <w:bCs/>
                <w:szCs w:val="21"/>
              </w:rPr>
            </w:pPr>
            <w:r>
              <w:rPr>
                <w:rFonts w:hint="eastAsia" w:ascii="宋体" w:hAnsi="宋体" w:cs="宋体"/>
                <w:bCs/>
                <w:szCs w:val="21"/>
              </w:rPr>
              <w:t>主要负责理财计划推广、投资者风险承受能力评估、投资者适当性管理、理财计划份额认购、申购及赎回办理。</w:t>
            </w:r>
          </w:p>
          <w:p>
            <w:pPr>
              <w:spacing w:line="360" w:lineRule="auto"/>
              <w:jc w:val="left"/>
              <w:rPr>
                <w:rFonts w:ascii="宋体" w:hAnsi="宋体" w:cs="宋体"/>
                <w:bCs/>
                <w:szCs w:val="21"/>
              </w:rPr>
            </w:pPr>
            <w:r>
              <w:rPr>
                <w:rFonts w:hint="eastAsia" w:ascii="宋体" w:hAnsi="宋体" w:cs="宋体"/>
                <w:bCs/>
                <w:szCs w:val="21"/>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rPr>
      </w:pPr>
      <w:r>
        <w:rPr>
          <w:rFonts w:hint="eastAsia" w:ascii="宋体" w:hAnsi="宋体" w:cs="宋体"/>
          <w:bCs/>
          <w:color w:val="000000"/>
          <w:sz w:val="24"/>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rPr>
        <w:t>为准。</w:t>
      </w:r>
    </w:p>
    <w:p>
      <w:pPr>
        <w:spacing w:line="360" w:lineRule="auto"/>
        <w:jc w:val="left"/>
        <w:rPr>
          <w:rFonts w:hint="eastAsia" w:ascii="宋体" w:hAnsi="宋体" w:cs="宋体"/>
          <w:bCs/>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估值</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估值日</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本理财计划估值日为每个</w:t>
      </w:r>
      <w:r>
        <w:rPr>
          <w:rFonts w:hint="eastAsia" w:ascii="宋体" w:hAnsi="宋体" w:cs="宋体"/>
          <w:bCs/>
          <w:color w:val="000000"/>
          <w:sz w:val="24"/>
          <w:lang w:val="en-US" w:eastAsia="zh-CN"/>
        </w:rPr>
        <w:t>工作日</w:t>
      </w:r>
      <w:r>
        <w:rPr>
          <w:rFonts w:hint="eastAsia" w:ascii="宋体" w:hAnsi="宋体" w:cs="宋体"/>
          <w:bCs/>
          <w:color w:val="000000"/>
          <w:sz w:val="24"/>
        </w:rPr>
        <w:t>，定期由理财管理人和理财托管人核对估值结果并向投资者披露，具体日期以管理人公告为准。</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估值对象</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本理财计划所投资的所有资产及负债。</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估值目的</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客观、准确反映理财计划的价值。</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估值方法</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rPr>
      </w:pPr>
      <w:r>
        <w:rPr>
          <w:rFonts w:hint="eastAsia"/>
          <w:sz w:val="24"/>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货币市场工具类资产</w:t>
      </w:r>
    </w:p>
    <w:p>
      <w:pPr>
        <w:pStyle w:val="17"/>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债券及同业存单类资产</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债权类资产</w:t>
      </w:r>
    </w:p>
    <w:p>
      <w:pPr>
        <w:spacing w:line="360" w:lineRule="auto"/>
        <w:rPr>
          <w:rFonts w:ascii="宋体" w:hAnsi="宋体" w:cs="宋体"/>
          <w:bCs/>
          <w:color w:val="000000"/>
          <w:sz w:val="24"/>
        </w:rPr>
      </w:pPr>
      <w:r>
        <w:rPr>
          <w:rFonts w:hint="eastAsia" w:ascii="宋体" w:hAnsi="宋体" w:cs="宋体"/>
          <w:bCs/>
          <w:color w:val="000000"/>
          <w:sz w:val="24"/>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股权类资产</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未上市股票的估值：</w:t>
      </w:r>
    </w:p>
    <w:p>
      <w:pPr>
        <w:spacing w:line="360" w:lineRule="auto"/>
        <w:rPr>
          <w:rFonts w:hint="eastAsia" w:ascii="宋体" w:hAnsi="宋体"/>
          <w:sz w:val="24"/>
        </w:rPr>
      </w:pPr>
      <w:r>
        <w:rPr>
          <w:rFonts w:hint="eastAsia" w:ascii="宋体" w:hAnsi="宋体" w:cs="宋体"/>
          <w:bCs/>
          <w:color w:val="000000"/>
          <w:sz w:val="24"/>
        </w:rPr>
        <w:t xml:space="preserve">      1）</w:t>
      </w:r>
      <w:r>
        <w:rPr>
          <w:rFonts w:hint="eastAsia" w:ascii="宋体" w:hAnsi="宋体"/>
          <w:sz w:val="24"/>
        </w:rPr>
        <w:t>送股、转增股、配股和公开增发新股等发行未上市的股票，按估值日在证券交易所挂牌的同一股票的市价估值；</w:t>
      </w:r>
    </w:p>
    <w:p>
      <w:pPr>
        <w:spacing w:line="360" w:lineRule="auto"/>
        <w:rPr>
          <w:rFonts w:hint="eastAsia" w:ascii="宋体" w:hAnsi="宋体"/>
          <w:sz w:val="24"/>
        </w:rPr>
      </w:pPr>
      <w:r>
        <w:rPr>
          <w:rFonts w:hint="eastAsia" w:ascii="宋体" w:hAnsi="宋体"/>
          <w:sz w:val="24"/>
        </w:rPr>
        <w:t xml:space="preserve">      2）首次公开发行有明确锁定期的股票，同一股票在交易所上市后，按交易所上市的同一股票的市价估值；</w:t>
      </w:r>
    </w:p>
    <w:p>
      <w:pPr>
        <w:spacing w:line="360" w:lineRule="auto"/>
        <w:rPr>
          <w:rFonts w:hint="eastAsia" w:ascii="宋体" w:hAnsi="宋体"/>
          <w:sz w:val="24"/>
        </w:rPr>
      </w:pPr>
      <w:r>
        <w:rPr>
          <w:rFonts w:hint="eastAsia" w:ascii="宋体" w:hAnsi="宋体"/>
          <w:sz w:val="24"/>
        </w:rPr>
        <w:t xml:space="preserve">      3）首次发行未上市的股票，按发行价格进行估值；</w:t>
      </w:r>
    </w:p>
    <w:p>
      <w:pPr>
        <w:spacing w:line="360" w:lineRule="auto"/>
        <w:rPr>
          <w:rFonts w:hint="eastAsia" w:ascii="宋体" w:hAnsi="宋体"/>
          <w:sz w:val="24"/>
        </w:rPr>
      </w:pPr>
      <w:r>
        <w:rPr>
          <w:rFonts w:hint="eastAsia" w:ascii="宋体" w:hAnsi="宋体"/>
          <w:sz w:val="24"/>
        </w:rPr>
        <w:t xml:space="preserve">      4）因持有股票而享有的配股权，采用估值技术确定公允价值。</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非上市股权的估值：</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基金、资产管理计划类资产</w:t>
      </w:r>
    </w:p>
    <w:p>
      <w:pPr>
        <w:spacing w:line="360" w:lineRule="auto"/>
        <w:ind w:firstLine="480" w:firstLineChars="200"/>
        <w:rPr>
          <w:rFonts w:hint="eastAsia" w:ascii="宋体" w:hAnsi="宋体"/>
          <w:sz w:val="24"/>
        </w:rPr>
      </w:pPr>
      <w:r>
        <w:rPr>
          <w:rFonts w:hint="eastAsia" w:ascii="宋体" w:hAnsi="宋体" w:cs="宋体"/>
          <w:bCs/>
          <w:color w:val="000000"/>
          <w:sz w:val="24"/>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yellow"/>
        </w:rPr>
      </w:pPr>
      <w:r>
        <w:rPr>
          <w:rFonts w:hint="eastAsia" w:ascii="宋体" w:hAnsi="宋体" w:cs="宋体"/>
          <w:bCs/>
          <w:color w:val="000000"/>
          <w:sz w:val="24"/>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其他资产的估值方法</w:t>
      </w:r>
    </w:p>
    <w:p>
      <w:pPr>
        <w:pStyle w:val="17"/>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kern w:val="2"/>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7"/>
        <w:tabs>
          <w:tab w:val="left" w:pos="0"/>
        </w:tabs>
        <w:spacing w:line="360" w:lineRule="auto"/>
        <w:ind w:firstLine="482" w:firstLineChars="200"/>
        <w:rPr>
          <w:rFonts w:ascii="宋体" w:hAnsi="宋体" w:cs="宋体"/>
          <w:b/>
          <w:kern w:val="2"/>
        </w:rPr>
      </w:pPr>
      <w:r>
        <w:rPr>
          <w:rFonts w:hint="eastAsia" w:ascii="宋体" w:hAnsi="宋体" w:cs="宋体"/>
          <w:b/>
          <w:kern w:val="2"/>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 xml:space="preserve">估值差错处理 </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暂停估值情形</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因不可抗力或其他情形致使理财计划管理人、理财计划托管人无法准确评估资产价值时。</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2"/>
        </w:numPr>
        <w:spacing w:line="360" w:lineRule="auto"/>
        <w:jc w:val="left"/>
        <w:rPr>
          <w:rFonts w:ascii="宋体" w:hAnsi="宋体" w:cs="宋体"/>
          <w:b/>
          <w:sz w:val="24"/>
        </w:rPr>
      </w:pPr>
      <w:r>
        <w:rPr>
          <w:rFonts w:hint="eastAsia" w:ascii="宋体" w:hAnsi="宋体" w:cs="宋体"/>
          <w:bCs/>
          <w:color w:val="000000"/>
          <w:sz w:val="24"/>
        </w:rPr>
        <w:t>理财计划管理人、托管人有合理理由认为将影响本理财计划估值的其他情形发生。</w:t>
      </w:r>
    </w:p>
    <w:p>
      <w:pPr>
        <w:numPr>
          <w:ilvl w:val="0"/>
          <w:numId w:val="29"/>
        </w:numPr>
        <w:spacing w:line="360" w:lineRule="auto"/>
        <w:jc w:val="left"/>
        <w:outlineLvl w:val="2"/>
        <w:rPr>
          <w:rFonts w:ascii="宋体" w:hAnsi="宋体" w:cs="宋体"/>
          <w:b/>
          <w:sz w:val="24"/>
        </w:rPr>
      </w:pPr>
      <w:r>
        <w:rPr>
          <w:rFonts w:hint="eastAsia" w:ascii="宋体" w:hAnsi="宋体" w:cs="宋体"/>
          <w:b/>
          <w:sz w:val="24"/>
        </w:rPr>
        <w:t>资产账册的建立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费用及税收</w:t>
      </w:r>
    </w:p>
    <w:p>
      <w:pPr>
        <w:numPr>
          <w:ilvl w:val="0"/>
          <w:numId w:val="33"/>
        </w:numPr>
        <w:spacing w:line="360" w:lineRule="auto"/>
        <w:jc w:val="left"/>
        <w:outlineLvl w:val="2"/>
        <w:rPr>
          <w:rFonts w:ascii="宋体" w:hAnsi="宋体" w:cs="宋体"/>
          <w:b/>
          <w:sz w:val="24"/>
        </w:rPr>
      </w:pPr>
      <w:r>
        <w:rPr>
          <w:rFonts w:hint="eastAsia" w:ascii="宋体" w:hAnsi="宋体" w:cs="宋体"/>
          <w:b/>
          <w:sz w:val="24"/>
        </w:rPr>
        <w:t>费用种类</w:t>
      </w:r>
    </w:p>
    <w:p>
      <w:p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本理财计划涉及费用包括销售服务费、托管费、固定管理费、认购费、申购费、赎回费、浮动管理费以及理财计划运作和清算中产生的其他费用等。</w:t>
      </w:r>
    </w:p>
    <w:p>
      <w:pPr>
        <w:numPr>
          <w:ilvl w:val="0"/>
          <w:numId w:val="33"/>
        </w:numPr>
        <w:spacing w:line="360" w:lineRule="auto"/>
        <w:jc w:val="left"/>
        <w:outlineLvl w:val="2"/>
        <w:rPr>
          <w:rFonts w:ascii="宋体" w:hAnsi="宋体" w:cs="宋体"/>
          <w:b/>
          <w:sz w:val="24"/>
        </w:rPr>
      </w:pPr>
      <w:r>
        <w:rPr>
          <w:rFonts w:hint="eastAsia" w:ascii="宋体" w:hAnsi="宋体" w:cs="宋体"/>
          <w:b/>
          <w:sz w:val="24"/>
        </w:rPr>
        <w:t>费用计提方法、标准及支付方式</w:t>
      </w:r>
    </w:p>
    <w:p>
      <w:pPr>
        <w:numPr>
          <w:ilvl w:val="0"/>
          <w:numId w:val="34"/>
        </w:numPr>
        <w:spacing w:line="360" w:lineRule="auto"/>
        <w:jc w:val="left"/>
        <w:rPr>
          <w:rFonts w:ascii="宋体" w:hAnsi="宋体" w:cs="宋体"/>
          <w:b/>
          <w:sz w:val="24"/>
        </w:rPr>
      </w:pPr>
      <w:r>
        <w:rPr>
          <w:rFonts w:hint="eastAsia" w:ascii="宋体" w:hAnsi="宋体" w:cs="宋体"/>
          <w:b/>
          <w:sz w:val="24"/>
        </w:rPr>
        <w:t>销售服务费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rPr>
        <w:t>年化销售服务费率为</w:t>
      </w:r>
      <w:r>
        <w:rPr>
          <w:rFonts w:hint="eastAsia" w:ascii="宋体" w:hAnsi="宋体" w:cs="宋体"/>
          <w:szCs w:val="21"/>
        </w:rPr>
        <w:t>〖</w:t>
      </w:r>
      <w:r>
        <w:rPr>
          <w:rFonts w:hint="eastAsia" w:ascii="宋体" w:hAnsi="宋体" w:cs="宋体"/>
          <w:sz w:val="24"/>
          <w:lang w:val="en-US" w:eastAsia="zh-CN"/>
        </w:rPr>
        <w:t>0.30</w:t>
      </w:r>
      <w:r>
        <w:rPr>
          <w:rFonts w:hint="eastAsia" w:ascii="宋体" w:hAnsi="宋体" w:cs="宋体"/>
          <w:bCs/>
          <w:color w:val="000000"/>
          <w:sz w:val="24"/>
        </w:rPr>
        <w:t>%</w:t>
      </w:r>
      <w:r>
        <w:rPr>
          <w:rFonts w:hint="eastAsia" w:ascii="宋体" w:hAnsi="宋体" w:cs="宋体"/>
          <w:szCs w:val="21"/>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Cs w:val="21"/>
        </w:rPr>
        <w:t>〖</w:t>
      </w:r>
      <w:r>
        <w:rPr>
          <w:rFonts w:hint="eastAsia" w:ascii="宋体" w:hAnsi="宋体" w:cs="宋体"/>
          <w:sz w:val="24"/>
          <w:lang w:val="en-US" w:eastAsia="zh-CN"/>
        </w:rPr>
        <w:t>0.30</w:t>
      </w:r>
      <w:r>
        <w:rPr>
          <w:rFonts w:hint="eastAsia" w:ascii="宋体" w:hAnsi="宋体" w:cs="宋体"/>
          <w:bCs/>
          <w:color w:val="000000"/>
          <w:sz w:val="24"/>
        </w:rPr>
        <w:t>%</w:t>
      </w:r>
      <w:r>
        <w:rPr>
          <w:rFonts w:hint="eastAsia" w:ascii="宋体" w:hAnsi="宋体" w:cs="宋体"/>
          <w:szCs w:val="21"/>
        </w:rPr>
        <w:t>〗</w:t>
      </w:r>
      <w:r>
        <w:rPr>
          <w:rFonts w:hint="eastAsia" w:ascii="宋体" w:hAnsi="宋体" w:cs="宋体"/>
          <w:bCs/>
          <w:color w:val="000000"/>
          <w:sz w:val="24"/>
        </w:rPr>
        <w:t>/365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每日应计提的销售服务费</w:t>
      </w:r>
    </w:p>
    <w:p>
      <w:pPr>
        <w:spacing w:line="360" w:lineRule="auto"/>
        <w:ind w:firstLine="480" w:firstLineChars="200"/>
        <w:jc w:val="left"/>
        <w:rPr>
          <w:rFonts w:ascii="宋体" w:hAnsi="宋体" w:cs="宋体"/>
          <w:bCs/>
          <w:color w:val="FF0000"/>
          <w:sz w:val="24"/>
        </w:rPr>
      </w:pPr>
      <w:r>
        <w:rPr>
          <w:rFonts w:hint="eastAsia" w:ascii="宋体" w:hAnsi="宋体" w:cs="宋体"/>
          <w:bCs/>
          <w:color w:val="000000"/>
          <w:sz w:val="24"/>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前一日资产净值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销售服务费原则上按日计提。</w:t>
      </w:r>
    </w:p>
    <w:p>
      <w:pPr>
        <w:numPr>
          <w:ilvl w:val="0"/>
          <w:numId w:val="34"/>
        </w:numPr>
        <w:spacing w:line="360" w:lineRule="auto"/>
        <w:jc w:val="left"/>
        <w:rPr>
          <w:rFonts w:ascii="宋体" w:hAnsi="宋体" w:cs="宋体"/>
          <w:b/>
          <w:sz w:val="24"/>
        </w:rPr>
      </w:pPr>
      <w:r>
        <w:rPr>
          <w:rFonts w:hint="eastAsia" w:ascii="宋体" w:hAnsi="宋体" w:cs="宋体"/>
          <w:b/>
          <w:sz w:val="24"/>
        </w:rPr>
        <w:t>托管费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理财计划财产的年化托管费为</w:t>
      </w:r>
      <w:r>
        <w:rPr>
          <w:rFonts w:hint="eastAsia" w:ascii="宋体" w:hAnsi="宋体" w:cs="宋体"/>
          <w:sz w:val="24"/>
        </w:rPr>
        <w:t>〖</w:t>
      </w:r>
      <w:r>
        <w:rPr>
          <w:rFonts w:hint="eastAsia" w:ascii="宋体" w:hAnsi="宋体" w:cs="宋体"/>
          <w:sz w:val="24"/>
          <w:lang w:val="en-US" w:eastAsia="zh-CN"/>
        </w:rPr>
        <w:t>0.025</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 w:val="24"/>
        </w:rPr>
        <w:t>〖</w:t>
      </w:r>
      <w:r>
        <w:rPr>
          <w:rFonts w:hint="eastAsia" w:ascii="宋体" w:hAnsi="宋体" w:cs="宋体"/>
          <w:sz w:val="24"/>
          <w:lang w:val="en-US" w:eastAsia="zh-CN"/>
        </w:rPr>
        <w:t>0.025</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/365</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H为每日应计提的托管费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E为本理财计划</w:t>
      </w:r>
      <w:r>
        <w:rPr>
          <w:rFonts w:hint="eastAsia" w:ascii="宋体" w:hAnsi="宋体" w:cs="宋体"/>
          <w:szCs w:val="21"/>
        </w:rPr>
        <w:t>〖</w:t>
      </w:r>
      <w:r>
        <w:rPr>
          <w:rFonts w:hint="eastAsia" w:ascii="宋体" w:hAnsi="宋体" w:cs="宋体"/>
          <w:bCs/>
          <w:color w:val="000000"/>
          <w:sz w:val="24"/>
        </w:rPr>
        <w:t>前一日资产净值</w:t>
      </w:r>
      <w:r>
        <w:rPr>
          <w:rFonts w:hint="eastAsia" w:ascii="宋体" w:hAnsi="宋体" w:cs="宋体"/>
          <w:szCs w:val="21"/>
        </w:rPr>
        <w:t>〗</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托管费原则上按日计提。</w:t>
      </w:r>
    </w:p>
    <w:p>
      <w:pPr>
        <w:numPr>
          <w:ilvl w:val="0"/>
          <w:numId w:val="34"/>
        </w:numPr>
        <w:spacing w:line="360" w:lineRule="auto"/>
        <w:jc w:val="left"/>
        <w:rPr>
          <w:rFonts w:ascii="宋体" w:hAnsi="宋体" w:cs="宋体"/>
          <w:b/>
          <w:sz w:val="24"/>
        </w:rPr>
      </w:pPr>
      <w:r>
        <w:rPr>
          <w:rFonts w:hint="eastAsia" w:ascii="宋体" w:hAnsi="宋体" w:cs="宋体"/>
          <w:b/>
          <w:sz w:val="24"/>
        </w:rPr>
        <w:t>固定管理费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年化固定管理费率为</w:t>
      </w:r>
      <w:r>
        <w:rPr>
          <w:rFonts w:hint="eastAsia" w:ascii="宋体" w:hAnsi="宋体" w:cs="宋体"/>
          <w:sz w:val="24"/>
        </w:rPr>
        <w:t>〖</w:t>
      </w:r>
      <w:r>
        <w:rPr>
          <w:rFonts w:hint="eastAsia" w:ascii="宋体" w:hAnsi="宋体" w:cs="宋体"/>
          <w:sz w:val="24"/>
          <w:lang w:val="en-US" w:eastAsia="zh-CN"/>
        </w:rPr>
        <w:t>0.40</w:t>
      </w:r>
      <w:r>
        <w:rPr>
          <w:rFonts w:hint="eastAsia" w:ascii="宋体" w:hAnsi="宋体" w:cs="宋体"/>
          <w:bCs/>
          <w:color w:val="000000"/>
          <w:sz w:val="24"/>
        </w:rPr>
        <w:t>%</w:t>
      </w:r>
      <w:r>
        <w:rPr>
          <w:rFonts w:hint="eastAsia" w:ascii="宋体" w:hAnsi="宋体" w:cs="宋体"/>
          <w:sz w:val="24"/>
        </w:rPr>
        <w:t>〗</w:t>
      </w:r>
      <w:r>
        <w:rPr>
          <w:rFonts w:hint="eastAsia" w:ascii="宋体" w:hAnsi="宋体" w:cs="宋体"/>
          <w:sz w:val="24"/>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 w:val="24"/>
        </w:rPr>
        <w:t>〖</w:t>
      </w:r>
      <w:r>
        <w:rPr>
          <w:rFonts w:hint="eastAsia" w:ascii="宋体" w:hAnsi="宋体" w:cs="宋体"/>
          <w:sz w:val="24"/>
          <w:lang w:val="en-US" w:eastAsia="zh-CN"/>
        </w:rPr>
        <w:t>0.40</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/365</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每日应计提的管理费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前一日资产净值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rPr>
        <w:t>时，管理人有权减免固定管理费。</w:t>
      </w:r>
    </w:p>
    <w:p>
      <w:pPr>
        <w:numPr>
          <w:ilvl w:val="0"/>
          <w:numId w:val="34"/>
        </w:numPr>
        <w:spacing w:line="360" w:lineRule="auto"/>
        <w:jc w:val="left"/>
        <w:rPr>
          <w:rFonts w:ascii="宋体" w:hAnsi="宋体" w:cs="宋体"/>
          <w:b/>
          <w:sz w:val="24"/>
        </w:rPr>
      </w:pPr>
      <w:r>
        <w:rPr>
          <w:rFonts w:hint="eastAsia" w:ascii="宋体" w:hAnsi="宋体" w:cs="宋体"/>
          <w:b/>
          <w:sz w:val="24"/>
        </w:rPr>
        <w:t>认购费</w:t>
      </w:r>
    </w:p>
    <w:p>
      <w:pPr>
        <w:spacing w:line="360" w:lineRule="auto"/>
        <w:ind w:firstLine="480" w:firstLineChars="200"/>
        <w:jc w:val="left"/>
        <w:rPr>
          <w:rFonts w:ascii="宋体" w:hAnsi="宋体" w:cs="宋体"/>
          <w:bCs/>
          <w:color w:val="FF0000"/>
          <w:sz w:val="24"/>
        </w:rPr>
      </w:pPr>
      <w:r>
        <w:rPr>
          <w:rFonts w:hint="eastAsia" w:ascii="宋体" w:hAnsi="宋体" w:cs="宋体"/>
          <w:bCs/>
          <w:color w:val="000000"/>
          <w:sz w:val="24"/>
        </w:rPr>
        <w:t>本理财计划免除认购费。</w:t>
      </w:r>
    </w:p>
    <w:p>
      <w:pPr>
        <w:numPr>
          <w:ilvl w:val="0"/>
          <w:numId w:val="35"/>
        </w:numPr>
        <w:spacing w:line="360" w:lineRule="auto"/>
        <w:jc w:val="left"/>
        <w:rPr>
          <w:rFonts w:ascii="宋体" w:hAnsi="宋体" w:cs="宋体"/>
          <w:b/>
          <w:sz w:val="24"/>
        </w:rPr>
      </w:pPr>
      <w:r>
        <w:rPr>
          <w:rFonts w:hint="eastAsia" w:ascii="宋体" w:hAnsi="宋体" w:cs="宋体"/>
          <w:b/>
          <w:sz w:val="24"/>
        </w:rPr>
        <w:t>申购费</w:t>
      </w:r>
    </w:p>
    <w:p>
      <w:p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本理财计划免除申购费。</w:t>
      </w:r>
    </w:p>
    <w:p>
      <w:pPr>
        <w:numPr>
          <w:ilvl w:val="0"/>
          <w:numId w:val="35"/>
        </w:numPr>
        <w:spacing w:line="360" w:lineRule="auto"/>
        <w:jc w:val="left"/>
        <w:rPr>
          <w:rFonts w:ascii="宋体" w:hAnsi="宋体" w:cs="宋体"/>
          <w:b/>
          <w:sz w:val="24"/>
        </w:rPr>
      </w:pPr>
      <w:r>
        <w:rPr>
          <w:rFonts w:hint="eastAsia" w:ascii="宋体" w:hAnsi="宋体" w:cs="宋体"/>
          <w:b/>
          <w:sz w:val="24"/>
        </w:rPr>
        <w:t>赎回费</w:t>
      </w:r>
    </w:p>
    <w:p>
      <w:pPr>
        <w:numPr>
          <w:ilvl w:val="0"/>
          <w:numId w:val="0"/>
        </w:num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本理财计划免除赎回费。</w:t>
      </w:r>
    </w:p>
    <w:p>
      <w:pPr>
        <w:numPr>
          <w:ilvl w:val="0"/>
          <w:numId w:val="36"/>
        </w:numPr>
        <w:spacing w:line="360" w:lineRule="auto"/>
        <w:jc w:val="left"/>
        <w:rPr>
          <w:rFonts w:ascii="宋体" w:hAnsi="宋体" w:cs="宋体"/>
          <w:b/>
          <w:sz w:val="24"/>
        </w:rPr>
      </w:pPr>
      <w:r>
        <w:rPr>
          <w:rFonts w:hint="eastAsia" w:ascii="宋体" w:hAnsi="宋体" w:cs="宋体"/>
          <w:b/>
          <w:sz w:val="24"/>
        </w:rPr>
        <w:t>浮动管理费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本理财计划免除浮动管理费。</w:t>
      </w:r>
    </w:p>
    <w:p>
      <w:pPr>
        <w:numPr>
          <w:ilvl w:val="0"/>
          <w:numId w:val="37"/>
        </w:numPr>
        <w:spacing w:line="360" w:lineRule="auto"/>
        <w:jc w:val="left"/>
        <w:rPr>
          <w:rFonts w:ascii="宋体" w:hAnsi="宋体" w:cs="宋体"/>
          <w:b/>
          <w:sz w:val="24"/>
        </w:rPr>
      </w:pPr>
      <w:r>
        <w:rPr>
          <w:rFonts w:hint="eastAsia" w:ascii="宋体" w:hAnsi="宋体" w:cs="宋体"/>
          <w:b/>
          <w:sz w:val="24"/>
        </w:rPr>
        <w:t>其他费用</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除上述费用外，由受托管理资产承担的费用包括但不限于：</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财产管理、运用或处分过程中发生的税费。</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代理机构手续费、管理费、财务顾问费、保管费。</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审计费、律师费、公证费等费用。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管理人自行或委托第三方向本理财计划所投资产所涉及相关主体进行追偿所发生的费用（包括但不限于诉讼费、仲裁费、律师费、保全费等全部费用）。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理财计划的交易费用（包括但不限于交易佣金、相关账户费用等）及投资其他资管产品的费用。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监管规定的其他费用。</w:t>
      </w:r>
    </w:p>
    <w:p>
      <w:pPr>
        <w:spacing w:line="360" w:lineRule="auto"/>
        <w:jc w:val="left"/>
        <w:rPr>
          <w:rFonts w:ascii="宋体" w:hAnsi="宋体" w:cs="宋体"/>
          <w:bCs/>
          <w:sz w:val="24"/>
        </w:rPr>
      </w:pPr>
      <w:r>
        <w:rPr>
          <w:rFonts w:hint="eastAsia" w:ascii="宋体" w:hAnsi="宋体" w:cs="宋体"/>
          <w:bCs/>
          <w:sz w:val="24"/>
        </w:rPr>
        <w:t xml:space="preserve">  </w:t>
      </w:r>
      <w:r>
        <w:rPr>
          <w:rFonts w:hint="eastAsia" w:ascii="宋体" w:hAnsi="宋体" w:cs="宋体"/>
          <w:b/>
          <w:sz w:val="24"/>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9"/>
        </w:numPr>
        <w:spacing w:line="360" w:lineRule="auto"/>
        <w:jc w:val="left"/>
        <w:outlineLvl w:val="2"/>
        <w:rPr>
          <w:rFonts w:ascii="宋体" w:hAnsi="宋体" w:cs="宋体"/>
          <w:b/>
          <w:sz w:val="24"/>
        </w:rPr>
      </w:pPr>
      <w:r>
        <w:rPr>
          <w:rFonts w:hint="eastAsia" w:ascii="宋体" w:hAnsi="宋体" w:cs="宋体"/>
          <w:b/>
          <w:sz w:val="24"/>
        </w:rPr>
        <w:t>税收说明</w:t>
      </w:r>
    </w:p>
    <w:p>
      <w:pPr>
        <w:numPr>
          <w:ilvl w:val="0"/>
          <w:numId w:val="40"/>
        </w:numPr>
        <w:spacing w:line="360" w:lineRule="auto"/>
        <w:jc w:val="left"/>
      </w:pPr>
      <w:r>
        <w:rPr>
          <w:rFonts w:hint="eastAsia" w:ascii="宋体" w:hAnsi="宋体" w:cs="宋体"/>
          <w:bCs/>
          <w:color w:val="000000"/>
          <w:sz w:val="24"/>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0"/>
        </w:numPr>
        <w:spacing w:line="360" w:lineRule="auto"/>
        <w:jc w:val="left"/>
        <w:rPr>
          <w:rFonts w:ascii="宋体" w:hAnsi="宋体" w:cs="宋体"/>
          <w:bCs/>
          <w:color w:val="000000"/>
          <w:sz w:val="24"/>
        </w:rPr>
      </w:pPr>
      <w:r>
        <w:rPr>
          <w:rFonts w:hint="eastAsia" w:ascii="宋体" w:hAnsi="宋体" w:cs="宋体"/>
          <w:bCs/>
          <w:color w:val="000000"/>
          <w:sz w:val="24"/>
        </w:rPr>
        <w:t>除法律法规特别要求外，投资者应缴纳的税收由投资者自行缴纳，理财计划管理人不承担代扣代缴或纳税的义务。</w:t>
      </w:r>
    </w:p>
    <w:p>
      <w:pPr>
        <w:numPr>
          <w:ilvl w:val="0"/>
          <w:numId w:val="40"/>
        </w:numPr>
        <w:spacing w:line="360" w:lineRule="auto"/>
        <w:jc w:val="left"/>
        <w:rPr>
          <w:rFonts w:ascii="宋体" w:hAnsi="宋体" w:cs="宋体"/>
          <w:b/>
          <w:sz w:val="24"/>
        </w:rPr>
      </w:pPr>
      <w:r>
        <w:rPr>
          <w:rFonts w:hint="eastAsia" w:ascii="宋体" w:hAnsi="宋体" w:cs="宋体"/>
          <w:bCs/>
          <w:color w:val="000000"/>
          <w:sz w:val="24"/>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收益计算</w:t>
      </w:r>
    </w:p>
    <w:p>
      <w:pPr>
        <w:numPr>
          <w:ilvl w:val="0"/>
          <w:numId w:val="41"/>
        </w:numPr>
        <w:spacing w:line="360" w:lineRule="auto"/>
        <w:jc w:val="left"/>
        <w:outlineLvl w:val="2"/>
        <w:rPr>
          <w:rFonts w:ascii="宋体" w:hAnsi="宋体" w:cs="宋体"/>
          <w:b/>
          <w:sz w:val="24"/>
        </w:rPr>
      </w:pPr>
      <w:r>
        <w:rPr>
          <w:rFonts w:hint="eastAsia" w:ascii="宋体" w:hAnsi="宋体" w:cs="宋体"/>
          <w:b/>
          <w:sz w:val="24"/>
        </w:rPr>
        <w:t>计算公式</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投资者理财收益＝赎回份额×确认日</w:t>
      </w:r>
      <w:r>
        <w:rPr>
          <w:rFonts w:hint="eastAsia" w:ascii="宋体" w:hAnsi="宋体" w:cs="宋体"/>
          <w:bCs/>
          <w:color w:val="000000"/>
          <w:sz w:val="24"/>
          <w:highlight w:val="none"/>
        </w:rPr>
        <w:t>（提前终止日）</w:t>
      </w:r>
      <w:r>
        <w:rPr>
          <w:rFonts w:hint="eastAsia" w:ascii="宋体" w:hAnsi="宋体" w:cs="宋体"/>
          <w:bCs/>
          <w:color w:val="000000"/>
          <w:sz w:val="24"/>
        </w:rPr>
        <w:t>前一日单位净值+份额持有期间累计分红</w:t>
      </w:r>
      <w:r>
        <w:rPr>
          <w:rFonts w:hint="eastAsia" w:ascii="宋体" w:hAnsi="宋体" w:cs="宋体"/>
          <w:bCs/>
          <w:color w:val="000000"/>
          <w:sz w:val="24"/>
          <w:lang w:eastAsia="zh-CN"/>
        </w:rPr>
        <w:t>（</w:t>
      </w:r>
      <w:r>
        <w:rPr>
          <w:rFonts w:hint="eastAsia" w:ascii="宋体" w:hAnsi="宋体" w:cs="宋体"/>
          <w:bCs/>
          <w:color w:val="000000"/>
          <w:sz w:val="24"/>
          <w:lang w:val="en-US" w:eastAsia="zh-CN"/>
        </w:rPr>
        <w:t>如有</w:t>
      </w:r>
      <w:r>
        <w:rPr>
          <w:rFonts w:hint="eastAsia" w:ascii="宋体" w:hAnsi="宋体" w:cs="宋体"/>
          <w:bCs/>
          <w:color w:val="000000"/>
          <w:sz w:val="24"/>
          <w:lang w:eastAsia="zh-CN"/>
        </w:rPr>
        <w:t>）</w:t>
      </w:r>
      <w:r>
        <w:rPr>
          <w:rFonts w:hint="eastAsia" w:ascii="宋体" w:hAnsi="宋体" w:cs="宋体"/>
          <w:bCs/>
          <w:color w:val="000000"/>
          <w:sz w:val="24"/>
        </w:rPr>
        <w:t>-认购或申购金额</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份额=认购或申购金额/</w:t>
      </w:r>
      <w:r>
        <w:rPr>
          <w:rFonts w:hint="eastAsia" w:ascii="宋体" w:hAnsi="宋体" w:cs="宋体"/>
          <w:bCs/>
          <w:color w:val="000000"/>
          <w:sz w:val="24"/>
          <w:lang w:val="en-US" w:eastAsia="zh-CN"/>
        </w:rPr>
        <w:t>认购</w:t>
      </w:r>
      <w:r>
        <w:rPr>
          <w:rFonts w:hint="eastAsia" w:ascii="宋体" w:hAnsi="宋体" w:cs="宋体"/>
          <w:bCs/>
          <w:color w:val="000000"/>
          <w:sz w:val="24"/>
        </w:rPr>
        <w:t>或确认日前一日的单位净值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确认日</w:t>
      </w:r>
      <w:r>
        <w:rPr>
          <w:rFonts w:hint="eastAsia" w:ascii="宋体" w:hAnsi="宋体" w:cs="宋体"/>
          <w:bCs/>
          <w:color w:val="000000"/>
          <w:sz w:val="24"/>
          <w:highlight w:val="none"/>
        </w:rPr>
        <w:t>（提前终止日）</w:t>
      </w:r>
      <w:r>
        <w:rPr>
          <w:rFonts w:hint="eastAsia" w:ascii="宋体" w:hAnsi="宋体" w:cs="宋体"/>
          <w:bCs/>
          <w:color w:val="000000"/>
          <w:sz w:val="24"/>
        </w:rPr>
        <w:t>前一日单位净值为提取相关费用及税费后的单位理财计划份额净值。</w:t>
      </w:r>
    </w:p>
    <w:p>
      <w:pPr>
        <w:numPr>
          <w:ilvl w:val="0"/>
          <w:numId w:val="41"/>
        </w:numPr>
        <w:spacing w:line="360" w:lineRule="auto"/>
        <w:jc w:val="left"/>
        <w:outlineLvl w:val="2"/>
        <w:rPr>
          <w:rFonts w:ascii="宋体" w:hAnsi="宋体" w:cs="宋体"/>
          <w:b/>
          <w:sz w:val="24"/>
        </w:rPr>
      </w:pPr>
      <w:r>
        <w:rPr>
          <w:rFonts w:hint="eastAsia" w:ascii="宋体" w:hAnsi="宋体" w:cs="宋体"/>
          <w:b/>
          <w:sz w:val="24"/>
        </w:rPr>
        <w:t>示例说明</w:t>
      </w:r>
    </w:p>
    <w:p>
      <w:pPr>
        <w:numPr>
          <w:ilvl w:val="0"/>
          <w:numId w:val="42"/>
        </w:numPr>
        <w:spacing w:line="360" w:lineRule="auto"/>
        <w:jc w:val="left"/>
        <w:rPr>
          <w:rFonts w:ascii="宋体" w:hAnsi="宋体" w:cs="宋体"/>
          <w:b/>
          <w:sz w:val="24"/>
        </w:rPr>
      </w:pPr>
      <w:r>
        <w:rPr>
          <w:rFonts w:hint="eastAsia" w:ascii="宋体" w:hAnsi="宋体" w:cs="宋体"/>
          <w:b/>
          <w:sz w:val="24"/>
        </w:rPr>
        <w:t>示例一</w:t>
      </w:r>
    </w:p>
    <w:p>
      <w:pPr>
        <w:spacing w:line="360" w:lineRule="auto"/>
        <w:ind w:firstLine="482" w:firstLineChars="200"/>
        <w:jc w:val="left"/>
        <w:rPr>
          <w:rFonts w:ascii="宋体" w:hAnsi="宋体" w:cs="宋体"/>
          <w:b/>
          <w:sz w:val="24"/>
        </w:rPr>
      </w:pPr>
      <w:r>
        <w:rPr>
          <w:rFonts w:hint="eastAsia" w:ascii="宋体" w:hAnsi="宋体" w:cs="宋体"/>
          <w:b/>
          <w:color w:val="000000"/>
          <w:sz w:val="24"/>
        </w:rPr>
        <w:t>扣除托管费、固定管理费、销售服务费（如有）后，投资产生盈利。</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w:t>
      </w:r>
      <w:r>
        <w:rPr>
          <w:rFonts w:hint="eastAsia" w:ascii="宋体" w:hAnsi="宋体" w:cs="宋体"/>
          <w:bCs/>
          <w:color w:val="000000"/>
          <w:sz w:val="24"/>
          <w:lang w:val="en-US" w:eastAsia="zh-CN"/>
        </w:rPr>
        <w:t>A份额</w:t>
      </w:r>
      <w:r>
        <w:rPr>
          <w:rFonts w:hint="eastAsia" w:ascii="宋体" w:hAnsi="宋体" w:cs="宋体"/>
          <w:bCs/>
          <w:color w:val="000000"/>
          <w:sz w:val="24"/>
        </w:rPr>
        <w:t>〗为例，假设购买时理财计划净值为1.00</w:t>
      </w:r>
      <w:r>
        <w:rPr>
          <w:rFonts w:hint="eastAsia" w:ascii="宋体" w:hAnsi="宋体" w:cs="宋体"/>
          <w:bCs/>
          <w:color w:val="000000"/>
          <w:sz w:val="24"/>
          <w:lang w:val="en-US" w:eastAsia="zh-CN"/>
        </w:rPr>
        <w:t>0000</w:t>
      </w:r>
      <w:r>
        <w:rPr>
          <w:rFonts w:hint="eastAsia" w:ascii="宋体" w:hAnsi="宋体" w:cs="宋体"/>
          <w:bCs/>
          <w:color w:val="000000"/>
          <w:sz w:val="24"/>
        </w:rPr>
        <w:t>元，折算份额为100,000.00份，假设投资理财计划364天。赎回时扣除托管费、固定管理费、销售服务费后，如理财计划单位净值为1.0426</w:t>
      </w:r>
      <w:r>
        <w:rPr>
          <w:rFonts w:hint="eastAsia" w:ascii="宋体" w:hAnsi="宋体" w:cs="宋体"/>
          <w:bCs/>
          <w:color w:val="000000"/>
          <w:sz w:val="24"/>
          <w:lang w:val="en-US" w:eastAsia="zh-CN"/>
        </w:rPr>
        <w:t>00</w:t>
      </w:r>
      <w:r>
        <w:rPr>
          <w:rFonts w:hint="eastAsia" w:ascii="宋体" w:hAnsi="宋体" w:cs="宋体"/>
          <w:bCs/>
          <w:color w:val="000000"/>
          <w:sz w:val="24"/>
        </w:rPr>
        <w:t>，期间无分红，此时，(1.0426</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-1)×365/364=4.27%，即投资收益达到〖4.27%〗，投资者最终收益为：100,000.00×(1.0426</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）=4,260.00（元）</w:t>
      </w:r>
    </w:p>
    <w:p>
      <w:pPr>
        <w:numPr>
          <w:ilvl w:val="0"/>
          <w:numId w:val="42"/>
        </w:numPr>
        <w:spacing w:line="360" w:lineRule="auto"/>
        <w:jc w:val="left"/>
        <w:rPr>
          <w:rFonts w:ascii="宋体" w:hAnsi="宋体" w:cs="宋体"/>
          <w:b/>
          <w:sz w:val="24"/>
        </w:rPr>
      </w:pPr>
      <w:r>
        <w:rPr>
          <w:rFonts w:hint="eastAsia" w:ascii="宋体" w:hAnsi="宋体" w:cs="宋体"/>
          <w:b/>
          <w:sz w:val="24"/>
        </w:rPr>
        <w:t>示例二</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扣除托管费、固定管理费、销售服务费（如有）后，投资发生亏损。</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为例，假设购买时理财计划净值为1.00</w:t>
      </w:r>
      <w:r>
        <w:rPr>
          <w:rFonts w:hint="eastAsia" w:ascii="宋体" w:hAnsi="宋体" w:cs="宋体"/>
          <w:bCs/>
          <w:color w:val="000000"/>
          <w:sz w:val="24"/>
          <w:lang w:val="en-US" w:eastAsia="zh-CN"/>
        </w:rPr>
        <w:t>0000</w:t>
      </w:r>
      <w:r>
        <w:rPr>
          <w:rFonts w:hint="eastAsia" w:ascii="宋体" w:hAnsi="宋体" w:cs="宋体"/>
          <w:bCs/>
          <w:color w:val="000000"/>
          <w:sz w:val="24"/>
        </w:rPr>
        <w:t>元，折算份额为100,000.00份，假设投资理财计划364天。赎回时扣除托管费、固定管理费、销售服务费后，如理财计划单位净值为0.9975</w:t>
      </w:r>
      <w:r>
        <w:rPr>
          <w:rFonts w:hint="eastAsia" w:ascii="宋体" w:hAnsi="宋体" w:cs="宋体"/>
          <w:bCs/>
          <w:color w:val="000000"/>
          <w:sz w:val="24"/>
          <w:lang w:val="en-US" w:eastAsia="zh-CN"/>
        </w:rPr>
        <w:t>00</w:t>
      </w:r>
      <w:r>
        <w:rPr>
          <w:rFonts w:hint="eastAsia" w:ascii="宋体" w:hAnsi="宋体" w:cs="宋体"/>
          <w:bCs/>
          <w:color w:val="000000"/>
          <w:sz w:val="24"/>
        </w:rPr>
        <w:t>，期间无分红，投资者最终收益为：100,000.00×（0.9975</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）=-250.00（元）。</w:t>
      </w:r>
    </w:p>
    <w:p>
      <w:pPr>
        <w:numPr>
          <w:ilvl w:val="0"/>
          <w:numId w:val="41"/>
        </w:numPr>
        <w:spacing w:line="360" w:lineRule="auto"/>
        <w:jc w:val="left"/>
        <w:outlineLvl w:val="2"/>
        <w:rPr>
          <w:rFonts w:ascii="宋体" w:hAnsi="宋体" w:cs="宋体"/>
          <w:b/>
          <w:sz w:val="24"/>
        </w:rPr>
      </w:pPr>
      <w:r>
        <w:rPr>
          <w:rFonts w:hint="eastAsia" w:ascii="宋体" w:hAnsi="宋体" w:cs="宋体"/>
          <w:b/>
          <w:sz w:val="24"/>
        </w:rPr>
        <w:t>最不利情况分析</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交易规则</w:t>
      </w:r>
    </w:p>
    <w:p>
      <w:pPr>
        <w:numPr>
          <w:ilvl w:val="0"/>
          <w:numId w:val="43"/>
        </w:numPr>
        <w:spacing w:line="360" w:lineRule="auto"/>
        <w:jc w:val="left"/>
        <w:outlineLvl w:val="2"/>
        <w:rPr>
          <w:rFonts w:ascii="宋体" w:hAnsi="宋体" w:cs="宋体"/>
          <w:b/>
          <w:sz w:val="24"/>
        </w:rPr>
      </w:pPr>
      <w:r>
        <w:rPr>
          <w:rFonts w:hint="eastAsia" w:ascii="宋体" w:hAnsi="宋体" w:cs="宋体"/>
          <w:b/>
          <w:sz w:val="24"/>
        </w:rPr>
        <w:t>认购</w:t>
      </w:r>
    </w:p>
    <w:p>
      <w:pPr>
        <w:numPr>
          <w:ilvl w:val="0"/>
          <w:numId w:val="44"/>
        </w:numPr>
        <w:spacing w:line="360" w:lineRule="auto"/>
        <w:jc w:val="left"/>
        <w:rPr>
          <w:rFonts w:ascii="宋体" w:hAnsi="宋体" w:cs="宋体"/>
          <w:bCs/>
          <w:color w:val="000000"/>
          <w:sz w:val="24"/>
        </w:rPr>
      </w:pPr>
      <w:r>
        <w:rPr>
          <w:rFonts w:hint="eastAsia" w:ascii="宋体" w:hAnsi="宋体" w:cs="宋体"/>
          <w:bCs/>
          <w:color w:val="000000"/>
          <w:sz w:val="24"/>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4"/>
        </w:numPr>
        <w:spacing w:line="360" w:lineRule="auto"/>
        <w:jc w:val="left"/>
        <w:rPr>
          <w:rFonts w:ascii="宋体" w:hAnsi="宋体" w:cs="宋体"/>
          <w:bCs/>
          <w:color w:val="000000"/>
          <w:sz w:val="24"/>
        </w:rPr>
      </w:pPr>
      <w:r>
        <w:rPr>
          <w:rFonts w:hint="eastAsia" w:ascii="宋体" w:hAnsi="宋体" w:cs="宋体"/>
          <w:bCs/>
          <w:color w:val="000000"/>
          <w:sz w:val="24"/>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3"/>
        </w:numPr>
        <w:spacing w:line="360" w:lineRule="auto"/>
        <w:jc w:val="left"/>
        <w:outlineLvl w:val="2"/>
        <w:rPr>
          <w:rFonts w:ascii="宋体" w:hAnsi="宋体" w:cs="宋体"/>
          <w:b/>
          <w:sz w:val="24"/>
        </w:rPr>
      </w:pPr>
      <w:r>
        <w:rPr>
          <w:rFonts w:hint="eastAsia" w:ascii="宋体" w:hAnsi="宋体" w:cs="宋体"/>
          <w:b/>
          <w:sz w:val="24"/>
        </w:rPr>
        <w:t>成立</w:t>
      </w:r>
    </w:p>
    <w:p>
      <w:pPr>
        <w:numPr>
          <w:ilvl w:val="0"/>
          <w:numId w:val="45"/>
        </w:numPr>
        <w:spacing w:line="360" w:lineRule="auto"/>
        <w:jc w:val="left"/>
        <w:rPr>
          <w:rFonts w:ascii="宋体" w:hAnsi="宋体" w:cs="宋体"/>
          <w:bCs/>
          <w:color w:val="000000"/>
          <w:sz w:val="24"/>
        </w:rPr>
      </w:pPr>
      <w:r>
        <w:rPr>
          <w:rFonts w:hint="eastAsia" w:ascii="宋体" w:hAnsi="宋体" w:cs="宋体"/>
          <w:bCs/>
          <w:color w:val="000000"/>
          <w:sz w:val="24"/>
        </w:rPr>
        <w:t>销售机构有权以投资者的投资金额为限从投资者理财账户中进行资金扣划，无需投资者另行授权。</w:t>
      </w:r>
    </w:p>
    <w:p>
      <w:pPr>
        <w:numPr>
          <w:ilvl w:val="0"/>
          <w:numId w:val="45"/>
        </w:numPr>
        <w:spacing w:line="360" w:lineRule="auto"/>
        <w:jc w:val="left"/>
        <w:rPr>
          <w:rFonts w:ascii="宋体" w:hAnsi="宋体" w:cs="宋体"/>
          <w:b/>
          <w:sz w:val="24"/>
        </w:rPr>
      </w:pPr>
      <w:r>
        <w:rPr>
          <w:rFonts w:hint="eastAsia" w:ascii="宋体" w:hAnsi="宋体" w:cs="宋体"/>
          <w:bCs/>
          <w:color w:val="000000"/>
          <w:sz w:val="24"/>
        </w:rPr>
        <w:t>管理人将在理财计划成立日对认购期的认购及追加申请进行确认和划款。</w:t>
      </w:r>
    </w:p>
    <w:p>
      <w:pPr>
        <w:numPr>
          <w:ilvl w:val="0"/>
          <w:numId w:val="43"/>
        </w:numPr>
        <w:spacing w:line="360" w:lineRule="auto"/>
        <w:jc w:val="left"/>
        <w:outlineLvl w:val="2"/>
        <w:rPr>
          <w:rFonts w:ascii="宋体" w:hAnsi="宋体" w:cs="宋体"/>
          <w:b/>
          <w:sz w:val="24"/>
        </w:rPr>
      </w:pPr>
      <w:r>
        <w:rPr>
          <w:rFonts w:hint="eastAsia" w:ascii="宋体" w:hAnsi="宋体" w:cs="宋体"/>
          <w:b/>
          <w:sz w:val="24"/>
        </w:rPr>
        <w:t>申购及赎回</w:t>
      </w:r>
    </w:p>
    <w:p>
      <w:pPr>
        <w:numPr>
          <w:ilvl w:val="0"/>
          <w:numId w:val="46"/>
        </w:numPr>
        <w:spacing w:line="360" w:lineRule="auto"/>
        <w:jc w:val="left"/>
        <w:rPr>
          <w:rFonts w:ascii="宋体" w:hAnsi="宋体" w:cs="宋体"/>
          <w:bCs/>
          <w:sz w:val="24"/>
        </w:rPr>
      </w:pPr>
      <w:r>
        <w:rPr>
          <w:rFonts w:hint="eastAsia" w:ascii="宋体" w:hAnsi="宋体" w:cs="宋体"/>
          <w:bCs/>
          <w:sz w:val="24"/>
        </w:rPr>
        <w:t>交易确认及时间</w:t>
      </w:r>
    </w:p>
    <w:p>
      <w:pPr>
        <w:numPr>
          <w:ilvl w:val="0"/>
          <w:numId w:val="47"/>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本理财计划在每个开放期的工作时间可进行申购</w:t>
      </w:r>
      <w:r>
        <w:rPr>
          <w:rFonts w:hint="eastAsia" w:ascii="宋体" w:hAnsi="宋体" w:cs="宋体"/>
          <w:bCs/>
          <w:sz w:val="24"/>
          <w:lang w:val="en-US" w:eastAsia="zh-CN"/>
        </w:rPr>
        <w:t>、赎回和撤单申请</w:t>
      </w:r>
      <w:r>
        <w:rPr>
          <w:rFonts w:hint="eastAsia" w:ascii="宋体" w:hAnsi="宋体" w:cs="宋体"/>
          <w:bCs/>
          <w:sz w:val="24"/>
        </w:rPr>
        <w:t>，申购</w:t>
      </w:r>
      <w:r>
        <w:rPr>
          <w:rFonts w:hint="eastAsia" w:ascii="宋体" w:hAnsi="宋体" w:cs="宋体"/>
          <w:bCs/>
          <w:sz w:val="24"/>
          <w:lang w:val="en-US" w:eastAsia="zh-CN"/>
        </w:rPr>
        <w:t>和赎回</w:t>
      </w:r>
      <w:r>
        <w:rPr>
          <w:rFonts w:hint="eastAsia" w:ascii="宋体" w:hAnsi="宋体" w:cs="宋体"/>
          <w:bCs/>
          <w:sz w:val="24"/>
        </w:rPr>
        <w:t>申请将在确认日进行确认，即开放期后的第〖1〗个交易日进行确认。</w:t>
      </w:r>
    </w:p>
    <w:p>
      <w:pPr>
        <w:numPr>
          <w:ilvl w:val="0"/>
          <w:numId w:val="47"/>
        </w:numPr>
        <w:spacing w:line="360" w:lineRule="auto"/>
        <w:ind w:firstLine="480" w:firstLineChars="200"/>
        <w:jc w:val="left"/>
        <w:rPr>
          <w:rFonts w:ascii="宋体" w:hAnsi="宋体" w:cs="宋体"/>
          <w:bCs/>
          <w:sz w:val="24"/>
        </w:rPr>
      </w:pPr>
      <w:r>
        <w:rPr>
          <w:rFonts w:hint="eastAsia" w:ascii="宋体" w:hAnsi="宋体" w:cs="宋体"/>
          <w:bCs/>
          <w:sz w:val="24"/>
        </w:rPr>
        <w:t>工作时间为每个交易日上午〖9:00〗至下午〖</w:t>
      </w:r>
      <w:r>
        <w:rPr>
          <w:rFonts w:hint="eastAsia" w:ascii="宋体" w:hAnsi="宋体" w:cs="宋体"/>
          <w:bCs/>
          <w:sz w:val="24"/>
          <w:lang w:eastAsia="zh-CN"/>
        </w:rPr>
        <w:t>1</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lang w:val="en-US" w:eastAsia="zh-CN"/>
        </w:rPr>
        <w:t>00</w:t>
      </w:r>
      <w:r>
        <w:rPr>
          <w:rFonts w:hint="eastAsia" w:ascii="宋体" w:hAnsi="宋体" w:cs="宋体"/>
          <w:bCs/>
          <w:sz w:val="24"/>
        </w:rPr>
        <w:t>〗</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具体以销售机构销售要素为准</w:t>
      </w:r>
      <w:r>
        <w:rPr>
          <w:rFonts w:hint="eastAsia" w:ascii="宋体" w:hAnsi="宋体" w:cs="宋体"/>
          <w:bCs/>
          <w:color w:val="auto"/>
          <w:sz w:val="24"/>
          <w:szCs w:val="24"/>
          <w:lang w:eastAsia="zh-CN"/>
        </w:rPr>
        <w:t>）</w:t>
      </w:r>
      <w:r>
        <w:rPr>
          <w:rFonts w:hint="eastAsia" w:ascii="宋体" w:hAnsi="宋体" w:cs="宋体"/>
          <w:bCs/>
          <w:sz w:val="24"/>
        </w:rPr>
        <w:t>。</w:t>
      </w:r>
    </w:p>
    <w:p>
      <w:pPr>
        <w:numPr>
          <w:ilvl w:val="0"/>
          <w:numId w:val="47"/>
        </w:numPr>
        <w:spacing w:line="360" w:lineRule="auto"/>
        <w:ind w:firstLine="480" w:firstLineChars="200"/>
        <w:jc w:val="left"/>
        <w:rPr>
          <w:rFonts w:hint="eastAsia" w:ascii="宋体" w:hAnsi="宋体" w:cs="宋体"/>
          <w:bCs/>
          <w:sz w:val="24"/>
        </w:rPr>
      </w:pPr>
      <w:r>
        <w:rPr>
          <w:rFonts w:hint="eastAsia" w:ascii="宋体" w:hAnsi="宋体" w:cs="宋体"/>
          <w:bCs/>
          <w:color w:val="auto"/>
          <w:sz w:val="24"/>
          <w:szCs w:val="24"/>
        </w:rPr>
        <w:t>在开放期</w:t>
      </w:r>
      <w:r>
        <w:rPr>
          <w:rFonts w:hint="eastAsia" w:ascii="宋体" w:hAnsi="宋体" w:cs="宋体"/>
          <w:bCs/>
          <w:color w:val="auto"/>
          <w:sz w:val="24"/>
          <w:szCs w:val="24"/>
          <w:lang w:val="en-US" w:eastAsia="zh-CN"/>
        </w:rPr>
        <w:t>的</w:t>
      </w:r>
      <w:r>
        <w:rPr>
          <w:rFonts w:hint="eastAsia" w:ascii="宋体" w:hAnsi="宋体" w:cs="宋体"/>
          <w:bCs/>
          <w:color w:val="auto"/>
          <w:sz w:val="24"/>
          <w:szCs w:val="24"/>
        </w:rPr>
        <w:t>工作时间内提交的申购/赎回申请，将作为当日申请处理；在开放期</w:t>
      </w:r>
      <w:r>
        <w:rPr>
          <w:rFonts w:hint="eastAsia" w:ascii="宋体" w:hAnsi="宋体" w:cs="宋体"/>
          <w:bCs/>
          <w:color w:val="auto"/>
          <w:sz w:val="24"/>
          <w:szCs w:val="24"/>
          <w:lang w:val="en-US" w:eastAsia="zh-CN"/>
        </w:rPr>
        <w:t>的</w:t>
      </w:r>
      <w:r>
        <w:rPr>
          <w:rFonts w:hint="eastAsia" w:ascii="宋体" w:hAnsi="宋体" w:cs="宋体"/>
          <w:bCs/>
          <w:color w:val="auto"/>
          <w:sz w:val="24"/>
          <w:szCs w:val="24"/>
        </w:rPr>
        <w:t>工作时间结束后及非开放期提交的申购/赎回申请，将作为下一开放期的申请处理。</w:t>
      </w:r>
    </w:p>
    <w:p>
      <w:pPr>
        <w:numPr>
          <w:ilvl w:val="0"/>
          <w:numId w:val="47"/>
        </w:numPr>
        <w:spacing w:line="360" w:lineRule="auto"/>
        <w:ind w:firstLine="480" w:firstLineChars="200"/>
        <w:jc w:val="left"/>
        <w:rPr>
          <w:rFonts w:ascii="宋体" w:hAnsi="宋体" w:cs="宋体"/>
          <w:bCs/>
          <w:sz w:val="24"/>
        </w:rPr>
      </w:pPr>
      <w:r>
        <w:rPr>
          <w:rFonts w:hint="eastAsia" w:ascii="宋体" w:hAnsi="宋体" w:cs="宋体"/>
          <w:bCs/>
          <w:sz w:val="24"/>
        </w:rPr>
        <w:t>如</w:t>
      </w:r>
      <w:r>
        <w:rPr>
          <w:rFonts w:hint="eastAsia" w:ascii="宋体" w:hAnsi="宋体" w:cs="宋体"/>
          <w:bCs/>
          <w:color w:val="000000"/>
          <w:sz w:val="24"/>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6"/>
        </w:numPr>
        <w:spacing w:line="360" w:lineRule="auto"/>
        <w:jc w:val="left"/>
        <w:rPr>
          <w:rFonts w:ascii="宋体" w:hAnsi="宋体" w:cs="宋体"/>
          <w:bCs/>
          <w:sz w:val="24"/>
        </w:rPr>
      </w:pPr>
      <w:r>
        <w:rPr>
          <w:rFonts w:hint="eastAsia" w:ascii="宋体" w:hAnsi="宋体" w:cs="宋体"/>
          <w:bCs/>
          <w:sz w:val="24"/>
        </w:rPr>
        <w:t>到账时间</w:t>
      </w:r>
    </w:p>
    <w:p>
      <w:pPr>
        <w:spacing w:line="360" w:lineRule="auto"/>
        <w:ind w:firstLine="480" w:firstLineChars="200"/>
        <w:jc w:val="left"/>
        <w:rPr>
          <w:rFonts w:hint="eastAsia" w:ascii="宋体" w:hAnsi="宋体" w:cs="宋体"/>
          <w:bCs/>
          <w:sz w:val="24"/>
        </w:rPr>
      </w:pPr>
      <w:r>
        <w:rPr>
          <w:rFonts w:hint="eastAsia" w:ascii="宋体" w:hAnsi="宋体" w:cs="宋体"/>
          <w:bCs/>
          <w:sz w:val="24"/>
        </w:rPr>
        <w:t>赎回资金确认后，</w:t>
      </w:r>
      <w:r>
        <w:rPr>
          <w:rFonts w:hint="eastAsia" w:ascii="宋体" w:hAnsi="宋体" w:cs="宋体"/>
          <w:bCs/>
          <w:color w:val="auto"/>
          <w:sz w:val="24"/>
          <w:szCs w:val="24"/>
        </w:rPr>
        <w:t>最快</w:t>
      </w:r>
      <w:r>
        <w:rPr>
          <w:rFonts w:hint="eastAsia" w:ascii="宋体" w:hAnsi="宋体" w:cs="宋体"/>
          <w:bCs/>
          <w:color w:val="auto"/>
          <w:sz w:val="24"/>
          <w:szCs w:val="24"/>
          <w:lang w:val="en-US" w:eastAsia="zh-CN"/>
        </w:rPr>
        <w:t>于确认日当日</w:t>
      </w:r>
      <w:r>
        <w:rPr>
          <w:rFonts w:hint="eastAsia" w:ascii="宋体" w:hAnsi="宋体" w:cs="宋体"/>
          <w:bCs/>
          <w:color w:val="auto"/>
          <w:sz w:val="24"/>
          <w:szCs w:val="24"/>
        </w:rPr>
        <w:t>，最晚</w:t>
      </w:r>
      <w:r>
        <w:rPr>
          <w:rFonts w:hint="eastAsia" w:ascii="宋体" w:hAnsi="宋体" w:cs="宋体"/>
          <w:bCs/>
          <w:color w:val="auto"/>
          <w:sz w:val="24"/>
          <w:szCs w:val="24"/>
          <w:lang w:val="en-US" w:eastAsia="zh-CN"/>
        </w:rPr>
        <w:t>于确认日后</w:t>
      </w:r>
      <w:r>
        <w:rPr>
          <w:rFonts w:hint="eastAsia" w:ascii="宋体" w:hAnsi="宋体" w:cs="宋体"/>
          <w:bCs/>
          <w:sz w:val="24"/>
          <w:szCs w:val="24"/>
        </w:rPr>
        <w:t>〖</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color w:val="auto"/>
          <w:sz w:val="24"/>
          <w:szCs w:val="24"/>
        </w:rPr>
        <w:t>个交易日内</w:t>
      </w:r>
      <w:r>
        <w:rPr>
          <w:rFonts w:hint="eastAsia" w:ascii="宋体" w:hAnsi="宋体" w:cs="宋体"/>
          <w:bCs/>
          <w:sz w:val="24"/>
        </w:rPr>
        <w:t>（遇节假日顺延）理财资金与收益将一次性支付。如遇资金在途或法定工作日调整，实际资金到账日以公告为准。</w:t>
      </w:r>
      <w:r>
        <w:rPr>
          <w:rFonts w:hint="eastAsia" w:ascii="宋体" w:hAnsi="宋体" w:cs="宋体"/>
          <w:color w:val="000000"/>
          <w:kern w:val="0"/>
          <w:sz w:val="24"/>
          <w:szCs w:val="24"/>
        </w:rPr>
        <w:t>（具体以销售机构规定为准）</w:t>
      </w:r>
    </w:p>
    <w:p>
      <w:pPr>
        <w:numPr>
          <w:ilvl w:val="0"/>
          <w:numId w:val="46"/>
        </w:numPr>
        <w:spacing w:line="360" w:lineRule="auto"/>
        <w:jc w:val="left"/>
        <w:rPr>
          <w:rFonts w:ascii="宋体" w:hAnsi="宋体" w:cs="宋体"/>
          <w:bCs/>
          <w:sz w:val="24"/>
        </w:rPr>
      </w:pPr>
      <w:r>
        <w:rPr>
          <w:rFonts w:hint="eastAsia" w:ascii="宋体" w:hAnsi="宋体" w:cs="宋体"/>
          <w:bCs/>
          <w:sz w:val="24"/>
        </w:rPr>
        <w:t>巨额赎回处理</w:t>
      </w:r>
    </w:p>
    <w:p>
      <w:pPr>
        <w:numPr>
          <w:ilvl w:val="0"/>
          <w:numId w:val="48"/>
        </w:numPr>
        <w:spacing w:line="360" w:lineRule="auto"/>
        <w:ind w:firstLine="480" w:firstLineChars="200"/>
        <w:jc w:val="left"/>
        <w:rPr>
          <w:rFonts w:hint="eastAsia" w:ascii="宋体" w:hAnsi="宋体" w:cs="宋体"/>
          <w:bCs/>
          <w:sz w:val="24"/>
        </w:rPr>
      </w:pPr>
      <w:r>
        <w:rPr>
          <w:rFonts w:hint="eastAsia" w:ascii="宋体" w:hAnsi="宋体" w:cs="宋体"/>
          <w:bCs/>
          <w:sz w:val="24"/>
        </w:rPr>
        <w:t>巨额赎回认定</w:t>
      </w:r>
    </w:p>
    <w:p>
      <w:pPr>
        <w:spacing w:line="360" w:lineRule="auto"/>
        <w:ind w:firstLine="480" w:firstLineChars="200"/>
        <w:jc w:val="left"/>
        <w:rPr>
          <w:rFonts w:ascii="宋体" w:hAnsi="宋体" w:cs="宋体"/>
          <w:bCs/>
          <w:sz w:val="24"/>
        </w:rPr>
      </w:pPr>
      <w:r>
        <w:rPr>
          <w:rFonts w:hint="eastAsia" w:ascii="宋体" w:hAnsi="宋体" w:cs="宋体"/>
          <w:bCs/>
          <w:sz w:val="24"/>
        </w:rPr>
        <w:t>理财计划存续期内，若理财计划开放日净赎回申请份额超过上一日日终理财计划总份额〖10%〗时，即构成巨额赎回。</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巨额赎回处理</w:t>
      </w:r>
    </w:p>
    <w:p>
      <w:pPr>
        <w:spacing w:line="360" w:lineRule="auto"/>
        <w:ind w:firstLine="480" w:firstLineChars="200"/>
        <w:jc w:val="left"/>
        <w:rPr>
          <w:rFonts w:ascii="宋体" w:hAnsi="宋体" w:cs="宋体"/>
          <w:bCs/>
          <w:sz w:val="24"/>
        </w:rPr>
      </w:pPr>
      <w:r>
        <w:rPr>
          <w:rFonts w:hint="eastAsia" w:ascii="宋体" w:hAnsi="宋体" w:cs="宋体"/>
          <w:bCs/>
          <w:sz w:val="24"/>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全部赎回</w:t>
      </w:r>
    </w:p>
    <w:p>
      <w:pPr>
        <w:spacing w:line="360" w:lineRule="auto"/>
        <w:ind w:firstLine="480" w:firstLineChars="200"/>
        <w:jc w:val="left"/>
        <w:rPr>
          <w:rFonts w:ascii="宋体" w:hAnsi="宋体" w:cs="宋体"/>
          <w:bCs/>
          <w:sz w:val="24"/>
        </w:rPr>
      </w:pPr>
      <w:r>
        <w:rPr>
          <w:rFonts w:hint="eastAsia" w:ascii="宋体" w:hAnsi="宋体" w:cs="宋体"/>
          <w:bCs/>
          <w:sz w:val="24"/>
        </w:rPr>
        <w:t>当管理人认为全额兑付投资者的赎回申请将不会对本理财计划净值造成较大波动或给本理财计划造成重大损失时，按正常赎回程序执行。</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拒绝超出部分的赎回申请</w:t>
      </w:r>
    </w:p>
    <w:p>
      <w:pPr>
        <w:spacing w:line="360" w:lineRule="auto"/>
        <w:ind w:firstLine="480" w:firstLineChars="200"/>
        <w:jc w:val="left"/>
        <w:rPr>
          <w:rFonts w:ascii="宋体" w:hAnsi="宋体" w:cs="宋体"/>
          <w:bCs/>
          <w:sz w:val="24"/>
        </w:rPr>
      </w:pPr>
      <w:r>
        <w:rPr>
          <w:rFonts w:hint="eastAsia" w:ascii="宋体" w:hAnsi="宋体" w:cs="宋体"/>
          <w:bCs/>
          <w:sz w:val="24"/>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8"/>
        </w:numPr>
        <w:spacing w:line="360" w:lineRule="auto"/>
        <w:ind w:firstLine="480" w:firstLineChars="200"/>
        <w:jc w:val="left"/>
        <w:rPr>
          <w:rFonts w:hint="eastAsia" w:ascii="宋体" w:hAnsi="宋体" w:cs="宋体"/>
          <w:bCs/>
          <w:sz w:val="24"/>
        </w:rPr>
      </w:pPr>
      <w:r>
        <w:rPr>
          <w:rFonts w:hint="eastAsia" w:ascii="宋体" w:hAnsi="宋体" w:cs="宋体"/>
          <w:bCs/>
          <w:sz w:val="24"/>
        </w:rPr>
        <w:t>在理财计划存续期内，管理人有权根据市场情况调整巨额赎回金额比例，并及时进行对外公告。</w:t>
      </w:r>
    </w:p>
    <w:p>
      <w:pPr>
        <w:numPr>
          <w:ilvl w:val="0"/>
          <w:numId w:val="46"/>
        </w:numPr>
        <w:spacing w:line="360" w:lineRule="auto"/>
        <w:jc w:val="left"/>
        <w:rPr>
          <w:rFonts w:hint="eastAsia" w:ascii="宋体" w:hAnsi="宋体" w:cs="宋体"/>
          <w:bCs/>
          <w:sz w:val="24"/>
        </w:rPr>
      </w:pPr>
      <w:r>
        <w:rPr>
          <w:rFonts w:hint="eastAsia" w:ascii="宋体" w:hAnsi="宋体" w:cs="宋体"/>
          <w:bCs/>
          <w:sz w:val="24"/>
        </w:rPr>
        <w:t>暂停申购、赎回及延期支付赎回的情形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发生以下情形，管理人可暂停接受全部或部分投资者的申购申请：</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理财计划资产规模过大，继续接受申购可能对理财计划业绩产生负面影响，从而损害现有份额持有人利益的情形时。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当管理人认为某笔申购申请会有损于其他份额持有人利益的情形时。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发生产品说明书约定的暂停估值的情形时。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法律法规规定或监管机构认定的其他情形。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发生以下情形，对超出前一日终理财产品总份额10%的赎回申请，管理人可暂停接受全部或部分、延期办理投资者的赎回申请：</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理财计划发生巨额赎回情形时。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当继续</w:t>
      </w:r>
      <w:r>
        <w:rPr>
          <w:rFonts w:ascii="宋体" w:hAnsi="宋体" w:cs="宋体"/>
          <w:bCs/>
          <w:sz w:val="24"/>
        </w:rPr>
        <w:t>接受赎回申请将损害存量投资者利益的情形</w:t>
      </w:r>
      <w:r>
        <w:rPr>
          <w:rFonts w:hint="eastAsia" w:ascii="宋体" w:hAnsi="宋体" w:cs="宋体"/>
          <w:bCs/>
          <w:sz w:val="24"/>
        </w:rPr>
        <w:t>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当</w:t>
      </w:r>
      <w:r>
        <w:rPr>
          <w:rFonts w:ascii="宋体" w:hAnsi="宋体" w:cs="宋体"/>
          <w:bCs/>
          <w:sz w:val="24"/>
        </w:rPr>
        <w:t>前一估值日</w:t>
      </w:r>
      <w:r>
        <w:rPr>
          <w:rFonts w:hint="eastAsia" w:ascii="宋体" w:hAnsi="宋体" w:cs="宋体"/>
          <w:bCs/>
          <w:sz w:val="24"/>
        </w:rPr>
        <w:t>理财计划</w:t>
      </w:r>
      <w:r>
        <w:rPr>
          <w:rFonts w:ascii="宋体" w:hAnsi="宋体" w:cs="宋体"/>
          <w:bCs/>
          <w:sz w:val="24"/>
        </w:rPr>
        <w:t>资产净值50%以上的资产不具备活跃交易市场或者在活跃市场中无报价，且不能采用估值技术可靠计量公允价值</w:t>
      </w:r>
      <w:r>
        <w:rPr>
          <w:rFonts w:hint="eastAsia" w:ascii="宋体" w:hAnsi="宋体" w:cs="宋体"/>
          <w:bCs/>
          <w:sz w:val="24"/>
        </w:rPr>
        <w:t>的情形</w:t>
      </w:r>
      <w:r>
        <w:rPr>
          <w:rFonts w:ascii="宋体" w:hAnsi="宋体" w:cs="宋体"/>
          <w:bCs/>
          <w:sz w:val="24"/>
        </w:rPr>
        <w:t>时</w:t>
      </w:r>
      <w:r>
        <w:rPr>
          <w:rFonts w:hint="eastAsia" w:ascii="宋体" w:hAnsi="宋体" w:cs="宋体"/>
          <w:bCs/>
          <w:sz w:val="24"/>
        </w:rPr>
        <w:t>。</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发生产品说明书约定的暂停估值的情形时。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法律法规规定或监管机构认定的其他情形。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发生以下情形，管理人对已接受的赎回申请，可延期支付赎回款项：</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因不可抗力等原因，导致管理人接受赎回申请后无法及时兑付的情形时。</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连续</w:t>
      </w:r>
      <w:r>
        <w:rPr>
          <w:rFonts w:ascii="宋体" w:hAnsi="宋体" w:cs="宋体"/>
          <w:bCs/>
          <w:sz w:val="24"/>
        </w:rPr>
        <w:t>2</w:t>
      </w:r>
      <w:r>
        <w:rPr>
          <w:rFonts w:hint="eastAsia" w:ascii="宋体" w:hAnsi="宋体" w:cs="宋体"/>
          <w:bCs/>
          <w:sz w:val="24"/>
        </w:rPr>
        <w:t>日</w:t>
      </w:r>
      <w:r>
        <w:rPr>
          <w:rFonts w:ascii="宋体" w:hAnsi="宋体" w:cs="宋体"/>
          <w:bCs/>
          <w:sz w:val="24"/>
        </w:rPr>
        <w:t>（含）以上开放日发生巨额赎回的</w:t>
      </w:r>
      <w:r>
        <w:rPr>
          <w:rFonts w:hint="eastAsia" w:ascii="宋体" w:hAnsi="宋体" w:cs="宋体"/>
          <w:bCs/>
          <w:sz w:val="24"/>
        </w:rPr>
        <w:t>情形时。</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当前</w:t>
      </w:r>
      <w:r>
        <w:rPr>
          <w:rFonts w:ascii="宋体" w:hAnsi="宋体" w:cs="宋体"/>
          <w:bCs/>
          <w:sz w:val="24"/>
        </w:rPr>
        <w:t>一估值日</w:t>
      </w:r>
      <w:r>
        <w:rPr>
          <w:rFonts w:hint="eastAsia" w:ascii="宋体" w:hAnsi="宋体" w:cs="宋体"/>
          <w:bCs/>
          <w:sz w:val="24"/>
        </w:rPr>
        <w:t>理财计划</w:t>
      </w:r>
      <w:r>
        <w:rPr>
          <w:rFonts w:ascii="宋体" w:hAnsi="宋体" w:cs="宋体"/>
          <w:bCs/>
          <w:sz w:val="24"/>
        </w:rPr>
        <w:t>资产净值50%以上的资产不具备活跃交易市场或者在活跃市场中无报价，且不能采用估值技术可靠计量公允价值</w:t>
      </w:r>
      <w:r>
        <w:rPr>
          <w:rFonts w:hint="eastAsia" w:ascii="宋体" w:hAnsi="宋体" w:cs="宋体"/>
          <w:bCs/>
          <w:sz w:val="24"/>
        </w:rPr>
        <w:t>的情形</w:t>
      </w:r>
      <w:r>
        <w:rPr>
          <w:rFonts w:ascii="宋体" w:hAnsi="宋体" w:cs="宋体"/>
          <w:bCs/>
          <w:sz w:val="24"/>
        </w:rPr>
        <w:t>时</w:t>
      </w:r>
      <w:r>
        <w:rPr>
          <w:rFonts w:hint="eastAsia" w:ascii="宋体" w:hAnsi="宋体" w:cs="宋体"/>
          <w:bCs/>
          <w:sz w:val="24"/>
        </w:rPr>
        <w:t>。</w:t>
      </w:r>
    </w:p>
    <w:p>
      <w:pPr>
        <w:numPr>
          <w:ilvl w:val="0"/>
          <w:numId w:val="51"/>
        </w:numPr>
        <w:spacing w:line="360" w:lineRule="auto"/>
        <w:ind w:firstLine="480" w:firstLineChars="200"/>
        <w:jc w:val="left"/>
        <w:rPr>
          <w:rFonts w:hint="eastAsia" w:ascii="宋体" w:hAnsi="Wingdings" w:cs="宋体"/>
          <w:b/>
          <w:color w:val="000000"/>
          <w:kern w:val="0"/>
          <w:sz w:val="24"/>
        </w:rPr>
      </w:pPr>
      <w:r>
        <w:rPr>
          <w:rFonts w:hint="eastAsia" w:ascii="宋体" w:hAnsi="宋体" w:cs="宋体"/>
          <w:bCs/>
          <w:sz w:val="24"/>
        </w:rPr>
        <w:t>法律法规规定或监管机构认定的其他情形。</w:t>
      </w:r>
    </w:p>
    <w:p>
      <w:pPr>
        <w:numPr>
          <w:ilvl w:val="0"/>
          <w:numId w:val="43"/>
        </w:numPr>
        <w:spacing w:line="360" w:lineRule="auto"/>
        <w:jc w:val="left"/>
        <w:outlineLvl w:val="2"/>
        <w:rPr>
          <w:rFonts w:ascii="宋体" w:hAnsi="宋体" w:cs="宋体"/>
          <w:b/>
          <w:sz w:val="24"/>
        </w:rPr>
      </w:pPr>
      <w:r>
        <w:rPr>
          <w:rFonts w:hint="eastAsia" w:ascii="宋体" w:hAnsi="宋体" w:cs="宋体"/>
          <w:b/>
          <w:sz w:val="24"/>
        </w:rPr>
        <w:t>到期清算</w:t>
      </w:r>
    </w:p>
    <w:p>
      <w:pPr>
        <w:spacing w:line="360" w:lineRule="auto"/>
        <w:ind w:firstLine="480" w:firstLineChars="200"/>
        <w:jc w:val="left"/>
        <w:rPr>
          <w:rFonts w:ascii="宋体" w:hAnsi="宋体" w:cs="宋体"/>
          <w:bCs/>
          <w:sz w:val="24"/>
        </w:rPr>
      </w:pPr>
      <w:r>
        <w:rPr>
          <w:rFonts w:hint="eastAsia" w:ascii="宋体" w:hAnsi="宋体" w:cs="宋体"/>
          <w:bCs/>
          <w:sz w:val="24"/>
        </w:rPr>
        <w:t>正常到期清算：本理财计划终止后，管理人将按照清算后的资产净值按持有份额比例对投资者进行分配，并通过销售机构最快</w:t>
      </w:r>
      <w:r>
        <w:rPr>
          <w:rFonts w:hint="eastAsia" w:ascii="宋体" w:hAnsi="宋体" w:cs="宋体"/>
          <w:bCs/>
          <w:sz w:val="24"/>
          <w:lang w:val="en-US" w:eastAsia="zh-CN"/>
        </w:rPr>
        <w:t>于到期日当</w:t>
      </w:r>
      <w:r>
        <w:rPr>
          <w:rFonts w:hint="eastAsia" w:ascii="宋体" w:hAnsi="宋体" w:cs="宋体"/>
          <w:bCs/>
          <w:sz w:val="24"/>
        </w:rPr>
        <w:t>日、最晚</w:t>
      </w:r>
      <w:r>
        <w:rPr>
          <w:rFonts w:hint="eastAsia" w:ascii="宋体" w:hAnsi="宋体" w:cs="宋体"/>
          <w:bCs/>
          <w:sz w:val="24"/>
          <w:lang w:val="en-US" w:eastAsia="zh-CN"/>
        </w:rPr>
        <w:t>于到期日</w:t>
      </w: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〗个交易日内（遇节假日顺延）将资金按规定的要求划入投资者授权指定的理财账户。</w:t>
      </w:r>
      <w:r>
        <w:rPr>
          <w:rFonts w:hint="eastAsia" w:ascii="宋体" w:hAnsi="宋体" w:cs="宋体"/>
          <w:color w:val="000000"/>
          <w:kern w:val="0"/>
          <w:sz w:val="24"/>
          <w:szCs w:val="24"/>
        </w:rPr>
        <w:t>（具体以销售机构规定为准）</w:t>
      </w:r>
    </w:p>
    <w:p>
      <w:pPr>
        <w:numPr>
          <w:ilvl w:val="0"/>
          <w:numId w:val="43"/>
        </w:numPr>
        <w:spacing w:line="360" w:lineRule="auto"/>
        <w:jc w:val="left"/>
        <w:outlineLvl w:val="2"/>
        <w:rPr>
          <w:rFonts w:ascii="宋体" w:hAnsi="宋体" w:cs="宋体"/>
          <w:b/>
          <w:sz w:val="24"/>
        </w:rPr>
      </w:pPr>
      <w:r>
        <w:rPr>
          <w:rFonts w:hint="eastAsia" w:ascii="宋体" w:hAnsi="宋体" w:cs="宋体"/>
          <w:b/>
          <w:sz w:val="24"/>
        </w:rPr>
        <w:t>提前终止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在理财计划期限内，管理人根据投资情况有提前终止权，于本理财计划提前终止日前</w:t>
      </w:r>
      <w:r>
        <w:rPr>
          <w:rFonts w:hint="eastAsia" w:ascii="宋体" w:hAnsi="宋体" w:cs="宋体"/>
          <w:sz w:val="24"/>
        </w:rPr>
        <w:t>〖</w:t>
      </w:r>
      <w:r>
        <w:rPr>
          <w:rFonts w:hint="eastAsia" w:ascii="宋体" w:hAnsi="宋体" w:cs="宋体"/>
          <w:bCs/>
          <w:sz w:val="24"/>
        </w:rPr>
        <w:t>2</w:t>
      </w:r>
      <w:r>
        <w:rPr>
          <w:rFonts w:hint="eastAsia" w:ascii="宋体" w:hAnsi="宋体" w:cs="宋体"/>
          <w:bCs/>
          <w:color w:val="000000"/>
          <w:sz w:val="24"/>
        </w:rPr>
        <w:t>〗</w:t>
      </w:r>
      <w:r>
        <w:rPr>
          <w:rFonts w:hint="eastAsia" w:ascii="宋体" w:hAnsi="宋体" w:cs="宋体"/>
          <w:bCs/>
          <w:sz w:val="24"/>
        </w:rPr>
        <w:t>个工作日通过管理人或销售机构发布提前终止公告，并于终止日后</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bCs/>
          <w:color w:val="000000"/>
          <w:sz w:val="24"/>
        </w:rPr>
        <w:t>〗</w:t>
      </w:r>
      <w:r>
        <w:rPr>
          <w:rFonts w:hint="eastAsia" w:ascii="宋体" w:hAnsi="宋体" w:cs="宋体"/>
          <w:bCs/>
          <w:sz w:val="24"/>
        </w:rPr>
        <w:t>个</w:t>
      </w:r>
      <w:r>
        <w:rPr>
          <w:rFonts w:hint="eastAsia" w:ascii="宋体" w:hAnsi="宋体" w:cs="宋体"/>
          <w:bCs/>
          <w:sz w:val="24"/>
          <w:lang w:val="en-US" w:eastAsia="zh-CN"/>
        </w:rPr>
        <w:t>交易</w:t>
      </w:r>
      <w:r>
        <w:rPr>
          <w:rFonts w:hint="eastAsia" w:ascii="宋体" w:hAnsi="宋体" w:cs="宋体"/>
          <w:bCs/>
          <w:sz w:val="24"/>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rPr>
      </w:pPr>
      <w:r>
        <w:rPr>
          <w:rFonts w:hint="eastAsia" w:ascii="宋体" w:hAnsi="宋体" w:cs="宋体"/>
          <w:b/>
          <w:sz w:val="24"/>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w:t>
      </w:r>
      <w:r>
        <w:rPr>
          <w:rFonts w:hint="eastAsia" w:ascii="宋体" w:hAnsi="宋体" w:cs="宋体"/>
          <w:b/>
          <w:sz w:val="24"/>
        </w:rPr>
        <w:t>终止权：</w:t>
      </w:r>
    </w:p>
    <w:p>
      <w:pPr>
        <w:numPr>
          <w:ilvl w:val="0"/>
          <w:numId w:val="52"/>
        </w:numPr>
        <w:spacing w:line="360" w:lineRule="auto"/>
        <w:jc w:val="left"/>
        <w:rPr>
          <w:rFonts w:ascii="宋体" w:hAnsi="宋体" w:cs="宋体"/>
          <w:b/>
          <w:sz w:val="24"/>
        </w:rPr>
      </w:pPr>
      <w:r>
        <w:rPr>
          <w:rFonts w:hint="eastAsia" w:ascii="宋体" w:hAnsi="宋体" w:cs="宋体"/>
          <w:b/>
          <w:sz w:val="24"/>
        </w:rPr>
        <w:t>如因本理财计划资产运作模式等与法律法规、规章的规定或者监管部门的要求等存在冲突导致理财计划必须提前终止的。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国家有关法律、法规、规章、政策的改变、紧急措施的出台、理财市场环境发生重大变化等导致理财计划必须提前终止的。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因不可抗力因素导致本理财计划必须提前终止的。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理财计划的投资策略已不适合当前的市场环境的。</w:t>
      </w:r>
    </w:p>
    <w:p>
      <w:pPr>
        <w:numPr>
          <w:ilvl w:val="0"/>
          <w:numId w:val="52"/>
        </w:numPr>
        <w:spacing w:line="360" w:lineRule="auto"/>
        <w:jc w:val="left"/>
        <w:rPr>
          <w:rFonts w:ascii="宋体" w:hAnsi="宋体" w:cs="宋体"/>
          <w:b/>
          <w:sz w:val="24"/>
        </w:rPr>
      </w:pPr>
      <w:r>
        <w:rPr>
          <w:rFonts w:hint="eastAsia" w:ascii="宋体" w:hAnsi="宋体" w:cs="宋体"/>
          <w:b/>
          <w:sz w:val="24"/>
        </w:rPr>
        <w:t>市场收益率大幅波动，可能或实质影响理财计划投资收益的。</w:t>
      </w:r>
    </w:p>
    <w:p>
      <w:pPr>
        <w:numPr>
          <w:ilvl w:val="0"/>
          <w:numId w:val="52"/>
        </w:numPr>
        <w:spacing w:line="360" w:lineRule="auto"/>
        <w:ind w:leftChars="0" w:firstLine="400" w:firstLineChars="0"/>
        <w:jc w:val="left"/>
        <w:rPr>
          <w:rFonts w:ascii="宋体" w:hAnsi="宋体" w:cs="宋体"/>
          <w:b/>
          <w:sz w:val="24"/>
        </w:rPr>
      </w:pPr>
      <w:r>
        <w:rPr>
          <w:rFonts w:hint="eastAsia" w:ascii="宋体" w:hAnsi="宋体" w:cs="宋体"/>
          <w:b/>
          <w:sz w:val="24"/>
          <w:highlight w:val="none"/>
          <w:lang w:eastAsia="zh-CN"/>
        </w:rPr>
        <w:t>融资人行使提前到期或还款权利的。</w:t>
      </w:r>
    </w:p>
    <w:p>
      <w:pPr>
        <w:numPr>
          <w:ilvl w:val="0"/>
          <w:numId w:val="52"/>
        </w:numPr>
        <w:spacing w:line="360" w:lineRule="auto"/>
        <w:jc w:val="left"/>
        <w:rPr>
          <w:rFonts w:ascii="宋体" w:hAnsi="宋体" w:cs="宋体"/>
          <w:b/>
          <w:sz w:val="24"/>
        </w:rPr>
      </w:pPr>
      <w:r>
        <w:rPr>
          <w:rFonts w:hint="eastAsia" w:ascii="宋体" w:hAnsi="宋体" w:cs="宋体"/>
          <w:b/>
          <w:sz w:val="24"/>
        </w:rPr>
        <w:t>管理人认为应该提前终止的其他情形。</w:t>
      </w:r>
    </w:p>
    <w:p>
      <w:pPr>
        <w:numPr>
          <w:ilvl w:val="0"/>
          <w:numId w:val="43"/>
        </w:numPr>
        <w:spacing w:line="360" w:lineRule="auto"/>
        <w:jc w:val="left"/>
        <w:outlineLvl w:val="2"/>
        <w:rPr>
          <w:rFonts w:hint="eastAsia" w:ascii="宋体" w:hAnsi="宋体" w:cs="宋体"/>
          <w:b/>
          <w:sz w:val="24"/>
        </w:rPr>
      </w:pPr>
      <w:r>
        <w:rPr>
          <w:rFonts w:hint="eastAsia" w:ascii="宋体" w:hAnsi="宋体" w:cs="宋体"/>
          <w:b/>
          <w:sz w:val="24"/>
        </w:rPr>
        <w:t>延期</w:t>
      </w:r>
    </w:p>
    <w:p>
      <w:pPr>
        <w:spacing w:line="360" w:lineRule="auto"/>
        <w:ind w:firstLine="480" w:firstLineChars="200"/>
        <w:jc w:val="left"/>
        <w:rPr>
          <w:rFonts w:hint="eastAsia" w:ascii="宋体" w:hAnsi="宋体" w:cs="宋体"/>
          <w:bCs/>
          <w:sz w:val="24"/>
        </w:rPr>
      </w:pPr>
      <w:r>
        <w:rPr>
          <w:rFonts w:hint="eastAsia" w:ascii="宋体" w:hAnsi="宋体" w:cs="宋体"/>
          <w:bCs/>
          <w:sz w:val="24"/>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3"/>
        </w:numPr>
        <w:spacing w:line="360" w:lineRule="auto"/>
        <w:jc w:val="left"/>
        <w:rPr>
          <w:rFonts w:ascii="宋体" w:hAnsi="宋体" w:cs="宋体"/>
          <w:b/>
          <w:sz w:val="24"/>
        </w:rPr>
      </w:pPr>
      <w:r>
        <w:rPr>
          <w:rFonts w:hint="eastAsia" w:ascii="宋体" w:hAnsi="宋体" w:cs="宋体"/>
          <w:b/>
          <w:sz w:val="24"/>
        </w:rPr>
        <w:t>预计在理财计划预计到期日，理财计划资产因市场风险、信用风险等原因无法全部变现。</w:t>
      </w:r>
    </w:p>
    <w:p>
      <w:pPr>
        <w:numPr>
          <w:ilvl w:val="0"/>
          <w:numId w:val="53"/>
        </w:numPr>
        <w:spacing w:line="360" w:lineRule="auto"/>
        <w:jc w:val="left"/>
        <w:rPr>
          <w:rFonts w:ascii="宋体" w:hAnsi="宋体" w:cs="宋体"/>
          <w:b/>
          <w:sz w:val="24"/>
        </w:rPr>
      </w:pPr>
      <w:r>
        <w:rPr>
          <w:rFonts w:hint="eastAsia" w:ascii="宋体" w:hAnsi="宋体" w:cs="宋体"/>
          <w:b/>
          <w:sz w:val="24"/>
        </w:rPr>
        <w:t>预计理财计划所投资的信托计划、资管计划、私募基金的受托人或管理人不能按时向管理人划付理财计划的本金和收益。</w:t>
      </w:r>
    </w:p>
    <w:p>
      <w:pPr>
        <w:numPr>
          <w:ilvl w:val="0"/>
          <w:numId w:val="53"/>
        </w:numPr>
        <w:spacing w:line="360" w:lineRule="auto"/>
        <w:jc w:val="left"/>
        <w:rPr>
          <w:rFonts w:ascii="宋体" w:hAnsi="宋体" w:cs="宋体"/>
          <w:b/>
          <w:sz w:val="24"/>
        </w:rPr>
      </w:pPr>
      <w:r>
        <w:rPr>
          <w:rFonts w:hint="eastAsia" w:ascii="宋体" w:hAnsi="宋体" w:cs="宋体"/>
          <w:b/>
          <w:sz w:val="24"/>
        </w:rPr>
        <w:t>理财计划财产涉及诉讼或仲裁，且预计诉讼或仲裁执行程序于理财计划到期日尚未终结。</w:t>
      </w:r>
    </w:p>
    <w:p>
      <w:pPr>
        <w:numPr>
          <w:ilvl w:val="0"/>
          <w:numId w:val="53"/>
        </w:numPr>
        <w:spacing w:line="360" w:lineRule="auto"/>
        <w:jc w:val="left"/>
        <w:rPr>
          <w:rFonts w:ascii="宋体" w:hAnsi="宋体" w:cs="宋体"/>
          <w:b/>
          <w:sz w:val="24"/>
        </w:rPr>
      </w:pPr>
      <w:r>
        <w:rPr>
          <w:rFonts w:hint="eastAsia" w:ascii="宋体" w:hAnsi="宋体" w:cs="宋体"/>
          <w:b/>
          <w:sz w:val="24"/>
        </w:rPr>
        <w:t>管理人与托管人、销售机构协商一致决定延期。</w:t>
      </w:r>
    </w:p>
    <w:p>
      <w:pPr>
        <w:numPr>
          <w:ilvl w:val="0"/>
          <w:numId w:val="53"/>
        </w:numPr>
        <w:spacing w:line="360" w:lineRule="auto"/>
        <w:jc w:val="left"/>
        <w:rPr>
          <w:rFonts w:ascii="宋体" w:hAnsi="宋体" w:cs="宋体"/>
          <w:b/>
          <w:sz w:val="24"/>
        </w:rPr>
      </w:pPr>
      <w:r>
        <w:rPr>
          <w:rFonts w:hint="eastAsia" w:ascii="宋体" w:hAnsi="宋体" w:cs="宋体"/>
          <w:b/>
          <w:sz w:val="24"/>
        </w:rPr>
        <w:t>法律法规规定的或管理人认为有必要延期的其他情形。</w:t>
      </w:r>
    </w:p>
    <w:p>
      <w:pPr>
        <w:spacing w:line="360" w:lineRule="auto"/>
        <w:jc w:val="left"/>
        <w:rPr>
          <w:rFonts w:ascii="宋体" w:hAnsi="宋体" w:cs="宋体"/>
          <w:b/>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信息披露</w:t>
      </w:r>
    </w:p>
    <w:p>
      <w:pPr>
        <w:numPr>
          <w:ilvl w:val="0"/>
          <w:numId w:val="54"/>
        </w:numPr>
        <w:spacing w:line="360" w:lineRule="auto"/>
        <w:jc w:val="left"/>
        <w:outlineLvl w:val="2"/>
        <w:rPr>
          <w:rFonts w:ascii="宋体" w:hAnsi="宋体" w:cs="宋体"/>
          <w:b/>
          <w:sz w:val="24"/>
        </w:rPr>
      </w:pPr>
      <w:r>
        <w:rPr>
          <w:rFonts w:hint="eastAsia" w:ascii="宋体" w:hAnsi="宋体" w:cs="宋体"/>
          <w:b/>
          <w:sz w:val="24"/>
        </w:rPr>
        <w:t>披露内容及时间</w:t>
      </w:r>
    </w:p>
    <w:p>
      <w:pPr>
        <w:numPr>
          <w:ilvl w:val="0"/>
          <w:numId w:val="55"/>
        </w:numPr>
        <w:spacing w:line="360" w:lineRule="auto"/>
        <w:jc w:val="left"/>
        <w:rPr>
          <w:rFonts w:ascii="宋体" w:hAnsi="宋体" w:cs="宋体"/>
          <w:b/>
          <w:sz w:val="24"/>
        </w:rPr>
      </w:pPr>
      <w:r>
        <w:rPr>
          <w:rFonts w:hint="eastAsia" w:ascii="宋体" w:hAnsi="宋体" w:cs="宋体"/>
          <w:b/>
          <w:sz w:val="24"/>
        </w:rPr>
        <w:t>认购信息披露</w:t>
      </w:r>
    </w:p>
    <w:p>
      <w:pPr>
        <w:numPr>
          <w:ilvl w:val="0"/>
          <w:numId w:val="56"/>
        </w:numPr>
        <w:spacing w:line="360" w:lineRule="auto"/>
        <w:ind w:firstLine="480" w:firstLineChars="200"/>
        <w:rPr>
          <w:rFonts w:ascii="宋体" w:hAnsi="宋体" w:cs="宋体"/>
          <w:bCs/>
          <w:color w:val="000000"/>
          <w:sz w:val="24"/>
        </w:rPr>
      </w:pPr>
      <w:r>
        <w:rPr>
          <w:rFonts w:hint="eastAsia" w:ascii="宋体" w:hAnsi="宋体" w:cs="宋体"/>
          <w:bCs/>
          <w:color w:val="000000"/>
          <w:sz w:val="24"/>
        </w:rPr>
        <w:t>理财计划合同：管理人应在正式办理理财计划份额认购前披露，包括但不限于风险揭示书、产品说明书、投资者权益须知、理财计划投资协议书以及</w:t>
      </w:r>
      <w:r>
        <w:rPr>
          <w:rFonts w:hint="eastAsia" w:ascii="宋体" w:hAnsi="宋体" w:cs="宋体"/>
          <w:bCs/>
          <w:sz w:val="24"/>
        </w:rPr>
        <w:t>理财计划销售协议书</w:t>
      </w:r>
      <w:r>
        <w:rPr>
          <w:rFonts w:hint="eastAsia" w:ascii="宋体" w:hAnsi="宋体" w:cs="宋体"/>
          <w:bCs/>
          <w:color w:val="000000"/>
          <w:sz w:val="24"/>
        </w:rPr>
        <w:t>。</w:t>
      </w:r>
    </w:p>
    <w:p>
      <w:pPr>
        <w:numPr>
          <w:ilvl w:val="0"/>
          <w:numId w:val="56"/>
        </w:numPr>
        <w:spacing w:line="360" w:lineRule="auto"/>
        <w:ind w:firstLine="480" w:firstLineChars="200"/>
        <w:rPr>
          <w:rFonts w:ascii="宋体" w:hAnsi="宋体" w:cs="宋体"/>
          <w:bCs/>
          <w:color w:val="000000"/>
          <w:sz w:val="24"/>
        </w:rPr>
      </w:pPr>
      <w:r>
        <w:rPr>
          <w:rFonts w:hint="eastAsia" w:ascii="宋体" w:hAnsi="宋体" w:cs="宋体"/>
          <w:bCs/>
          <w:color w:val="000000"/>
          <w:sz w:val="24"/>
        </w:rPr>
        <w:t>发行公告：管理人应在理财计划成立日后3个工作日内披露，包括成立日期、募集规模等信息。</w:t>
      </w:r>
    </w:p>
    <w:p>
      <w:pPr>
        <w:numPr>
          <w:ilvl w:val="0"/>
          <w:numId w:val="55"/>
        </w:numPr>
        <w:spacing w:line="360" w:lineRule="auto"/>
        <w:jc w:val="left"/>
        <w:rPr>
          <w:rFonts w:ascii="宋体" w:hAnsi="宋体" w:cs="宋体"/>
          <w:b/>
          <w:sz w:val="24"/>
        </w:rPr>
      </w:pPr>
      <w:r>
        <w:rPr>
          <w:rFonts w:hint="eastAsia" w:ascii="宋体" w:hAnsi="宋体" w:cs="宋体"/>
          <w:b/>
          <w:sz w:val="24"/>
        </w:rPr>
        <w:t>运作信息披露</w:t>
      </w:r>
    </w:p>
    <w:p>
      <w:pPr>
        <w:numPr>
          <w:ilvl w:val="0"/>
          <w:numId w:val="57"/>
        </w:numPr>
        <w:spacing w:line="360" w:lineRule="auto"/>
        <w:ind w:firstLine="480" w:firstLineChars="200"/>
        <w:rPr>
          <w:rFonts w:ascii="宋体" w:hAnsi="宋体" w:cs="宋体"/>
          <w:bCs/>
          <w:color w:val="000000"/>
          <w:sz w:val="24"/>
        </w:rPr>
      </w:pPr>
      <w:r>
        <w:rPr>
          <w:rFonts w:hint="eastAsia" w:ascii="宋体" w:hAnsi="宋体" w:cs="宋体"/>
          <w:bCs/>
          <w:color w:val="000000"/>
          <w:sz w:val="24"/>
        </w:rPr>
        <w:t>理财计划净值：管理人应在理财计划成立后，每个开放确认日后2</w:t>
      </w:r>
      <w:r>
        <w:rPr>
          <w:rFonts w:ascii="宋体" w:hAnsi="宋体" w:cs="宋体"/>
          <w:bCs/>
          <w:color w:val="000000"/>
          <w:sz w:val="24"/>
        </w:rPr>
        <w:t>个工作日内披露本理财计划净值</w:t>
      </w:r>
      <w:r>
        <w:rPr>
          <w:rFonts w:hint="eastAsia" w:ascii="宋体" w:hAnsi="宋体" w:cs="宋体"/>
          <w:bCs/>
          <w:color w:val="000000"/>
          <w:sz w:val="24"/>
        </w:rPr>
        <w:t>。</w:t>
      </w:r>
    </w:p>
    <w:p>
      <w:pPr>
        <w:numPr>
          <w:ilvl w:val="0"/>
          <w:numId w:val="57"/>
        </w:numPr>
        <w:spacing w:line="360" w:lineRule="auto"/>
        <w:ind w:firstLine="480" w:firstLineChars="200"/>
        <w:rPr>
          <w:rFonts w:ascii="宋体" w:hAnsi="宋体" w:cs="宋体"/>
          <w:b/>
          <w:sz w:val="24"/>
        </w:rPr>
      </w:pPr>
      <w:r>
        <w:rPr>
          <w:rFonts w:hint="eastAsia" w:ascii="宋体" w:hAnsi="宋体" w:cs="宋体"/>
          <w:bCs/>
          <w:color w:val="000000"/>
          <w:sz w:val="24"/>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7"/>
        </w:numPr>
        <w:spacing w:line="360" w:lineRule="auto"/>
        <w:ind w:firstLine="480" w:firstLineChars="200"/>
        <w:rPr>
          <w:rFonts w:ascii="宋体" w:hAnsi="宋体" w:cs="宋体"/>
          <w:b/>
          <w:sz w:val="24"/>
        </w:rPr>
      </w:pPr>
      <w:r>
        <w:rPr>
          <w:rFonts w:hint="eastAsia" w:ascii="宋体" w:hAnsi="宋体" w:cs="宋体"/>
          <w:bCs/>
          <w:color w:val="000000"/>
          <w:sz w:val="24"/>
        </w:rPr>
        <w:t>到期报告：管理人应在理财计划到期后5个工作日内披露，包括存续期限、到期兑付净值、收益分配情况等信息。</w:t>
      </w:r>
    </w:p>
    <w:p>
      <w:pPr>
        <w:numPr>
          <w:ilvl w:val="0"/>
          <w:numId w:val="55"/>
        </w:numPr>
        <w:spacing w:line="360" w:lineRule="auto"/>
        <w:jc w:val="left"/>
        <w:rPr>
          <w:rFonts w:ascii="宋体" w:hAnsi="宋体" w:cs="宋体"/>
          <w:b/>
          <w:sz w:val="24"/>
        </w:rPr>
      </w:pPr>
      <w:r>
        <w:rPr>
          <w:rFonts w:hint="eastAsia" w:ascii="宋体" w:hAnsi="宋体" w:cs="宋体"/>
          <w:b/>
          <w:sz w:val="24"/>
        </w:rPr>
        <w:t>临时信息披露</w:t>
      </w:r>
    </w:p>
    <w:p>
      <w:pPr>
        <w:numPr>
          <w:ilvl w:val="0"/>
          <w:numId w:val="58"/>
        </w:numPr>
        <w:spacing w:line="360" w:lineRule="auto"/>
        <w:ind w:firstLine="480" w:firstLineChars="200"/>
        <w:rPr>
          <w:rFonts w:ascii="宋体" w:hAnsi="宋体" w:cs="宋体"/>
          <w:bCs/>
          <w:color w:val="000000"/>
          <w:sz w:val="24"/>
        </w:rPr>
      </w:pPr>
      <w:r>
        <w:rPr>
          <w:rFonts w:hint="eastAsia" w:ascii="宋体" w:hAnsi="宋体" w:cs="宋体"/>
          <w:bCs/>
          <w:color w:val="000000"/>
          <w:sz w:val="24"/>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8"/>
        </w:numPr>
        <w:spacing w:line="360" w:lineRule="auto"/>
        <w:ind w:firstLine="480" w:firstLineChars="200"/>
        <w:rPr>
          <w:rFonts w:ascii="宋体" w:hAnsi="宋体" w:cs="宋体"/>
          <w:b/>
          <w:sz w:val="24"/>
        </w:rPr>
      </w:pPr>
      <w:r>
        <w:rPr>
          <w:rFonts w:hint="eastAsia" w:ascii="宋体" w:hAnsi="宋体" w:cs="宋体"/>
          <w:bCs/>
          <w:color w:val="000000"/>
          <w:sz w:val="24"/>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4"/>
        </w:numPr>
        <w:spacing w:line="360" w:lineRule="auto"/>
        <w:jc w:val="left"/>
        <w:outlineLvl w:val="2"/>
        <w:rPr>
          <w:rFonts w:ascii="宋体" w:hAnsi="宋体" w:cs="宋体"/>
          <w:b/>
          <w:sz w:val="24"/>
        </w:rPr>
      </w:pPr>
      <w:r>
        <w:rPr>
          <w:rFonts w:hint="eastAsia" w:ascii="宋体" w:hAnsi="宋体" w:cs="宋体"/>
          <w:b/>
          <w:sz w:val="24"/>
        </w:rPr>
        <w:t>披露方式</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rPr>
      </w:pPr>
    </w:p>
    <w:p>
      <w:pPr>
        <w:numPr>
          <w:ilvl w:val="0"/>
          <w:numId w:val="26"/>
        </w:numPr>
        <w:spacing w:line="360" w:lineRule="auto"/>
        <w:jc w:val="left"/>
        <w:outlineLvl w:val="1"/>
        <w:rPr>
          <w:rFonts w:ascii="宋体" w:hAnsi="宋体" w:cs="宋体"/>
          <w:b/>
          <w:sz w:val="24"/>
        </w:rPr>
      </w:pPr>
      <w:r>
        <w:rPr>
          <w:rFonts w:hint="eastAsia" w:ascii="宋体" w:hAnsi="宋体" w:cs="宋体"/>
          <w:b/>
          <w:sz w:val="24"/>
        </w:rPr>
        <w:t>其他</w:t>
      </w:r>
    </w:p>
    <w:p>
      <w:pPr>
        <w:numPr>
          <w:ilvl w:val="0"/>
          <w:numId w:val="59"/>
        </w:numPr>
        <w:spacing w:line="360" w:lineRule="auto"/>
        <w:jc w:val="left"/>
        <w:outlineLvl w:val="2"/>
        <w:rPr>
          <w:rFonts w:ascii="宋体" w:hAnsi="宋体" w:cs="宋体"/>
          <w:b/>
          <w:sz w:val="24"/>
        </w:rPr>
      </w:pPr>
      <w:r>
        <w:rPr>
          <w:rFonts w:hint="eastAsia" w:ascii="宋体" w:hAnsi="宋体" w:cs="宋体"/>
          <w:b/>
          <w:sz w:val="24"/>
        </w:rPr>
        <w:t>追索条款</w:t>
      </w:r>
    </w:p>
    <w:p>
      <w:pPr>
        <w:spacing w:line="360" w:lineRule="auto"/>
        <w:ind w:firstLine="480" w:firstLineChars="200"/>
        <w:rPr>
          <w:rFonts w:ascii="宋体" w:hAnsi="宋体" w:cs="宋体"/>
          <w:b/>
          <w:sz w:val="24"/>
        </w:rPr>
      </w:pPr>
      <w:r>
        <w:rPr>
          <w:rFonts w:hint="eastAsia" w:ascii="宋体" w:hAnsi="宋体" w:cs="宋体"/>
          <w:bCs/>
          <w:color w:val="000000"/>
          <w:sz w:val="24"/>
        </w:rPr>
        <w:t>若本理财计划所投资的金融资产到期不能全部偿付导致资产减值甚至本金大幅损失，则本公司将以管理人名义，代表投资者利益行使诉讼权利或者实施其他法律行为。</w:t>
      </w:r>
    </w:p>
    <w:p>
      <w:pPr>
        <w:numPr>
          <w:ilvl w:val="0"/>
          <w:numId w:val="59"/>
        </w:numPr>
        <w:spacing w:line="360" w:lineRule="auto"/>
        <w:jc w:val="left"/>
        <w:outlineLvl w:val="2"/>
        <w:rPr>
          <w:rFonts w:ascii="宋体" w:hAnsi="宋体" w:cs="宋体"/>
          <w:b/>
          <w:sz w:val="24"/>
        </w:rPr>
      </w:pPr>
      <w:r>
        <w:rPr>
          <w:rFonts w:hint="eastAsia" w:ascii="宋体" w:hAnsi="宋体" w:cs="宋体"/>
          <w:b/>
          <w:sz w:val="24"/>
        </w:rPr>
        <w:t>信息安全</w:t>
      </w:r>
    </w:p>
    <w:p>
      <w:pPr>
        <w:spacing w:line="360" w:lineRule="auto"/>
        <w:ind w:firstLine="480" w:firstLineChars="200"/>
        <w:rPr>
          <w:rFonts w:ascii="宋体" w:hAnsi="宋体" w:cs="宋体"/>
          <w:b/>
          <w:sz w:val="24"/>
        </w:rPr>
      </w:pPr>
      <w:r>
        <w:rPr>
          <w:rFonts w:hint="eastAsia" w:ascii="宋体" w:hAnsi="宋体" w:cs="宋体"/>
          <w:bCs/>
          <w:color w:val="000000"/>
          <w:sz w:val="24"/>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sz w:val="24"/>
        </w:rPr>
        <w:t>投资者在此同意并授权，管理人可根据监管要求，为理财计划登记等需要，向登记部门或监管机构提供投资者相关信息</w:t>
      </w:r>
      <w:r>
        <w:rPr>
          <w:rFonts w:hint="eastAsia" w:ascii="宋体" w:hAnsi="宋体" w:cs="宋体"/>
          <w:b/>
          <w:bCs w:val="0"/>
          <w:color w:val="000000"/>
          <w:sz w:val="24"/>
          <w:lang w:eastAsia="zh-CN"/>
        </w:rPr>
        <w:t>，</w:t>
      </w:r>
      <w:r>
        <w:rPr>
          <w:rFonts w:hint="eastAsia" w:ascii="宋体" w:hAnsi="宋体" w:cs="宋体"/>
          <w:b/>
          <w:bCs w:val="0"/>
          <w:color w:val="000000"/>
          <w:sz w:val="24"/>
          <w:lang w:val="en-US" w:eastAsia="zh-CN"/>
        </w:rPr>
        <w:t>授权使用时限与履行相关法律法规和监管要求的必要时限一致</w:t>
      </w:r>
      <w:r>
        <w:rPr>
          <w:rFonts w:hint="eastAsia" w:ascii="宋体" w:hAnsi="宋体" w:cs="宋体"/>
          <w:bCs/>
          <w:color w:val="000000"/>
          <w:sz w:val="24"/>
        </w:rPr>
        <w:t>。</w:t>
      </w:r>
    </w:p>
    <w:p>
      <w:pPr>
        <w:numPr>
          <w:ilvl w:val="0"/>
          <w:numId w:val="59"/>
        </w:numPr>
        <w:spacing w:line="360" w:lineRule="auto"/>
        <w:jc w:val="left"/>
        <w:outlineLvl w:val="2"/>
        <w:rPr>
          <w:rFonts w:ascii="宋体" w:hAnsi="宋体" w:cs="宋体"/>
          <w:b/>
          <w:sz w:val="24"/>
        </w:rPr>
      </w:pPr>
      <w:r>
        <w:rPr>
          <w:rFonts w:hint="eastAsia" w:ascii="宋体" w:hAnsi="宋体" w:cs="宋体"/>
          <w:b/>
          <w:sz w:val="24"/>
        </w:rPr>
        <w:t>争议解决</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rPr>
        <w:t>管理人所在地有管辖权的人民法院诉讼解决。</w:t>
      </w:r>
    </w:p>
    <w:p>
      <w:pPr>
        <w:numPr>
          <w:ilvl w:val="0"/>
          <w:numId w:val="59"/>
        </w:numPr>
        <w:spacing w:line="360" w:lineRule="auto"/>
        <w:jc w:val="left"/>
        <w:outlineLvl w:val="2"/>
        <w:rPr>
          <w:rFonts w:ascii="宋体" w:hAnsi="宋体" w:cs="宋体"/>
          <w:b/>
          <w:sz w:val="24"/>
        </w:rPr>
      </w:pPr>
      <w:r>
        <w:rPr>
          <w:rFonts w:hint="eastAsia" w:ascii="宋体" w:hAnsi="宋体" w:cs="宋体"/>
          <w:b/>
          <w:sz w:val="24"/>
        </w:rPr>
        <w:t>特别提示</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sz w:val="24"/>
        </w:rPr>
        <w:br w:type="page"/>
      </w:r>
      <w:r>
        <w:rPr>
          <w:rFonts w:hint="eastAsia" w:ascii="宋体" w:hAnsi="宋体" w:cs="宋体"/>
          <w:b/>
          <w:bCs/>
          <w:color w:val="000000"/>
          <w:sz w:val="44"/>
          <w:szCs w:val="44"/>
        </w:rPr>
        <w:t>杭银理财投资者权益须知</w:t>
      </w:r>
    </w:p>
    <w:p>
      <w:pPr>
        <w:jc w:val="center"/>
        <w:outlineLvl w:val="1"/>
        <w:rPr>
          <w:rFonts w:hint="eastAsia" w:ascii="宋体" w:hAnsi="宋体" w:cs="宋体"/>
          <w:b/>
          <w:bCs/>
          <w:color w:val="000000"/>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center"/>
        <w:outlineLvl w:val="2"/>
        <w:rPr>
          <w:rFonts w:hint="eastAsia"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rPr>
          <w:rFonts w:hint="eastAsia" w:ascii="宋体" w:hAnsi="宋体" w:cs="宋体"/>
          <w:kern w:val="0"/>
          <w:sz w:val="24"/>
        </w:rPr>
      </w:pPr>
      <w:r>
        <w:rPr>
          <w:rFonts w:hint="eastAsia" w:ascii="宋体" w:hAnsi="宋体" w:cs="宋体"/>
          <w:kern w:val="0"/>
          <w:sz w:val="24"/>
        </w:rPr>
        <w:t>尊敬的投资者：</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0"/>
        </w:numPr>
        <w:spacing w:line="360" w:lineRule="auto"/>
        <w:outlineLvl w:val="2"/>
        <w:rPr>
          <w:rFonts w:hint="eastAsia" w:ascii="宋体" w:hAnsi="宋体" w:cs="宋体"/>
          <w:b/>
          <w:kern w:val="0"/>
          <w:sz w:val="24"/>
        </w:rPr>
      </w:pPr>
      <w:r>
        <w:rPr>
          <w:rFonts w:hint="eastAsia" w:ascii="宋体" w:hAnsi="宋体" w:cs="宋体"/>
          <w:b/>
          <w:kern w:val="0"/>
          <w:sz w:val="24"/>
        </w:rPr>
        <w:t>理财计划办理流程</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首次在销售机构购买杭银理财理财计划的个人投资者须接受并完成销售机构对您的风险承受能力评估，并确认风险承受能力等级不低于本理财计划风险评级。</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投资者应仔细阅读本理财计划完整合同（包括但不限于</w:t>
      </w:r>
      <w:r>
        <w:rPr>
          <w:rFonts w:hint="eastAsia" w:ascii="宋体" w:hAnsi="宋体" w:cs="宋体"/>
          <w:bCs/>
          <w:sz w:val="24"/>
        </w:rPr>
        <w:t>理财计划</w:t>
      </w:r>
      <w:r>
        <w:rPr>
          <w:rFonts w:hint="eastAsia" w:ascii="宋体" w:hAnsi="宋体" w:cs="宋体"/>
          <w:kern w:val="0"/>
          <w:sz w:val="24"/>
        </w:rPr>
        <w:t>风险揭示书、理财计划产品说明书、投资者权益须知、理财计划投资协议书和</w:t>
      </w:r>
      <w:r>
        <w:rPr>
          <w:rFonts w:hint="eastAsia" w:ascii="宋体" w:hAnsi="宋体" w:cs="宋体"/>
          <w:bCs/>
          <w:sz w:val="24"/>
        </w:rPr>
        <w:t>理财计划销售协议书</w:t>
      </w:r>
      <w:r>
        <w:rPr>
          <w:rFonts w:hint="eastAsia" w:ascii="宋体" w:hAnsi="宋体" w:cs="宋体"/>
          <w:kern w:val="0"/>
          <w:sz w:val="24"/>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1"/>
        </w:numPr>
        <w:spacing w:line="360" w:lineRule="auto"/>
        <w:ind w:firstLine="480" w:firstLineChars="200"/>
        <w:outlineLvl w:val="9"/>
        <w:rPr>
          <w:rFonts w:hint="eastAsia" w:ascii="宋体" w:hAnsi="宋体" w:cs="宋体"/>
          <w:kern w:val="0"/>
          <w:sz w:val="24"/>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如在银行营业场所购买杭银理财理财计划，销售机构需对每笔理财计划销售过程同步录音录像。</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投资者确定交易金额，完成交易申请，并在确认份额后进行查询。</w:t>
      </w:r>
    </w:p>
    <w:p>
      <w:pPr>
        <w:numPr>
          <w:ilvl w:val="0"/>
          <w:numId w:val="62"/>
        </w:numPr>
        <w:spacing w:line="360" w:lineRule="auto"/>
        <w:outlineLvl w:val="2"/>
        <w:rPr>
          <w:rFonts w:hint="eastAsia" w:ascii="宋体" w:hAnsi="宋体" w:cs="宋体"/>
          <w:b/>
          <w:kern w:val="0"/>
          <w:sz w:val="24"/>
        </w:rPr>
      </w:pPr>
      <w:r>
        <w:rPr>
          <w:rFonts w:hint="eastAsia" w:ascii="宋体" w:hAnsi="宋体" w:cs="宋体"/>
          <w:b/>
          <w:kern w:val="0"/>
          <w:sz w:val="24"/>
        </w:rPr>
        <w:t>杭银理财产品风险评级</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产品类型按照风险由低到高依次划分为低风险（R1）、中低风险（R2）、</w:t>
      </w:r>
      <w:r>
        <w:rPr>
          <w:rFonts w:hint="eastAsia" w:ascii="宋体" w:hAnsi="宋体" w:cs="宋体"/>
          <w:kern w:val="0"/>
          <w:sz w:val="24"/>
          <w:lang w:eastAsia="zh-CN"/>
        </w:rPr>
        <w:t>中风险</w:t>
      </w:r>
      <w:r>
        <w:rPr>
          <w:rFonts w:hint="eastAsia" w:ascii="宋体" w:hAnsi="宋体" w:cs="宋体"/>
          <w:kern w:val="0"/>
          <w:sz w:val="24"/>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rPr>
            </w:pPr>
            <w:r>
              <w:rPr>
                <w:rFonts w:hint="eastAsia" w:ascii="宋体" w:hAnsi="宋体" w:cs="宋体"/>
                <w:b/>
                <w:kern w:val="0"/>
                <w:sz w:val="24"/>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rPr>
            </w:pPr>
            <w:r>
              <w:rPr>
                <w:rFonts w:hint="eastAsia" w:ascii="宋体" w:hAnsi="宋体" w:cs="宋体"/>
                <w:b/>
                <w:kern w:val="0"/>
                <w:sz w:val="24"/>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rPr>
            </w:pPr>
            <w:r>
              <w:rPr>
                <w:rFonts w:hint="eastAsia" w:ascii="宋体" w:hAnsi="宋体" w:cs="宋体"/>
                <w:b/>
                <w:kern w:val="0"/>
                <w:sz w:val="24"/>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rPr>
            </w:pPr>
            <w:r>
              <w:rPr>
                <w:rFonts w:hint="eastAsia" w:ascii="宋体" w:hAnsi="宋体" w:cs="宋体"/>
                <w:kern w:val="0"/>
                <w:sz w:val="24"/>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rPr>
      </w:pPr>
      <w:r>
        <w:rPr>
          <w:rFonts w:hint="eastAsia" w:ascii="宋体" w:hAnsi="宋体" w:cs="宋体"/>
          <w:bCs w:val="0"/>
          <w:kern w:val="0"/>
          <w:sz w:val="24"/>
          <w:highlight w:val="none"/>
        </w:rPr>
        <w:t>投资者风险承受能力评级水平以销售机构评估为准。</w:t>
      </w:r>
    </w:p>
    <w:p>
      <w:pPr>
        <w:numPr>
          <w:ilvl w:val="0"/>
          <w:numId w:val="62"/>
        </w:numPr>
        <w:spacing w:line="360" w:lineRule="auto"/>
        <w:outlineLvl w:val="2"/>
        <w:rPr>
          <w:rFonts w:hint="eastAsia" w:ascii="宋体" w:hAnsi="宋体" w:cs="宋体"/>
          <w:b/>
          <w:kern w:val="0"/>
          <w:sz w:val="24"/>
        </w:rPr>
      </w:pPr>
      <w:r>
        <w:rPr>
          <w:rFonts w:hint="eastAsia" w:ascii="宋体" w:hAnsi="宋体" w:cs="宋体"/>
          <w:b/>
          <w:kern w:val="0"/>
          <w:sz w:val="24"/>
        </w:rPr>
        <w:t>投资者风险承受能力评估</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个人投资者风险承受能力评估结果有效期为一年，如风险承受能力评估时效已超过一年，或影响风险承受能力的因素发生变化，请及时完成风险承受能力的重新评估。</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个人投资者风险承受能力评估流程（详询销售机构工作人员）</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个人投资者在销售机构进行风险承受能力评估；</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填写销售机构个人投资者风险承受能力测试问卷；</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生成相应的个人投资者风险承受能力评估结果；</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投资者对评估结果进行确认。</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风险承受能力评估结果将作为评价个人投资者是否适合购买理财计划的重要因素，风险承受能力评级越高适合购买的理财计划风险评级越高，适合购买的理财计划类型越丰富。</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rPr>
        <w:t>的基础上，充分认识投资本理财计划需要承担的风险。</w:t>
      </w:r>
    </w:p>
    <w:p>
      <w:pPr>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四、理财计划信息披露</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五、投资者信息管理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六、投诉与建议</w:t>
      </w:r>
    </w:p>
    <w:p>
      <w:pPr>
        <w:numPr>
          <w:ilvl w:val="0"/>
          <w:numId w:val="66"/>
        </w:numPr>
        <w:spacing w:line="360" w:lineRule="auto"/>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6"/>
        </w:numPr>
        <w:spacing w:line="360" w:lineRule="auto"/>
        <w:rPr>
          <w:rFonts w:hint="eastAsia" w:ascii="宋体" w:hAnsi="宋体" w:cs="宋体"/>
          <w:kern w:val="0"/>
          <w:sz w:val="24"/>
        </w:rPr>
      </w:pPr>
      <w:r>
        <w:rPr>
          <w:rFonts w:hint="eastAsia" w:ascii="宋体" w:hAnsi="宋体" w:cs="宋体"/>
          <w:kern w:val="0"/>
          <w:sz w:val="24"/>
        </w:rPr>
        <w:t>联络方式</w:t>
      </w:r>
    </w:p>
    <w:p>
      <w:pPr>
        <w:numPr>
          <w:ilvl w:val="0"/>
          <w:numId w:val="67"/>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lang w:eastAsia="zh-CN"/>
        </w:rPr>
        <w:t>杭银理</w:t>
      </w:r>
      <w:r>
        <w:rPr>
          <w:rFonts w:hint="eastAsia" w:ascii="宋体" w:hAnsi="宋体" w:cs="宋体"/>
          <w:kern w:val="0"/>
          <w:sz w:val="24"/>
          <w:highlight w:val="none"/>
          <w:lang w:eastAsia="zh-CN"/>
        </w:rPr>
        <w:t>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www.hzbankwealth.co</w:t>
      </w:r>
      <w:r>
        <w:rPr>
          <w:rStyle w:val="12"/>
          <w:rFonts w:hint="eastAsia" w:ascii="宋体" w:hAnsi="宋体" w:cs="宋体"/>
          <w:kern w:val="0"/>
          <w:sz w:val="24"/>
          <w:highlight w:val="non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yellow"/>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rPr>
      </w:pPr>
      <w:r>
        <w:rPr>
          <w:rFonts w:hint="eastAsia" w:ascii="宋体" w:hAnsi="宋体" w:cs="宋体"/>
          <w:kern w:val="0"/>
          <w:sz w:val="24"/>
          <w:u w:val="none"/>
          <w:lang w:val="en-US" w:eastAsia="zh-CN"/>
        </w:rPr>
        <w:t>公司地址：</w:t>
      </w:r>
      <w:r>
        <w:rPr>
          <w:rFonts w:hint="eastAsia" w:ascii="宋体" w:hAnsi="宋体" w:cs="宋体"/>
          <w:kern w:val="0"/>
          <w:sz w:val="24"/>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eastAsia="zh-CN"/>
        </w:rPr>
        <w:t>若</w:t>
      </w:r>
      <w:r>
        <w:rPr>
          <w:rFonts w:hint="eastAsia" w:ascii="宋体" w:hAnsi="宋体" w:cs="宋体"/>
          <w:kern w:val="0"/>
          <w:sz w:val="24"/>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rPr>
        <w:t>及时告知投资者。</w:t>
      </w:r>
    </w:p>
    <w:p>
      <w:pPr>
        <w:numPr>
          <w:ilvl w:val="0"/>
          <w:numId w:val="67"/>
        </w:numPr>
        <w:spacing w:line="360" w:lineRule="auto"/>
        <w:ind w:left="0" w:leftChars="0" w:firstLine="480" w:firstLineChars="200"/>
        <w:rPr>
          <w:rFonts w:hint="eastAsia" w:ascii="宋体" w:hAnsi="宋体" w:cs="宋体"/>
          <w:kern w:val="0"/>
          <w:sz w:val="24"/>
        </w:rPr>
      </w:pPr>
      <w:r>
        <w:rPr>
          <w:rFonts w:hint="eastAsia" w:ascii="宋体" w:hAnsi="宋体" w:cs="宋体"/>
          <w:kern w:val="0"/>
          <w:sz w:val="24"/>
          <w:lang w:eastAsia="zh-CN"/>
        </w:rPr>
        <w:t>杭州银行</w:t>
      </w:r>
      <w:r>
        <w:rPr>
          <w:rFonts w:hint="eastAsia" w:ascii="宋体" w:hAnsi="宋体" w:cs="宋体"/>
          <w:kern w:val="0"/>
          <w:sz w:val="24"/>
        </w:rPr>
        <w:t>（作为销售机构）</w:t>
      </w:r>
      <w:r>
        <w:rPr>
          <w:rFonts w:hint="eastAsia" w:ascii="宋体" w:hAnsi="宋体" w:cs="宋体"/>
          <w:kern w:val="0"/>
          <w:sz w:val="24"/>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lang w:eastAsia="zh-CN"/>
        </w:rPr>
        <w:t>官方网站</w:t>
      </w:r>
      <w:r>
        <w:rPr>
          <w:rFonts w:hint="eastAsia" w:ascii="宋体" w:hAnsi="宋体" w:cs="宋体"/>
          <w:kern w:val="0"/>
          <w:sz w:val="24"/>
          <w:lang w:val="en-US" w:eastAsia="zh-CN"/>
        </w:rPr>
        <w:t xml:space="preserve">: </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www.hzbank.com.cn</w:t>
      </w:r>
      <w:r>
        <w:rPr>
          <w:rStyle w:val="12"/>
          <w:rFonts w:hint="eastAsia" w:ascii="宋体" w:hAnsi="宋体" w:cs="宋体"/>
          <w:kern w:val="0"/>
          <w:sz w:val="24"/>
          <w:highlight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rPr>
        <w:t>4008888508</w:t>
      </w:r>
    </w:p>
    <w:p>
      <w:pPr>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eastAsia="zh-CN"/>
        </w:rPr>
        <w:t>在</w:t>
      </w:r>
      <w:r>
        <w:rPr>
          <w:rFonts w:hint="eastAsia" w:ascii="宋体" w:hAnsi="宋体" w:cs="宋体"/>
          <w:kern w:val="0"/>
          <w:sz w:val="24"/>
        </w:rPr>
        <w:t>其他销售机构购买理财计划的，请联系其他销售机构，联系方式以其披露为准。</w:t>
      </w:r>
    </w:p>
    <w:p>
      <w:pPr>
        <w:jc w:val="center"/>
        <w:outlineLvl w:val="0"/>
        <w:rPr>
          <w:rFonts w:hint="eastAsia"/>
          <w:b/>
          <w:sz w:val="44"/>
          <w:szCs w:val="44"/>
        </w:rPr>
      </w:pPr>
      <w:r>
        <w:rPr>
          <w:rFonts w:hint="eastAsia" w:ascii="宋体" w:hAnsi="宋体" w:cs="宋体"/>
          <w:bCs/>
          <w:color w:val="000000"/>
          <w:sz w:val="24"/>
        </w:rPr>
        <w:br w:type="page"/>
      </w:r>
      <w:r>
        <w:rPr>
          <w:rFonts w:hint="eastAsia"/>
          <w:b/>
          <w:sz w:val="44"/>
          <w:szCs w:val="44"/>
        </w:rPr>
        <w:t>杭银理财理财计划投资协议书</w:t>
      </w:r>
    </w:p>
    <w:p>
      <w:pPr>
        <w:jc w:val="center"/>
        <w:outlineLvl w:val="1"/>
        <w:rPr>
          <w:rFonts w:hint="eastAsia"/>
          <w:b/>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jc w:val="center"/>
        <w:outlineLvl w:val="2"/>
        <w:rPr>
          <w:rFonts w:hint="eastAsia"/>
          <w:b/>
          <w:sz w:val="32"/>
          <w:szCs w:val="32"/>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特别提示：杭银理财理财计划投资协议书与理财计划风险揭示书、理财计划</w:t>
      </w:r>
      <w:r>
        <w:rPr>
          <w:rFonts w:hint="eastAsia"/>
          <w:b/>
          <w:bCs/>
          <w:sz w:val="24"/>
          <w:lang w:val="en-US" w:eastAsia="zh-CN"/>
        </w:rPr>
        <w:t>产品</w:t>
      </w:r>
      <w:r>
        <w:rPr>
          <w:rFonts w:hint="eastAsia"/>
          <w:b/>
          <w:bCs/>
          <w:sz w:val="24"/>
        </w:rPr>
        <w:t>说明书、投资者权益须知及</w:t>
      </w:r>
      <w:r>
        <w:rPr>
          <w:rFonts w:hint="eastAsia" w:ascii="宋体" w:hAnsi="宋体" w:cs="宋体"/>
          <w:b/>
          <w:bCs/>
          <w:sz w:val="24"/>
        </w:rPr>
        <w:t>理财计划销售协议书</w:t>
      </w:r>
      <w:r>
        <w:rPr>
          <w:rFonts w:hint="eastAsia"/>
          <w:b/>
          <w:bCs/>
          <w:sz w:val="24"/>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rPr>
      </w:pPr>
      <w:r>
        <w:rPr>
          <w:rFonts w:hint="eastAsia"/>
          <w:sz w:val="24"/>
        </w:rPr>
        <w:t>投资者与管理人（即杭银理财有限责任公司）经平等友好协商，本着自愿、诚实信用原则，就投资者购买管理人发行的理财计划有关事宜达成如下协议（以下简称“本协议”）：</w:t>
      </w:r>
    </w:p>
    <w:p>
      <w:pPr>
        <w:numPr>
          <w:ilvl w:val="0"/>
          <w:numId w:val="68"/>
        </w:numPr>
        <w:spacing w:line="360" w:lineRule="auto"/>
        <w:ind w:firstLine="482" w:firstLineChars="200"/>
        <w:outlineLvl w:val="2"/>
        <w:rPr>
          <w:rFonts w:hint="eastAsia" w:ascii="宋体" w:hAnsi="宋体"/>
          <w:b/>
          <w:bCs/>
          <w:sz w:val="24"/>
        </w:rPr>
      </w:pPr>
      <w:r>
        <w:rPr>
          <w:rFonts w:hint="eastAsia"/>
          <w:b/>
          <w:bCs/>
          <w:sz w:val="24"/>
        </w:rPr>
        <w:t>名词释义</w:t>
      </w:r>
    </w:p>
    <w:p>
      <w:pPr>
        <w:spacing w:line="360" w:lineRule="auto"/>
        <w:ind w:firstLine="480" w:firstLineChars="200"/>
        <w:rPr>
          <w:rFonts w:hint="eastAsia"/>
          <w:bCs/>
          <w:sz w:val="24"/>
        </w:rPr>
      </w:pPr>
      <w:r>
        <w:rPr>
          <w:rFonts w:hint="eastAsia"/>
          <w:bCs/>
          <w:sz w:val="24"/>
        </w:rPr>
        <w:t>详见理财计划说明书“释义”部分。</w:t>
      </w:r>
    </w:p>
    <w:p>
      <w:pPr>
        <w:numPr>
          <w:ilvl w:val="0"/>
          <w:numId w:val="68"/>
        </w:numPr>
        <w:spacing w:line="360" w:lineRule="auto"/>
        <w:ind w:firstLine="482" w:firstLineChars="200"/>
        <w:outlineLvl w:val="2"/>
        <w:rPr>
          <w:rFonts w:hint="eastAsia"/>
          <w:b/>
          <w:sz w:val="24"/>
        </w:rPr>
      </w:pPr>
      <w:r>
        <w:rPr>
          <w:rFonts w:hint="eastAsia"/>
          <w:b/>
          <w:sz w:val="24"/>
        </w:rPr>
        <w:t>投资者权利与义务</w:t>
      </w:r>
    </w:p>
    <w:p>
      <w:pPr>
        <w:widowControl/>
        <w:numPr>
          <w:ilvl w:val="0"/>
          <w:numId w:val="69"/>
        </w:numPr>
        <w:spacing w:line="360" w:lineRule="auto"/>
        <w:contextualSpacing/>
        <w:rPr>
          <w:rFonts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contextualSpacing/>
        <w:rPr>
          <w:rFonts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69"/>
        </w:numPr>
        <w:spacing w:line="360" w:lineRule="auto"/>
        <w:contextualSpacing/>
        <w:rPr>
          <w:rFonts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69"/>
        </w:numPr>
        <w:spacing w:line="360" w:lineRule="auto"/>
        <w:contextualSpacing/>
        <w:rPr>
          <w:rFonts w:ascii="宋体" w:hAnsi="宋体"/>
          <w:sz w:val="24"/>
        </w:rPr>
      </w:pPr>
      <w:r>
        <w:rPr>
          <w:rFonts w:hint="eastAsia" w:ascii="宋体" w:hAnsi="宋体"/>
          <w:sz w:val="24"/>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9"/>
        </w:numPr>
        <w:spacing w:line="360" w:lineRule="auto"/>
        <w:contextualSpacing/>
        <w:rPr>
          <w:rFonts w:ascii="宋体" w:hAnsi="宋体"/>
          <w:sz w:val="24"/>
        </w:rPr>
      </w:pPr>
      <w:r>
        <w:rPr>
          <w:rFonts w:hint="eastAsia" w:ascii="宋体" w:hAnsi="宋体"/>
          <w:sz w:val="24"/>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9"/>
        </w:numPr>
        <w:spacing w:line="360" w:lineRule="auto"/>
        <w:contextualSpacing/>
        <w:rPr>
          <w:rFonts w:ascii="宋体" w:hAnsi="宋体"/>
          <w:sz w:val="24"/>
        </w:rPr>
      </w:pPr>
      <w:r>
        <w:rPr>
          <w:rFonts w:hint="eastAsia" w:ascii="宋体" w:hAnsi="宋体"/>
          <w:sz w:val="24"/>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9"/>
        </w:numPr>
        <w:spacing w:line="360" w:lineRule="auto"/>
        <w:contextualSpacing/>
        <w:rPr>
          <w:rFonts w:ascii="宋体" w:hAnsi="宋体"/>
          <w:sz w:val="24"/>
        </w:rPr>
      </w:pPr>
      <w:r>
        <w:rPr>
          <w:rFonts w:hint="eastAsia" w:ascii="宋体" w:hAnsi="宋体"/>
          <w:sz w:val="24"/>
        </w:rPr>
        <w:t>本协议终止前，投资者不得将授权指定账户销户。若发生因投资者注销授权指定账户造成理财计划无法正常兑付的，管理人不承担任何责任。</w:t>
      </w:r>
    </w:p>
    <w:p>
      <w:pPr>
        <w:widowControl/>
        <w:numPr>
          <w:ilvl w:val="0"/>
          <w:numId w:val="69"/>
        </w:numPr>
        <w:spacing w:line="360" w:lineRule="auto"/>
        <w:contextualSpacing/>
        <w:rPr>
          <w:rFonts w:ascii="宋体" w:hAnsi="宋体"/>
          <w:sz w:val="24"/>
        </w:rPr>
      </w:pPr>
      <w:r>
        <w:rPr>
          <w:rFonts w:hint="eastAsia" w:ascii="宋体" w:hAnsi="宋体"/>
          <w:sz w:val="24"/>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9"/>
        </w:numPr>
        <w:spacing w:line="360" w:lineRule="auto"/>
        <w:contextualSpacing/>
        <w:rPr>
          <w:rFonts w:ascii="宋体" w:hAnsi="宋体"/>
          <w:sz w:val="24"/>
        </w:rPr>
      </w:pPr>
      <w:r>
        <w:rPr>
          <w:rFonts w:hint="eastAsia" w:ascii="宋体" w:hAnsi="宋体"/>
          <w:sz w:val="24"/>
        </w:rPr>
        <w:t xml:space="preserve">投资者进行投资时，应严格遵守反洗钱相关法规的规定，切实履行反洗钱及反恐怖融资义务。 </w:t>
      </w:r>
    </w:p>
    <w:p>
      <w:pPr>
        <w:spacing w:line="360" w:lineRule="auto"/>
        <w:ind w:left="482"/>
        <w:rPr>
          <w:b/>
          <w:sz w:val="24"/>
        </w:rPr>
      </w:pPr>
    </w:p>
    <w:p>
      <w:pPr>
        <w:numPr>
          <w:ilvl w:val="0"/>
          <w:numId w:val="68"/>
        </w:numPr>
        <w:spacing w:line="360" w:lineRule="auto"/>
        <w:ind w:firstLine="482" w:firstLineChars="200"/>
        <w:outlineLvl w:val="2"/>
        <w:rPr>
          <w:rFonts w:hint="eastAsia"/>
          <w:b/>
          <w:sz w:val="24"/>
        </w:rPr>
      </w:pPr>
      <w:r>
        <w:rPr>
          <w:rFonts w:hint="eastAsia"/>
          <w:b/>
          <w:sz w:val="24"/>
        </w:rPr>
        <w:t>管理人权利与义务</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管理人应当诚实守信、勤勉尽责地履行受人之托、代人理财职责。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管理人应当按照理财计划销售文件的约定收取管理费用、确定收益分配方案、向投资者分配收益。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管理人应当按照理财计划销售文件的约定履行风险揭示及信息披露义务。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管理人应当确保理财业务与其他业务相分离，理财计划之间相分离，理财业务操作与其他业务操作相分离。 </w:t>
      </w:r>
    </w:p>
    <w:p>
      <w:pPr>
        <w:widowControl/>
        <w:numPr>
          <w:ilvl w:val="0"/>
          <w:numId w:val="70"/>
        </w:numPr>
        <w:spacing w:line="360" w:lineRule="auto"/>
        <w:contextualSpacing/>
        <w:rPr>
          <w:rFonts w:ascii="宋体" w:hAnsi="宋体"/>
          <w:sz w:val="24"/>
        </w:rPr>
      </w:pPr>
      <w:r>
        <w:rPr>
          <w:rFonts w:ascii="宋体" w:hAnsi="宋体"/>
          <w:sz w:val="24"/>
        </w:rPr>
        <w:t>管理人不得将理财</w:t>
      </w:r>
      <w:r>
        <w:rPr>
          <w:rFonts w:hint="eastAsia" w:ascii="宋体" w:hAnsi="宋体"/>
          <w:sz w:val="24"/>
        </w:rPr>
        <w:t>计划</w:t>
      </w:r>
      <w:r>
        <w:rPr>
          <w:rFonts w:ascii="宋体" w:hAnsi="宋体"/>
          <w:sz w:val="24"/>
        </w:rPr>
        <w:t>财产归入其自有资产</w:t>
      </w:r>
      <w:r>
        <w:rPr>
          <w:rFonts w:hint="eastAsia" w:ascii="宋体" w:hAnsi="宋体"/>
          <w:sz w:val="24"/>
        </w:rPr>
        <w:t>，</w:t>
      </w:r>
      <w:r>
        <w:rPr>
          <w:rFonts w:ascii="宋体" w:hAnsi="宋体"/>
          <w:sz w:val="24"/>
        </w:rPr>
        <w:t>因依法解散</w:t>
      </w:r>
      <w:r>
        <w:rPr>
          <w:rFonts w:hint="eastAsia" w:ascii="宋体" w:hAnsi="宋体"/>
          <w:sz w:val="24"/>
        </w:rPr>
        <w:t>、</w:t>
      </w:r>
      <w:r>
        <w:rPr>
          <w:rFonts w:ascii="宋体" w:hAnsi="宋体"/>
          <w:sz w:val="24"/>
        </w:rPr>
        <w:t>被依法撤销或者被依法宣告破产等原因进行清算的</w:t>
      </w:r>
      <w:r>
        <w:rPr>
          <w:rFonts w:hint="eastAsia" w:ascii="宋体" w:hAnsi="宋体"/>
          <w:sz w:val="24"/>
        </w:rPr>
        <w:t>，</w:t>
      </w:r>
      <w:r>
        <w:rPr>
          <w:rFonts w:ascii="宋体" w:hAnsi="宋体"/>
          <w:sz w:val="24"/>
        </w:rPr>
        <w:t>理财</w:t>
      </w:r>
      <w:r>
        <w:rPr>
          <w:rFonts w:hint="eastAsia" w:ascii="宋体" w:hAnsi="宋体"/>
          <w:sz w:val="24"/>
        </w:rPr>
        <w:t>计划</w:t>
      </w:r>
      <w:r>
        <w:rPr>
          <w:rFonts w:ascii="宋体" w:hAnsi="宋体"/>
          <w:sz w:val="24"/>
        </w:rPr>
        <w:t>财产不属于其清算财产</w:t>
      </w:r>
      <w:r>
        <w:rPr>
          <w:rFonts w:hint="eastAsia" w:ascii="宋体" w:hAnsi="宋体"/>
          <w:sz w:val="24"/>
        </w:rPr>
        <w:t>。</w:t>
      </w:r>
    </w:p>
    <w:p>
      <w:pPr>
        <w:widowControl/>
        <w:numPr>
          <w:ilvl w:val="0"/>
          <w:numId w:val="70"/>
        </w:numPr>
        <w:spacing w:line="360" w:lineRule="auto"/>
        <w:contextualSpacing/>
        <w:rPr>
          <w:rFonts w:ascii="宋体" w:hAnsi="宋体"/>
          <w:sz w:val="24"/>
        </w:rPr>
      </w:pPr>
      <w:r>
        <w:rPr>
          <w:rFonts w:hint="eastAsia" w:ascii="宋体" w:hAnsi="宋体"/>
          <w:sz w:val="24"/>
        </w:rPr>
        <w:t>管理人应当选择具有证券投资基金托管业务资格的金融机构、银行业理财登记托管机构或者</w:t>
      </w:r>
      <w:r>
        <w:rPr>
          <w:rFonts w:hint="eastAsia" w:ascii="宋体" w:hAnsi="宋体" w:cs="宋体"/>
          <w:bCs/>
          <w:sz w:val="24"/>
        </w:rPr>
        <w:t>国务院银行业监督管理</w:t>
      </w:r>
      <w:r>
        <w:rPr>
          <w:rFonts w:hint="eastAsia" w:ascii="宋体" w:hAnsi="宋体" w:cs="宋体"/>
          <w:bCs/>
          <w:sz w:val="24"/>
          <w:lang w:val="en-US" w:eastAsia="zh-CN"/>
        </w:rPr>
        <w:t>机构</w:t>
      </w:r>
      <w:r>
        <w:rPr>
          <w:rFonts w:hint="eastAsia" w:ascii="宋体" w:hAnsi="宋体" w:cs="宋体"/>
          <w:bCs/>
          <w:sz w:val="24"/>
        </w:rPr>
        <w:t>认可</w:t>
      </w:r>
      <w:r>
        <w:rPr>
          <w:rFonts w:hint="eastAsia" w:ascii="宋体" w:hAnsi="宋体"/>
          <w:sz w:val="24"/>
        </w:rPr>
        <w:t xml:space="preserve">的其他机构托管理财计划。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0"/>
        </w:numPr>
        <w:spacing w:line="360" w:lineRule="auto"/>
        <w:contextualSpacing/>
        <w:rPr>
          <w:rFonts w:ascii="宋体" w:hAnsi="宋体"/>
          <w:sz w:val="24"/>
        </w:rPr>
      </w:pPr>
      <w:r>
        <w:rPr>
          <w:rFonts w:hint="eastAsia" w:ascii="宋体" w:hAnsi="宋体"/>
          <w:sz w:val="24"/>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lang w:eastAsia="zh-CN"/>
        </w:rPr>
        <w:t>，</w:t>
      </w:r>
      <w:r>
        <w:rPr>
          <w:rFonts w:hint="eastAsia" w:ascii="宋体" w:hAnsi="宋体"/>
          <w:sz w:val="24"/>
          <w:lang w:val="en-US" w:eastAsia="zh-CN"/>
        </w:rPr>
        <w:t>授权使用时限与履行相关法律法规和监管要求的必要时限一致</w:t>
      </w:r>
      <w:r>
        <w:rPr>
          <w:rFonts w:hint="eastAsia" w:ascii="宋体" w:hAnsi="宋体"/>
          <w:sz w:val="24"/>
        </w:rPr>
        <w:t xml:space="preserve">。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rPr>
      </w:pPr>
    </w:p>
    <w:p>
      <w:pPr>
        <w:numPr>
          <w:ilvl w:val="0"/>
          <w:numId w:val="68"/>
        </w:numPr>
        <w:spacing w:line="360" w:lineRule="auto"/>
        <w:ind w:firstLine="482" w:firstLineChars="200"/>
        <w:outlineLvl w:val="2"/>
        <w:rPr>
          <w:rFonts w:hint="eastAsia"/>
          <w:b/>
          <w:sz w:val="24"/>
        </w:rPr>
      </w:pPr>
      <w:r>
        <w:rPr>
          <w:rFonts w:hint="eastAsia"/>
          <w:b/>
          <w:sz w:val="24"/>
        </w:rPr>
        <w:t>理财计划认（申）购、赎回及终止</w:t>
      </w:r>
    </w:p>
    <w:p>
      <w:pPr>
        <w:widowControl/>
        <w:numPr>
          <w:ilvl w:val="0"/>
          <w:numId w:val="71"/>
        </w:numPr>
        <w:spacing w:line="360" w:lineRule="auto"/>
        <w:contextualSpacing/>
        <w:rPr>
          <w:rFonts w:ascii="宋体" w:hAnsi="宋体"/>
          <w:sz w:val="24"/>
        </w:rPr>
      </w:pPr>
      <w:r>
        <w:rPr>
          <w:rFonts w:hint="eastAsia" w:ascii="宋体" w:hAnsi="宋体"/>
          <w:sz w:val="24"/>
        </w:rPr>
        <w:t xml:space="preserve">理财计划认/申购办理流程：参照《投资者权益须知》约定。 </w:t>
      </w:r>
    </w:p>
    <w:p>
      <w:pPr>
        <w:widowControl/>
        <w:numPr>
          <w:ilvl w:val="0"/>
          <w:numId w:val="71"/>
        </w:numPr>
        <w:spacing w:line="360" w:lineRule="auto"/>
        <w:contextualSpacing/>
        <w:rPr>
          <w:rFonts w:ascii="宋体" w:hAnsi="宋体"/>
          <w:sz w:val="24"/>
        </w:rPr>
      </w:pPr>
      <w:r>
        <w:rPr>
          <w:rFonts w:hint="eastAsia" w:ascii="宋体" w:hAnsi="宋体"/>
          <w:sz w:val="24"/>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1"/>
        </w:numPr>
        <w:spacing w:line="360" w:lineRule="auto"/>
        <w:contextualSpacing/>
        <w:rPr>
          <w:rFonts w:ascii="宋体" w:hAnsi="宋体"/>
          <w:sz w:val="24"/>
        </w:rPr>
      </w:pPr>
      <w:r>
        <w:rPr>
          <w:rFonts w:hint="eastAsia" w:ascii="宋体" w:hAnsi="宋体"/>
          <w:sz w:val="24"/>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1"/>
        </w:numPr>
        <w:spacing w:line="360" w:lineRule="auto"/>
        <w:contextualSpacing/>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71"/>
        </w:numPr>
        <w:spacing w:line="360" w:lineRule="auto"/>
        <w:contextualSpacing/>
        <w:rPr>
          <w:rFonts w:ascii="宋体" w:hAnsi="宋体"/>
          <w:sz w:val="24"/>
        </w:rPr>
      </w:pPr>
      <w:r>
        <w:rPr>
          <w:rFonts w:hint="eastAsia" w:ascii="宋体" w:hAnsi="宋体"/>
          <w:sz w:val="24"/>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1"/>
        </w:numPr>
        <w:spacing w:line="360" w:lineRule="auto"/>
        <w:contextualSpacing/>
        <w:rPr>
          <w:rFonts w:ascii="宋体" w:hAnsi="宋体"/>
          <w:sz w:val="24"/>
        </w:rPr>
      </w:pPr>
      <w:r>
        <w:rPr>
          <w:rFonts w:hint="eastAsia" w:ascii="宋体" w:hAnsi="宋体"/>
          <w:sz w:val="24"/>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rPr>
      </w:pPr>
    </w:p>
    <w:p>
      <w:pPr>
        <w:numPr>
          <w:ilvl w:val="0"/>
          <w:numId w:val="68"/>
        </w:numPr>
        <w:spacing w:line="360" w:lineRule="auto"/>
        <w:ind w:firstLine="482" w:firstLineChars="200"/>
        <w:outlineLvl w:val="2"/>
        <w:rPr>
          <w:rFonts w:hint="eastAsia"/>
          <w:b/>
          <w:sz w:val="24"/>
        </w:rPr>
      </w:pPr>
      <w:r>
        <w:rPr>
          <w:rFonts w:hint="eastAsia"/>
          <w:b/>
          <w:sz w:val="24"/>
        </w:rPr>
        <w:t>税收处理</w:t>
      </w:r>
    </w:p>
    <w:p>
      <w:pPr>
        <w:widowControl/>
        <w:spacing w:line="360" w:lineRule="auto"/>
        <w:ind w:firstLine="480" w:firstLineChars="200"/>
        <w:contextualSpacing/>
        <w:rPr>
          <w:rFonts w:hint="eastAsia" w:ascii="宋体" w:hAnsi="宋体"/>
          <w:sz w:val="24"/>
        </w:rPr>
      </w:pPr>
      <w:r>
        <w:rPr>
          <w:rFonts w:hint="eastAsia" w:ascii="宋体" w:hAnsi="宋体"/>
          <w:sz w:val="24"/>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rPr>
      </w:pPr>
    </w:p>
    <w:p>
      <w:pPr>
        <w:numPr>
          <w:ilvl w:val="0"/>
          <w:numId w:val="68"/>
        </w:numPr>
        <w:spacing w:line="360" w:lineRule="auto"/>
        <w:ind w:firstLine="482" w:firstLineChars="200"/>
        <w:outlineLvl w:val="2"/>
        <w:rPr>
          <w:rFonts w:hint="eastAsia"/>
          <w:b/>
          <w:sz w:val="24"/>
        </w:rPr>
      </w:pPr>
      <w:r>
        <w:rPr>
          <w:rFonts w:hint="eastAsia"/>
          <w:b/>
          <w:sz w:val="24"/>
        </w:rPr>
        <w:t>违约责任及免责条款</w:t>
      </w:r>
    </w:p>
    <w:p>
      <w:pPr>
        <w:widowControl/>
        <w:numPr>
          <w:ilvl w:val="0"/>
          <w:numId w:val="72"/>
        </w:numPr>
        <w:spacing w:line="360" w:lineRule="auto"/>
        <w:contextualSpacing/>
        <w:rPr>
          <w:rFonts w:ascii="宋体" w:hAnsi="宋体"/>
          <w:sz w:val="24"/>
        </w:rPr>
      </w:pPr>
      <w:r>
        <w:rPr>
          <w:rFonts w:hint="eastAsia" w:ascii="宋体" w:hAnsi="宋体"/>
          <w:sz w:val="24"/>
        </w:rPr>
        <w:t>若因投资人原因导致司法或行政机构采取强制措施对其理财本金、收益进行部分或全部被扣划，均视投资者本人就全部理财本金违约进行了提前</w:t>
      </w:r>
      <w:r>
        <w:rPr>
          <w:rFonts w:hint="eastAsia" w:ascii="宋体" w:hAnsi="宋体"/>
          <w:sz w:val="24"/>
          <w:lang w:val="en-US" w:eastAsia="zh-CN"/>
        </w:rPr>
        <w:t>赎回</w:t>
      </w:r>
      <w:r>
        <w:rPr>
          <w:rFonts w:hint="eastAsia" w:ascii="宋体" w:hAnsi="宋体"/>
          <w:sz w:val="24"/>
        </w:rPr>
        <w:t>，本合同自动终止。因提前终止而产生的损失及相关费用由投资者承担。本合同前述情况终止的，理财本金不计付</w:t>
      </w:r>
      <w:r>
        <w:rPr>
          <w:rFonts w:hint="eastAsia" w:ascii="宋体" w:hAnsi="宋体"/>
          <w:sz w:val="24"/>
          <w:lang w:val="en-US" w:eastAsia="zh-CN"/>
        </w:rPr>
        <w:t>赎回</w:t>
      </w:r>
      <w:r>
        <w:rPr>
          <w:rFonts w:hint="eastAsia" w:ascii="宋体" w:hAnsi="宋体"/>
          <w:sz w:val="24"/>
        </w:rPr>
        <w:t>日前的理财收益，也不计付存款利息。</w:t>
      </w:r>
    </w:p>
    <w:p>
      <w:pPr>
        <w:widowControl/>
        <w:numPr>
          <w:ilvl w:val="0"/>
          <w:numId w:val="72"/>
        </w:numPr>
        <w:spacing w:line="360" w:lineRule="auto"/>
        <w:contextualSpacing/>
        <w:rPr>
          <w:rFonts w:ascii="宋体" w:hAnsi="宋体"/>
          <w:sz w:val="24"/>
        </w:rPr>
      </w:pPr>
      <w:r>
        <w:rPr>
          <w:rFonts w:hint="eastAsia" w:ascii="宋体" w:hAnsi="宋体"/>
          <w:sz w:val="24"/>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2"/>
        </w:numPr>
        <w:spacing w:line="360" w:lineRule="auto"/>
        <w:contextualSpacing/>
        <w:rPr>
          <w:rFonts w:ascii="宋体" w:hAnsi="宋体"/>
          <w:sz w:val="24"/>
        </w:rPr>
      </w:pPr>
      <w:r>
        <w:rPr>
          <w:rFonts w:hint="eastAsia" w:ascii="宋体" w:hAnsi="宋体"/>
          <w:sz w:val="24"/>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2"/>
        </w:numPr>
        <w:spacing w:line="360" w:lineRule="auto"/>
        <w:contextualSpacing/>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2"/>
        </w:numPr>
        <w:spacing w:line="360" w:lineRule="auto"/>
        <w:contextualSpacing/>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因国家有关法律、法规、规章、政策的修改或新的法律、法规、规章、政策颁布以及紧急措施的出台导致的风险及损失，管理人不承担责任。</w:t>
      </w:r>
    </w:p>
    <w:p>
      <w:pPr>
        <w:widowControl/>
        <w:numPr>
          <w:ilvl w:val="0"/>
          <w:numId w:val="72"/>
        </w:numPr>
        <w:spacing w:line="360" w:lineRule="auto"/>
        <w:contextualSpacing/>
        <w:rPr>
          <w:rFonts w:hint="eastAsia" w:ascii="宋体" w:hAnsi="宋体"/>
          <w:sz w:val="24"/>
        </w:rPr>
      </w:pPr>
      <w:r>
        <w:rPr>
          <w:rFonts w:hint="eastAsia" w:ascii="宋体" w:hAnsi="宋体"/>
          <w:sz w:val="24"/>
        </w:rPr>
        <w:t>管理人若严格按照产品说明书相关规定进行投资运作，给投资者造成损失的，应免除管理人责任。</w:t>
      </w:r>
    </w:p>
    <w:p>
      <w:pPr>
        <w:widowControl/>
        <w:spacing w:line="360" w:lineRule="auto"/>
        <w:contextualSpacing/>
        <w:rPr>
          <w:rFonts w:ascii="宋体" w:hAnsi="宋体"/>
          <w:sz w:val="24"/>
        </w:rPr>
      </w:pPr>
    </w:p>
    <w:p>
      <w:pPr>
        <w:numPr>
          <w:ilvl w:val="0"/>
          <w:numId w:val="68"/>
        </w:numPr>
        <w:spacing w:line="360" w:lineRule="auto"/>
        <w:ind w:firstLine="482" w:firstLineChars="200"/>
        <w:outlineLvl w:val="2"/>
        <w:rPr>
          <w:b/>
          <w:sz w:val="24"/>
        </w:rPr>
      </w:pPr>
      <w:r>
        <w:rPr>
          <w:rFonts w:hint="eastAsia"/>
          <w:b/>
          <w:sz w:val="24"/>
        </w:rPr>
        <w:t>适用法律与争议解决</w:t>
      </w:r>
    </w:p>
    <w:p>
      <w:pPr>
        <w:widowControl/>
        <w:spacing w:line="360" w:lineRule="auto"/>
        <w:ind w:firstLine="480" w:firstLineChars="200"/>
        <w:contextualSpacing/>
        <w:rPr>
          <w:rFonts w:ascii="宋体" w:hAnsi="宋体"/>
          <w:sz w:val="24"/>
        </w:rPr>
      </w:pPr>
      <w:r>
        <w:rPr>
          <w:rFonts w:hint="eastAsia" w:ascii="宋体" w:hAnsi="宋体"/>
          <w:sz w:val="24"/>
        </w:rPr>
        <w:t>本合同适用</w:t>
      </w:r>
      <w:r>
        <w:rPr>
          <w:rFonts w:hint="eastAsia" w:ascii="宋体" w:hAnsi="宋体" w:cs="宋体"/>
          <w:bCs/>
          <w:color w:val="000000"/>
          <w:sz w:val="24"/>
        </w:rPr>
        <w:t>中华人民共和国（仅为明确本合同适用法律规则，不含香港特别行政区、澳门特别行政区及中国台湾地区）</w:t>
      </w:r>
      <w:r>
        <w:rPr>
          <w:rFonts w:hint="eastAsia" w:ascii="宋体" w:hAnsi="宋体"/>
          <w:sz w:val="24"/>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rPr>
        <w:t>管理人所在地人民法院司法裁决。诉讼期间，未涉及争议的条款仍</w:t>
      </w:r>
      <w:r>
        <w:rPr>
          <w:rFonts w:hint="eastAsia" w:ascii="宋体" w:hAnsi="宋体"/>
          <w:sz w:val="24"/>
          <w:lang w:val="en-US" w:eastAsia="zh-CN"/>
        </w:rPr>
        <w:t>需</w:t>
      </w:r>
      <w:r>
        <w:rPr>
          <w:rFonts w:hint="eastAsia" w:ascii="宋体" w:hAnsi="宋体"/>
          <w:sz w:val="24"/>
        </w:rPr>
        <w:t>继续履行。</w:t>
      </w:r>
    </w:p>
    <w:p>
      <w:pPr>
        <w:spacing w:line="360" w:lineRule="auto"/>
        <w:ind w:left="482"/>
        <w:rPr>
          <w:b/>
          <w:sz w:val="24"/>
        </w:rPr>
      </w:pPr>
    </w:p>
    <w:p>
      <w:pPr>
        <w:numPr>
          <w:ilvl w:val="0"/>
          <w:numId w:val="68"/>
        </w:numPr>
        <w:spacing w:line="360" w:lineRule="auto"/>
        <w:ind w:firstLine="482" w:firstLineChars="200"/>
        <w:outlineLvl w:val="2"/>
        <w:rPr>
          <w:rFonts w:hint="eastAsia"/>
          <w:b/>
          <w:sz w:val="24"/>
        </w:rPr>
      </w:pPr>
      <w:r>
        <w:rPr>
          <w:rFonts w:hint="eastAsia"/>
          <w:b/>
          <w:sz w:val="24"/>
        </w:rPr>
        <w:t>协议生效和终止</w:t>
      </w:r>
    </w:p>
    <w:p>
      <w:pPr>
        <w:widowControl/>
        <w:numPr>
          <w:ilvl w:val="0"/>
          <w:numId w:val="73"/>
        </w:numPr>
        <w:spacing w:line="360" w:lineRule="auto"/>
        <w:contextualSpacing/>
        <w:rPr>
          <w:rFonts w:ascii="宋体" w:hAnsi="宋体"/>
          <w:sz w:val="24"/>
        </w:rPr>
      </w:pPr>
      <w:r>
        <w:rPr>
          <w:rFonts w:hint="eastAsia" w:ascii="宋体" w:hAnsi="宋体"/>
          <w:sz w:val="24"/>
        </w:rPr>
        <w:t xml:space="preserve">投资者和管理人双方认可本协议可以纸质或电子数据等形式提交、订立或确认。 </w:t>
      </w:r>
    </w:p>
    <w:p>
      <w:pPr>
        <w:widowControl/>
        <w:numPr>
          <w:ilvl w:val="0"/>
          <w:numId w:val="73"/>
        </w:numPr>
        <w:spacing w:line="360" w:lineRule="auto"/>
        <w:contextualSpacing/>
        <w:rPr>
          <w:rFonts w:hint="eastAsia" w:ascii="宋体" w:hAnsi="宋体"/>
          <w:sz w:val="24"/>
        </w:rPr>
      </w:pPr>
      <w:r>
        <w:rPr>
          <w:rFonts w:hint="eastAsia" w:ascii="宋体" w:hAnsi="宋体"/>
          <w:sz w:val="24"/>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rPr>
        <w:t>份，投资者和管理人双方各执</w:t>
      </w:r>
      <w:r>
        <w:rPr>
          <w:rFonts w:hint="eastAsia" w:ascii="宋体" w:hAnsi="宋体"/>
          <w:sz w:val="24"/>
          <w:highlight w:val="none"/>
          <w:lang w:eastAsia="zh-CN"/>
        </w:rPr>
        <w:t>壹</w:t>
      </w:r>
      <w:r>
        <w:rPr>
          <w:rFonts w:hint="eastAsia" w:ascii="宋体" w:hAnsi="宋体"/>
          <w:sz w:val="24"/>
        </w:rPr>
        <w:t xml:space="preserve">份，具有同等法律效力。 </w:t>
      </w:r>
    </w:p>
    <w:p>
      <w:pPr>
        <w:widowControl/>
        <w:numPr>
          <w:ilvl w:val="0"/>
          <w:numId w:val="73"/>
        </w:numPr>
        <w:spacing w:line="360" w:lineRule="auto"/>
        <w:contextualSpacing/>
        <w:rPr>
          <w:rFonts w:hint="eastAsia" w:ascii="宋体" w:hAnsi="宋体"/>
          <w:sz w:val="24"/>
        </w:rPr>
      </w:pPr>
      <w:r>
        <w:rPr>
          <w:rFonts w:hint="eastAsia" w:ascii="宋体" w:hAnsi="宋体"/>
          <w:sz w:val="24"/>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3"/>
        </w:numPr>
        <w:spacing w:line="360" w:lineRule="auto"/>
        <w:contextualSpacing/>
        <w:rPr>
          <w:rFonts w:hint="eastAsia" w:ascii="宋体" w:hAnsi="宋体"/>
          <w:sz w:val="24"/>
        </w:rPr>
      </w:pPr>
      <w:r>
        <w:rPr>
          <w:rFonts w:hint="eastAsia" w:ascii="宋体" w:hAnsi="宋体"/>
          <w:sz w:val="24"/>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rPr>
      </w:pPr>
    </w:p>
    <w:p>
      <w:pPr>
        <w:numPr>
          <w:ilvl w:val="0"/>
          <w:numId w:val="68"/>
        </w:numPr>
        <w:spacing w:line="360" w:lineRule="auto"/>
        <w:ind w:firstLine="482" w:firstLineChars="200"/>
        <w:outlineLvl w:val="2"/>
        <w:rPr>
          <w:b/>
          <w:sz w:val="24"/>
        </w:rPr>
      </w:pPr>
      <w:r>
        <w:rPr>
          <w:rFonts w:hint="eastAsia"/>
          <w:b/>
          <w:sz w:val="24"/>
        </w:rPr>
        <w:t>附则</w:t>
      </w:r>
    </w:p>
    <w:p>
      <w:pPr>
        <w:widowControl/>
        <w:numPr>
          <w:ilvl w:val="0"/>
          <w:numId w:val="74"/>
        </w:numPr>
        <w:spacing w:line="360" w:lineRule="auto"/>
        <w:contextualSpacing/>
        <w:rPr>
          <w:rFonts w:ascii="宋体" w:hAnsi="宋体"/>
          <w:sz w:val="24"/>
        </w:rPr>
      </w:pPr>
      <w:r>
        <w:rPr>
          <w:rFonts w:hint="eastAsia" w:ascii="宋体" w:hAnsi="宋体"/>
          <w:sz w:val="24"/>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4"/>
        </w:numPr>
        <w:spacing w:line="360" w:lineRule="auto"/>
        <w:contextualSpacing/>
        <w:rPr>
          <w:rFonts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74"/>
        </w:numPr>
        <w:spacing w:line="360" w:lineRule="auto"/>
        <w:contextualSpacing/>
        <w:rPr>
          <w:rFonts w:ascii="宋体" w:hAnsi="宋体"/>
          <w:sz w:val="24"/>
        </w:rPr>
      </w:pPr>
      <w:r>
        <w:rPr>
          <w:rFonts w:hint="eastAsia" w:ascii="宋体" w:hAnsi="宋体"/>
          <w:sz w:val="24"/>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pStyle w:val="7"/>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jc w:val="center"/>
        <w:outlineLvl w:val="0"/>
        <w:rPr>
          <w:rFonts w:hint="eastAsia"/>
          <w:b/>
          <w:sz w:val="44"/>
          <w:szCs w:val="44"/>
        </w:rPr>
      </w:pPr>
      <w:r>
        <w:rPr>
          <w:rFonts w:hint="eastAsia"/>
          <w:b/>
          <w:sz w:val="44"/>
          <w:szCs w:val="44"/>
        </w:rPr>
        <w:t>杭银理财理财计划销售协议书</w:t>
      </w:r>
    </w:p>
    <w:p>
      <w:pPr>
        <w:jc w:val="center"/>
        <w:outlineLvl w:val="1"/>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center"/>
        <w:outlineLvl w:val="2"/>
        <w:rPr>
          <w:sz w:val="32"/>
          <w:szCs w:val="40"/>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特别提示：《杭银理财理财计划销售协议书</w:t>
      </w:r>
      <w:r>
        <w:rPr>
          <w:rFonts w:hint="eastAsia" w:ascii="宋体" w:hAnsi="宋体" w:cs="宋体"/>
          <w:b/>
          <w:bCs/>
          <w:sz w:val="24"/>
        </w:rPr>
        <w:t>（</w:t>
      </w:r>
      <w:r>
        <w:rPr>
          <w:rFonts w:hint="eastAsia" w:ascii="宋体" w:hAnsi="宋体" w:cs="宋体"/>
          <w:b/>
          <w:bCs/>
          <w:sz w:val="24"/>
          <w:lang w:eastAsia="zh-CN"/>
        </w:rPr>
        <w:t>202201</w:t>
      </w:r>
      <w:r>
        <w:rPr>
          <w:rFonts w:hint="eastAsia" w:ascii="宋体" w:hAnsi="宋体" w:cs="宋体"/>
          <w:b/>
          <w:bCs/>
          <w:sz w:val="24"/>
        </w:rPr>
        <w:t>版）</w:t>
      </w:r>
      <w:r>
        <w:rPr>
          <w:rFonts w:hint="eastAsia"/>
          <w:b/>
          <w:bCs/>
          <w:sz w:val="24"/>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rPr>
      </w:pPr>
      <w:r>
        <w:rPr>
          <w:rFonts w:hint="eastAsia"/>
          <w:b/>
          <w:bCs/>
          <w:sz w:val="24"/>
        </w:rPr>
        <w:t>理财非存款、产品有风险、投资须谨慎，理财计划过往业绩不代表其未来表现，不等于理财计划实际收益。</w:t>
      </w:r>
    </w:p>
    <w:p>
      <w:pPr>
        <w:widowControl/>
        <w:spacing w:line="360" w:lineRule="auto"/>
        <w:ind w:firstLine="480" w:firstLineChars="200"/>
        <w:rPr>
          <w:rFonts w:hint="eastAsia"/>
          <w:sz w:val="24"/>
        </w:rPr>
      </w:pPr>
      <w:r>
        <w:rPr>
          <w:rFonts w:hint="eastAsia"/>
          <w:sz w:val="24"/>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rPr>
        <w:t>销售机构面向投资者实施销售行为，两方共同承担理财计划的合规销售和投资者合法权益保护义务。</w:t>
      </w:r>
    </w:p>
    <w:p>
      <w:pPr>
        <w:widowControl/>
        <w:spacing w:line="360" w:lineRule="auto"/>
        <w:ind w:firstLine="480" w:firstLineChars="200"/>
        <w:rPr>
          <w:rFonts w:hint="eastAsia"/>
          <w:sz w:val="24"/>
        </w:rPr>
      </w:pPr>
      <w:r>
        <w:rPr>
          <w:rFonts w:hint="eastAsia"/>
          <w:sz w:val="24"/>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rPr>
      </w:pPr>
    </w:p>
    <w:p>
      <w:pPr>
        <w:widowControl/>
        <w:spacing w:line="360" w:lineRule="auto"/>
        <w:outlineLvl w:val="2"/>
        <w:rPr>
          <w:rFonts w:hint="eastAsia"/>
          <w:b/>
          <w:bCs/>
          <w:sz w:val="24"/>
        </w:rPr>
      </w:pPr>
      <w:r>
        <w:rPr>
          <w:rFonts w:hint="eastAsia"/>
          <w:b/>
          <w:bCs/>
          <w:sz w:val="24"/>
        </w:rPr>
        <w:t xml:space="preserve">    第一条 名词释义</w:t>
      </w:r>
    </w:p>
    <w:p>
      <w:pPr>
        <w:widowControl/>
        <w:spacing w:line="360" w:lineRule="auto"/>
        <w:ind w:firstLine="480" w:firstLineChars="200"/>
        <w:jc w:val="left"/>
        <w:rPr>
          <w:rFonts w:hint="eastAsia"/>
          <w:bCs/>
          <w:sz w:val="24"/>
        </w:rPr>
      </w:pPr>
      <w:r>
        <w:rPr>
          <w:rFonts w:hint="eastAsia"/>
          <w:bCs/>
          <w:sz w:val="24"/>
        </w:rPr>
        <w:t>详见对应期次的理财计划产品说明书“释义”部分。</w:t>
      </w:r>
    </w:p>
    <w:p>
      <w:pPr>
        <w:widowControl/>
        <w:spacing w:line="360" w:lineRule="auto"/>
        <w:ind w:firstLine="480" w:firstLineChars="200"/>
        <w:jc w:val="left"/>
        <w:rPr>
          <w:rFonts w:hint="eastAsia"/>
          <w:bCs/>
          <w:sz w:val="24"/>
        </w:rPr>
      </w:pPr>
    </w:p>
    <w:p>
      <w:pPr>
        <w:widowControl/>
        <w:spacing w:line="360" w:lineRule="auto"/>
        <w:ind w:firstLine="482" w:firstLineChars="200"/>
        <w:jc w:val="left"/>
        <w:outlineLvl w:val="2"/>
        <w:rPr>
          <w:rFonts w:hint="eastAsia"/>
          <w:b/>
          <w:bCs/>
          <w:sz w:val="24"/>
        </w:rPr>
      </w:pPr>
      <w:r>
        <w:rPr>
          <w:rFonts w:hint="eastAsia"/>
          <w:b/>
          <w:bCs/>
          <w:sz w:val="24"/>
        </w:rPr>
        <w:t>第二条 投资者权利与义务</w:t>
      </w:r>
    </w:p>
    <w:p>
      <w:pPr>
        <w:widowControl/>
        <w:numPr>
          <w:ilvl w:val="0"/>
          <w:numId w:val="75"/>
        </w:numPr>
        <w:spacing w:line="360" w:lineRule="auto"/>
        <w:contextualSpacing/>
        <w:rPr>
          <w:rFonts w:hint="eastAsia"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75"/>
        </w:numPr>
        <w:spacing w:line="360" w:lineRule="auto"/>
        <w:contextualSpacing/>
        <w:rPr>
          <w:rFonts w:hint="eastAsia" w:ascii="宋体" w:hAnsi="宋体"/>
          <w:sz w:val="24"/>
        </w:rPr>
      </w:pPr>
      <w:r>
        <w:rPr>
          <w:rFonts w:hint="eastAsia" w:ascii="宋体" w:hAnsi="宋体"/>
          <w:b/>
          <w:bCs/>
          <w:sz w:val="24"/>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rPr>
        <w:t>投资冷静期相关约定详见理财计划产品说明书。</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5"/>
        </w:numPr>
        <w:spacing w:line="360" w:lineRule="auto"/>
        <w:contextualSpacing/>
        <w:rPr>
          <w:rFonts w:hint="eastAsia" w:ascii="宋体" w:hAnsi="宋体"/>
          <w:sz w:val="24"/>
        </w:rPr>
      </w:pPr>
      <w:r>
        <w:rPr>
          <w:rFonts w:hint="eastAsia" w:ascii="宋体" w:hAnsi="宋体"/>
          <w:b/>
          <w:bCs/>
          <w:sz w:val="24"/>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rPr>
        <w:t>。</w:t>
      </w:r>
    </w:p>
    <w:p>
      <w:pPr>
        <w:widowControl/>
        <w:numPr>
          <w:ilvl w:val="0"/>
          <w:numId w:val="75"/>
        </w:numPr>
        <w:spacing w:line="360" w:lineRule="auto"/>
        <w:contextualSpacing/>
        <w:rPr>
          <w:rFonts w:hint="eastAsia" w:ascii="宋体" w:hAnsi="宋体"/>
          <w:sz w:val="24"/>
        </w:rPr>
      </w:pPr>
      <w:r>
        <w:rPr>
          <w:rFonts w:hint="eastAsia" w:ascii="宋体" w:hAnsi="宋体"/>
          <w:sz w:val="24"/>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lang w:eastAsia="zh-CN"/>
        </w:rPr>
        <w:t>销售机构</w:t>
      </w:r>
      <w:r>
        <w:rPr>
          <w:rFonts w:hint="eastAsia" w:ascii="宋体" w:hAnsi="宋体"/>
          <w:sz w:val="24"/>
        </w:rPr>
        <w:t xml:space="preserve">对此不承担任何责任。 </w:t>
      </w:r>
    </w:p>
    <w:p>
      <w:pPr>
        <w:widowControl/>
        <w:numPr>
          <w:ilvl w:val="0"/>
          <w:numId w:val="75"/>
        </w:numPr>
        <w:spacing w:line="360" w:lineRule="auto"/>
        <w:contextualSpacing/>
        <w:rPr>
          <w:rFonts w:hint="eastAsia" w:ascii="宋体" w:hAnsi="宋体"/>
          <w:sz w:val="24"/>
        </w:rPr>
      </w:pPr>
      <w:r>
        <w:rPr>
          <w:rFonts w:hint="eastAsia" w:ascii="宋体" w:hAnsi="宋体"/>
          <w:sz w:val="24"/>
        </w:rPr>
        <w:t>在本理财计划存续期内，如有权机关要求</w:t>
      </w:r>
      <w:r>
        <w:rPr>
          <w:rFonts w:hint="eastAsia" w:ascii="宋体" w:hAnsi="宋体"/>
          <w:sz w:val="24"/>
          <w:lang w:eastAsia="zh-CN"/>
        </w:rPr>
        <w:t>销售机构</w:t>
      </w:r>
      <w:r>
        <w:rPr>
          <w:rFonts w:hint="eastAsia" w:ascii="宋体" w:hAnsi="宋体"/>
          <w:sz w:val="24"/>
        </w:rPr>
        <w:t>配合对投资者理财份额、理财账户、授权指定账户进行查封、冻结或扣划的，</w:t>
      </w:r>
      <w:r>
        <w:rPr>
          <w:rFonts w:hint="eastAsia" w:ascii="宋体" w:hAnsi="宋体"/>
          <w:sz w:val="24"/>
          <w:lang w:eastAsia="zh-CN"/>
        </w:rPr>
        <w:t>销售机构</w:t>
      </w:r>
      <w:r>
        <w:rPr>
          <w:rFonts w:hint="eastAsia" w:ascii="宋体" w:hAnsi="宋体"/>
          <w:sz w:val="24"/>
        </w:rPr>
        <w:t>有权根据实际情况采取相应措施。</w:t>
      </w:r>
      <w:r>
        <w:rPr>
          <w:rFonts w:hint="eastAsia" w:ascii="宋体" w:hAnsi="宋体"/>
          <w:sz w:val="24"/>
          <w:lang w:eastAsia="zh-CN"/>
        </w:rPr>
        <w:t>销售机构</w:t>
      </w:r>
      <w:r>
        <w:rPr>
          <w:rFonts w:hint="eastAsia" w:ascii="宋体" w:hAnsi="宋体"/>
          <w:sz w:val="24"/>
        </w:rPr>
        <w:t xml:space="preserve">对上述后果不承担任何责任。 </w:t>
      </w:r>
    </w:p>
    <w:p>
      <w:pPr>
        <w:widowControl/>
        <w:numPr>
          <w:ilvl w:val="0"/>
          <w:numId w:val="75"/>
        </w:numPr>
        <w:spacing w:line="360" w:lineRule="auto"/>
        <w:ind w:left="0" w:firstLine="0"/>
        <w:contextualSpacing/>
        <w:rPr>
          <w:rFonts w:hint="eastAsia" w:ascii="宋体" w:hAnsi="宋体"/>
          <w:sz w:val="24"/>
        </w:rPr>
      </w:pPr>
      <w:r>
        <w:rPr>
          <w:rFonts w:hint="eastAsia" w:ascii="宋体" w:hAnsi="宋体"/>
          <w:sz w:val="24"/>
        </w:rPr>
        <w:t>本协议终止前，投资者不得将授权指定账户销户。若发生因投资者注销授权指定账户造成理财计划无法正常兑付的，</w:t>
      </w:r>
      <w:r>
        <w:rPr>
          <w:rFonts w:hint="eastAsia" w:ascii="宋体" w:hAnsi="宋体"/>
          <w:sz w:val="24"/>
          <w:lang w:eastAsia="zh-CN"/>
        </w:rPr>
        <w:t>销售机构</w:t>
      </w:r>
      <w:r>
        <w:rPr>
          <w:rFonts w:hint="eastAsia" w:ascii="宋体" w:hAnsi="宋体"/>
          <w:sz w:val="24"/>
        </w:rPr>
        <w:t>不承担任何责任。</w:t>
      </w:r>
    </w:p>
    <w:p>
      <w:pPr>
        <w:widowControl/>
        <w:numPr>
          <w:ilvl w:val="0"/>
          <w:numId w:val="69"/>
        </w:numPr>
        <w:spacing w:line="360" w:lineRule="auto"/>
        <w:contextualSpacing/>
        <w:rPr>
          <w:rFonts w:hint="eastAsia" w:ascii="宋体" w:hAnsi="宋体"/>
          <w:sz w:val="24"/>
        </w:rPr>
      </w:pPr>
      <w:r>
        <w:rPr>
          <w:rFonts w:hint="eastAsia" w:ascii="宋体" w:hAnsi="宋体"/>
          <w:sz w:val="24"/>
        </w:rPr>
        <w:t>投资者应确保其提供的所有资料真实、完整、合法、有效，如果有任何变更，投资者应及时通知</w:t>
      </w:r>
      <w:r>
        <w:rPr>
          <w:rFonts w:hint="eastAsia" w:ascii="宋体" w:hAnsi="宋体"/>
          <w:sz w:val="24"/>
          <w:lang w:eastAsia="zh-CN"/>
        </w:rPr>
        <w:t>销售机构</w:t>
      </w:r>
      <w:r>
        <w:rPr>
          <w:rFonts w:hint="eastAsia" w:ascii="宋体" w:hAnsi="宋体"/>
          <w:sz w:val="24"/>
        </w:rPr>
        <w:t>并办理变更手续。如因投资者未及时通知</w:t>
      </w:r>
      <w:r>
        <w:rPr>
          <w:rFonts w:hint="eastAsia" w:ascii="宋体" w:hAnsi="宋体"/>
          <w:sz w:val="24"/>
          <w:lang w:eastAsia="zh-CN"/>
        </w:rPr>
        <w:t>销售机构</w:t>
      </w:r>
      <w:r>
        <w:rPr>
          <w:rFonts w:hint="eastAsia" w:ascii="宋体" w:hAnsi="宋体"/>
          <w:sz w:val="24"/>
        </w:rPr>
        <w:t>并办理相应的变更手续，由此导致的一切后果由投资者自行承担，</w:t>
      </w:r>
      <w:r>
        <w:rPr>
          <w:rFonts w:hint="eastAsia" w:ascii="宋体" w:hAnsi="宋体"/>
          <w:sz w:val="24"/>
          <w:lang w:eastAsia="zh-CN"/>
        </w:rPr>
        <w:t>销售机构</w:t>
      </w:r>
      <w:r>
        <w:rPr>
          <w:rFonts w:hint="eastAsia" w:ascii="宋体" w:hAnsi="宋体"/>
          <w:sz w:val="24"/>
        </w:rPr>
        <w:t xml:space="preserve">对此不承担任何责任。 </w:t>
      </w:r>
    </w:p>
    <w:p>
      <w:pPr>
        <w:widowControl/>
        <w:numPr>
          <w:ilvl w:val="0"/>
          <w:numId w:val="69"/>
        </w:numPr>
        <w:spacing w:line="360" w:lineRule="auto"/>
        <w:contextualSpacing/>
        <w:rPr>
          <w:rFonts w:hint="eastAsia" w:ascii="宋体" w:hAnsi="宋体"/>
          <w:sz w:val="24"/>
        </w:rPr>
      </w:pPr>
      <w:r>
        <w:rPr>
          <w:rFonts w:hint="eastAsia" w:ascii="宋体" w:hAnsi="宋体"/>
          <w:sz w:val="24"/>
        </w:rPr>
        <w:t>投资者对本协议及其条款负有保密义务，未经</w:t>
      </w:r>
      <w:r>
        <w:rPr>
          <w:rFonts w:hint="eastAsia" w:ascii="宋体" w:hAnsi="宋体"/>
          <w:sz w:val="24"/>
          <w:lang w:eastAsia="zh-CN"/>
        </w:rPr>
        <w:t>销售机构</w:t>
      </w:r>
      <w:r>
        <w:rPr>
          <w:rFonts w:hint="eastAsia" w:ascii="宋体" w:hAnsi="宋体"/>
          <w:sz w:val="24"/>
        </w:rPr>
        <w:t>书面许可，不得向任何组织、个人提供或泄露与</w:t>
      </w:r>
      <w:r>
        <w:rPr>
          <w:rFonts w:hint="eastAsia" w:ascii="宋体" w:hAnsi="宋体"/>
          <w:sz w:val="24"/>
          <w:lang w:eastAsia="zh-CN"/>
        </w:rPr>
        <w:t>销售机构</w:t>
      </w:r>
      <w:r>
        <w:rPr>
          <w:rFonts w:hint="eastAsia" w:ascii="宋体" w:hAnsi="宋体"/>
          <w:sz w:val="24"/>
        </w:rPr>
        <w:t>有关的业务资料及信息，但法律、法规另有规定的除外。</w:t>
      </w:r>
    </w:p>
    <w:p>
      <w:pPr>
        <w:widowControl/>
        <w:numPr>
          <w:ilvl w:val="0"/>
          <w:numId w:val="69"/>
        </w:numPr>
        <w:spacing w:line="360" w:lineRule="auto"/>
        <w:contextualSpacing/>
        <w:rPr>
          <w:rFonts w:hint="eastAsia" w:ascii="宋体" w:hAnsi="宋体"/>
          <w:sz w:val="24"/>
        </w:rPr>
      </w:pPr>
      <w:r>
        <w:rPr>
          <w:rFonts w:hint="eastAsia" w:ascii="宋体" w:hAnsi="宋体"/>
          <w:sz w:val="24"/>
        </w:rPr>
        <w:t>投资者进行投资时，应严格遵守反洗钱相关法规的规定，切实履行反洗钱及反恐怖融资义务。</w:t>
      </w:r>
    </w:p>
    <w:p>
      <w:pPr>
        <w:widowControl/>
        <w:numPr>
          <w:ilvl w:val="0"/>
          <w:numId w:val="69"/>
        </w:numPr>
        <w:spacing w:line="360" w:lineRule="auto"/>
        <w:contextualSpacing/>
        <w:rPr>
          <w:rFonts w:hint="eastAsia" w:ascii="宋体" w:hAnsi="宋体"/>
          <w:b/>
          <w:bCs/>
          <w:sz w:val="24"/>
        </w:rPr>
      </w:pPr>
      <w:r>
        <w:rPr>
          <w:rFonts w:hint="eastAsia" w:ascii="宋体" w:hAnsi="宋体"/>
          <w:b/>
          <w:bCs/>
          <w:sz w:val="24"/>
        </w:rPr>
        <w:t>投资者个人信息授权</w:t>
      </w:r>
    </w:p>
    <w:p>
      <w:pPr>
        <w:widowControl/>
        <w:spacing w:line="360" w:lineRule="auto"/>
        <w:ind w:firstLine="482" w:firstLineChars="200"/>
        <w:contextualSpacing/>
        <w:rPr>
          <w:rFonts w:hint="eastAsia" w:ascii="宋体" w:hAnsi="宋体"/>
          <w:b/>
          <w:bCs/>
          <w:sz w:val="24"/>
        </w:rPr>
      </w:pPr>
      <w:r>
        <w:rPr>
          <w:rFonts w:hint="eastAsia" w:ascii="宋体" w:hAnsi="宋体"/>
          <w:b/>
          <w:bCs/>
          <w:sz w:val="24"/>
        </w:rPr>
        <w:t>基于</w:t>
      </w:r>
      <w:r>
        <w:rPr>
          <w:rFonts w:hint="eastAsia" w:ascii="宋体" w:hAnsi="宋体"/>
          <w:b/>
          <w:bCs/>
          <w:sz w:val="24"/>
          <w:lang w:eastAsia="zh-CN"/>
        </w:rPr>
        <w:t>销售机构</w:t>
      </w:r>
      <w:r>
        <w:rPr>
          <w:rFonts w:hint="eastAsia" w:ascii="宋体" w:hAnsi="宋体"/>
          <w:b/>
          <w:bCs/>
          <w:sz w:val="24"/>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lang w:eastAsia="zh-CN"/>
        </w:rPr>
        <w:t>销售机构</w:t>
      </w:r>
      <w:r>
        <w:rPr>
          <w:rFonts w:hint="eastAsia" w:ascii="宋体" w:hAnsi="宋体"/>
          <w:b/>
          <w:bCs/>
          <w:sz w:val="24"/>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rPr>
      </w:pPr>
      <w:r>
        <w:rPr>
          <w:rFonts w:hint="eastAsia" w:ascii="宋体" w:hAnsi="宋体" w:eastAsia="宋体"/>
          <w:b/>
          <w:bCs/>
          <w:sz w:val="24"/>
          <w:lang w:eastAsia="zh-CN"/>
        </w:rPr>
        <w:t>（</w:t>
      </w:r>
      <w:r>
        <w:rPr>
          <w:rFonts w:hint="eastAsia" w:ascii="宋体" w:hAnsi="宋体" w:eastAsia="宋体"/>
          <w:b/>
          <w:bCs/>
          <w:sz w:val="24"/>
          <w:lang w:val="en-US" w:eastAsia="zh-CN"/>
        </w:rPr>
        <w:t>十四</w:t>
      </w:r>
      <w:r>
        <w:rPr>
          <w:rFonts w:hint="eastAsia" w:ascii="宋体" w:hAnsi="宋体" w:eastAsia="宋体"/>
          <w:b/>
          <w:bCs/>
          <w:sz w:val="24"/>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rPr>
      </w:pPr>
    </w:p>
    <w:p>
      <w:pPr>
        <w:widowControl/>
        <w:spacing w:line="360" w:lineRule="auto"/>
        <w:outlineLvl w:val="2"/>
        <w:rPr>
          <w:rFonts w:hint="eastAsia"/>
          <w:b/>
          <w:bCs/>
          <w:sz w:val="24"/>
        </w:rPr>
      </w:pPr>
      <w:r>
        <w:rPr>
          <w:rFonts w:hint="eastAsia"/>
          <w:b/>
          <w:bCs/>
          <w:sz w:val="24"/>
        </w:rPr>
        <w:t xml:space="preserve">    第三条 </w:t>
      </w:r>
      <w:r>
        <w:rPr>
          <w:rFonts w:hint="eastAsia"/>
          <w:b/>
          <w:bCs/>
          <w:sz w:val="24"/>
          <w:lang w:eastAsia="zh-CN"/>
        </w:rPr>
        <w:t>销售机构</w:t>
      </w:r>
      <w:r>
        <w:rPr>
          <w:rFonts w:hint="eastAsia"/>
          <w:b/>
          <w:bCs/>
          <w:sz w:val="24"/>
        </w:rPr>
        <w:t>的权利与义务</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应对拟销售的理财计划开展尽职调查，承担审批职责，并纳入本机构统一专门名单管理，不得仅以管理人相关产品资料或其出具意见作为审批依据。</w:t>
      </w:r>
      <w:r>
        <w:rPr>
          <w:rFonts w:hint="eastAsia" w:ascii="宋体" w:hAnsi="宋体"/>
          <w:sz w:val="24"/>
          <w:lang w:eastAsia="zh-CN"/>
        </w:rPr>
        <w:t>销售机构</w:t>
      </w:r>
      <w:r>
        <w:rPr>
          <w:rFonts w:hint="eastAsia" w:ascii="宋体" w:hAnsi="宋体"/>
          <w:sz w:val="24"/>
        </w:rPr>
        <w:t>应当根据本机构的方式和方法，独立、审慎地对代理销售的理财计划进行销售评级。销售评级与管理人产品评级结果不一致的，</w:t>
      </w:r>
      <w:r>
        <w:rPr>
          <w:rFonts w:hint="eastAsia" w:ascii="宋体" w:hAnsi="宋体"/>
          <w:sz w:val="24"/>
          <w:lang w:eastAsia="zh-CN"/>
        </w:rPr>
        <w:t>销售机构</w:t>
      </w:r>
      <w:r>
        <w:rPr>
          <w:rFonts w:hint="eastAsia" w:ascii="宋体" w:hAnsi="宋体"/>
          <w:sz w:val="24"/>
        </w:rPr>
        <w:t>应当采用对应较高风险等级的评级结果并予以披露。</w:t>
      </w:r>
    </w:p>
    <w:p>
      <w:pPr>
        <w:widowControl/>
        <w:numPr>
          <w:ilvl w:val="0"/>
          <w:numId w:val="76"/>
        </w:numPr>
        <w:spacing w:line="360" w:lineRule="auto"/>
        <w:contextualSpacing/>
        <w:jc w:val="left"/>
        <w:rPr>
          <w:rFonts w:hint="eastAsia" w:ascii="宋体" w:hAnsi="宋体"/>
          <w:sz w:val="24"/>
        </w:rPr>
      </w:pPr>
      <w:r>
        <w:rPr>
          <w:rFonts w:hint="eastAsia" w:ascii="宋体" w:hAnsi="宋体"/>
          <w:b/>
          <w:bCs/>
          <w:sz w:val="24"/>
        </w:rPr>
        <w:t>代理销售机构非本计划的发行、管理机构，对本计划的业绩不承担任何保证和其他经济责任，不承担本计划的投资、兑付和风险管理责任</w:t>
      </w:r>
      <w:r>
        <w:rPr>
          <w:rFonts w:hint="eastAsia" w:ascii="宋体" w:hAnsi="宋体"/>
          <w:sz w:val="24"/>
        </w:rPr>
        <w:t>。</w:t>
      </w:r>
    </w:p>
    <w:p>
      <w:pPr>
        <w:widowControl/>
        <w:numPr>
          <w:ilvl w:val="0"/>
          <w:numId w:val="76"/>
        </w:numPr>
        <w:spacing w:line="360" w:lineRule="auto"/>
        <w:contextualSpacing/>
        <w:rPr>
          <w:rFonts w:hint="eastAsia" w:ascii="宋体" w:hAnsi="宋体"/>
          <w:sz w:val="24"/>
        </w:rPr>
      </w:pPr>
      <w:r>
        <w:rPr>
          <w:rFonts w:hint="eastAsia" w:ascii="宋体" w:hAnsi="宋体"/>
          <w:sz w:val="24"/>
          <w:lang w:eastAsia="zh-CN"/>
        </w:rPr>
        <w:t>销售机构</w:t>
      </w:r>
      <w:r>
        <w:rPr>
          <w:rFonts w:hint="eastAsia" w:ascii="宋体" w:hAnsi="宋体"/>
          <w:sz w:val="24"/>
        </w:rPr>
        <w:t>应定期对购买其代理销售的理财计划的非机构投资者进行有效风险承受能力评估，并保证向投资者推介及销售与其风险承受能力匹配的产品。</w:t>
      </w:r>
    </w:p>
    <w:p>
      <w:pPr>
        <w:widowControl/>
        <w:numPr>
          <w:ilvl w:val="0"/>
          <w:numId w:val="76"/>
        </w:numPr>
        <w:spacing w:line="360" w:lineRule="auto"/>
        <w:contextualSpacing/>
        <w:jc w:val="left"/>
        <w:rPr>
          <w:rFonts w:hint="eastAsia" w:ascii="宋体" w:hAnsi="宋体"/>
          <w:sz w:val="24"/>
        </w:rPr>
      </w:pPr>
      <w:r>
        <w:rPr>
          <w:rFonts w:hint="eastAsia" w:ascii="宋体" w:hAnsi="宋体"/>
          <w:sz w:val="24"/>
        </w:rPr>
        <w:t>对于通过营业网点向非机构投资者销售理财计划的，</w:t>
      </w:r>
      <w:r>
        <w:rPr>
          <w:rFonts w:hint="eastAsia" w:ascii="宋体" w:hAnsi="宋体"/>
          <w:sz w:val="24"/>
          <w:lang w:eastAsia="zh-CN"/>
        </w:rPr>
        <w:t>销售机构</w:t>
      </w:r>
      <w:r>
        <w:rPr>
          <w:rFonts w:hint="eastAsia" w:ascii="宋体" w:hAnsi="宋体"/>
          <w:sz w:val="24"/>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6"/>
        </w:numPr>
        <w:spacing w:line="360" w:lineRule="auto"/>
        <w:contextualSpacing/>
        <w:rPr>
          <w:rFonts w:hint="eastAsia" w:ascii="宋体" w:hAnsi="宋体"/>
          <w:sz w:val="24"/>
        </w:rPr>
      </w:pPr>
      <w:r>
        <w:rPr>
          <w:rFonts w:hint="eastAsia" w:ascii="宋体" w:hAnsi="宋体"/>
          <w:sz w:val="24"/>
          <w:lang w:eastAsia="zh-CN"/>
        </w:rPr>
        <w:t>销售机构</w:t>
      </w:r>
      <w:r>
        <w:rPr>
          <w:rFonts w:hint="eastAsia" w:ascii="宋体" w:hAnsi="宋体"/>
          <w:sz w:val="24"/>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应建立健全上岗资格、持续培训、信息公示与查询核实等制度并有效执行。未经</w:t>
      </w:r>
      <w:r>
        <w:rPr>
          <w:rFonts w:hint="eastAsia" w:ascii="宋体" w:hAnsi="宋体"/>
          <w:sz w:val="24"/>
          <w:lang w:eastAsia="zh-CN"/>
        </w:rPr>
        <w:t>销售机构</w:t>
      </w:r>
      <w:r>
        <w:rPr>
          <w:rFonts w:hint="eastAsia" w:ascii="宋体" w:hAnsi="宋体"/>
          <w:sz w:val="24"/>
        </w:rPr>
        <w:t>进行上岗资格认定并签订劳动合同，任何人员不得从事理财计划销售业务活动。</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对投资者负有信息保密义务，未经投资者书面许可，乙方不得向任何组织、个人提供或泄露与甲方有关的业务资料及信息，但法律、法规另有规定的除外。</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应按照法律法规、监管规定、理财计划合同的约定收取销售费用，并如实核算、记账。未经载明，不得对不同投资者适用不同费率。</w:t>
      </w:r>
    </w:p>
    <w:p>
      <w:pPr>
        <w:widowControl/>
        <w:numPr>
          <w:ilvl w:val="0"/>
          <w:numId w:val="70"/>
        </w:numPr>
        <w:spacing w:line="360" w:lineRule="auto"/>
        <w:contextualSpacing/>
        <w:jc w:val="left"/>
        <w:rPr>
          <w:rFonts w:hint="eastAsia" w:ascii="宋体" w:hAnsi="宋体"/>
          <w:sz w:val="24"/>
        </w:rPr>
      </w:pPr>
      <w:r>
        <w:rPr>
          <w:rFonts w:hint="eastAsia" w:ascii="宋体" w:hAnsi="宋体"/>
          <w:sz w:val="24"/>
        </w:rPr>
        <w:t>理财计划销售结算资金属于理财计划投资者，</w:t>
      </w:r>
      <w:r>
        <w:rPr>
          <w:rFonts w:hint="eastAsia" w:ascii="宋体" w:hAnsi="宋体"/>
          <w:sz w:val="24"/>
          <w:lang w:eastAsia="zh-CN"/>
        </w:rPr>
        <w:t>销售机构</w:t>
      </w:r>
      <w:r>
        <w:rPr>
          <w:rFonts w:hint="eastAsia" w:ascii="宋体" w:hAnsi="宋体"/>
          <w:sz w:val="24"/>
        </w:rPr>
        <w:t>不得挪用理财计划销售结算资金或将理财计划销售结算资金归入自有资产。</w:t>
      </w:r>
    </w:p>
    <w:p>
      <w:pPr>
        <w:widowControl/>
        <w:numPr>
          <w:ilvl w:val="0"/>
          <w:numId w:val="70"/>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应遵守相关法律、法规、监管规定及理财计划合同约定，诚实守信、勤勉尽责，向购买理财计划的投资者充分传递管理人披露的产品相关信息并进行充分的风险揭示。</w:t>
      </w:r>
    </w:p>
    <w:p>
      <w:pPr>
        <w:widowControl/>
        <w:numPr>
          <w:ilvl w:val="0"/>
          <w:numId w:val="70"/>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rPr>
      </w:pPr>
    </w:p>
    <w:p>
      <w:pPr>
        <w:widowControl/>
        <w:spacing w:line="360" w:lineRule="auto"/>
        <w:outlineLvl w:val="2"/>
        <w:rPr>
          <w:rFonts w:hint="eastAsia"/>
          <w:b/>
          <w:bCs/>
          <w:sz w:val="24"/>
        </w:rPr>
      </w:pPr>
      <w:r>
        <w:rPr>
          <w:rFonts w:hint="eastAsia"/>
          <w:b/>
          <w:bCs/>
          <w:sz w:val="24"/>
        </w:rPr>
        <w:t xml:space="preserve">    第四条 理财计划认（申）购、赎回及终止</w:t>
      </w:r>
    </w:p>
    <w:p>
      <w:pPr>
        <w:widowControl/>
        <w:numPr>
          <w:ilvl w:val="0"/>
          <w:numId w:val="77"/>
        </w:numPr>
        <w:spacing w:line="360" w:lineRule="auto"/>
        <w:contextualSpacing/>
        <w:rPr>
          <w:rFonts w:hint="eastAsia" w:ascii="宋体" w:hAnsi="宋体"/>
          <w:sz w:val="24"/>
        </w:rPr>
      </w:pPr>
      <w:r>
        <w:rPr>
          <w:rFonts w:hint="eastAsia" w:ascii="宋体" w:hAnsi="宋体"/>
          <w:sz w:val="24"/>
        </w:rPr>
        <w:t xml:space="preserve">理财计划认/申购办理流程：参照投资者权益须知约定。 </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理财计划认/申购确认：管理人根据销售渠道提供的交易信息及资金划付对投资者相应认/申购进行确认。</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理财计划不成立：若在募集期结束日，本理财计划发行规模未能达到对应期次的理财计划产品说明书规定的要求，则本理财计划不成立，</w:t>
      </w:r>
      <w:r>
        <w:rPr>
          <w:rFonts w:hint="eastAsia" w:ascii="宋体" w:hAnsi="宋体"/>
          <w:sz w:val="24"/>
          <w:lang w:eastAsia="zh-CN"/>
        </w:rPr>
        <w:t>销售机构</w:t>
      </w:r>
      <w:r>
        <w:rPr>
          <w:rFonts w:hint="eastAsia" w:ascii="宋体" w:hAnsi="宋体"/>
          <w:sz w:val="24"/>
        </w:rPr>
        <w:t xml:space="preserve">将按对应期次的理财计划产品说明书约定条款向投资者进行公告，并将及时解除对投资者授权指定账户中认购资金的冻结。 </w:t>
      </w:r>
    </w:p>
    <w:p>
      <w:pPr>
        <w:widowControl/>
        <w:numPr>
          <w:ilvl w:val="0"/>
          <w:numId w:val="77"/>
        </w:numPr>
        <w:spacing w:line="360" w:lineRule="auto"/>
        <w:contextualSpacing/>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理财计划赎回/终止兑付：在正常情况下，管理人和</w:t>
      </w:r>
      <w:r>
        <w:rPr>
          <w:rFonts w:hint="eastAsia" w:ascii="宋体" w:hAnsi="宋体"/>
          <w:sz w:val="24"/>
          <w:lang w:eastAsia="zh-CN"/>
        </w:rPr>
        <w:t>销售机构</w:t>
      </w:r>
      <w:r>
        <w:rPr>
          <w:rFonts w:hint="eastAsia" w:ascii="宋体" w:hAnsi="宋体"/>
          <w:sz w:val="24"/>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lang w:eastAsia="zh-CN"/>
        </w:rPr>
        <w:t>销售机构</w:t>
      </w:r>
      <w:r>
        <w:rPr>
          <w:rFonts w:hint="eastAsia" w:ascii="宋体" w:hAnsi="宋体"/>
          <w:sz w:val="24"/>
        </w:rPr>
        <w:t>将于原约定清算日前通过信息披露途径及时通知，并根据实际情况进行后续处理。</w:t>
      </w:r>
    </w:p>
    <w:p>
      <w:pPr>
        <w:widowControl/>
        <w:numPr>
          <w:ilvl w:val="0"/>
          <w:numId w:val="77"/>
        </w:numPr>
        <w:spacing w:line="360" w:lineRule="auto"/>
        <w:contextualSpacing/>
        <w:rPr>
          <w:rFonts w:hint="eastAsia" w:ascii="宋体" w:hAnsi="宋体"/>
          <w:sz w:val="24"/>
        </w:rPr>
      </w:pPr>
      <w:r>
        <w:rPr>
          <w:rFonts w:hint="eastAsia" w:ascii="宋体" w:hAnsi="宋体"/>
          <w:sz w:val="24"/>
        </w:rPr>
        <w:t>资金清算：理财计划终止或份额赎回时，管理人按理财计划合同约定划付至</w:t>
      </w:r>
      <w:r>
        <w:rPr>
          <w:rFonts w:hint="eastAsia" w:ascii="宋体" w:hAnsi="宋体"/>
          <w:sz w:val="24"/>
          <w:lang w:eastAsia="zh-CN"/>
        </w:rPr>
        <w:t>销售机构</w:t>
      </w:r>
      <w:r>
        <w:rPr>
          <w:rFonts w:hint="eastAsia" w:ascii="宋体" w:hAnsi="宋体"/>
          <w:sz w:val="24"/>
        </w:rPr>
        <w:t>清算账户后，由</w:t>
      </w:r>
      <w:r>
        <w:rPr>
          <w:rFonts w:hint="eastAsia" w:ascii="宋体" w:hAnsi="宋体"/>
          <w:sz w:val="24"/>
          <w:lang w:eastAsia="zh-CN"/>
        </w:rPr>
        <w:t>销售机构</w:t>
      </w:r>
      <w:r>
        <w:rPr>
          <w:rFonts w:hint="eastAsia" w:ascii="宋体" w:hAnsi="宋体"/>
          <w:sz w:val="24"/>
        </w:rPr>
        <w:t>向投资者划付投资者应得资金。如因投资者清算账户余额不足，或</w:t>
      </w:r>
      <w:r>
        <w:rPr>
          <w:rFonts w:hint="eastAsia" w:ascii="宋体" w:hAnsi="宋体"/>
          <w:sz w:val="24"/>
          <w:lang w:eastAsia="zh-CN"/>
        </w:rPr>
        <w:t>销售机构</w:t>
      </w:r>
      <w:r>
        <w:rPr>
          <w:rFonts w:hint="eastAsia" w:ascii="宋体" w:hAnsi="宋体"/>
          <w:sz w:val="24"/>
        </w:rPr>
        <w:t>未及时足额划付资金，或</w:t>
      </w:r>
      <w:r>
        <w:rPr>
          <w:rFonts w:hint="eastAsia" w:ascii="宋体" w:hAnsi="宋体"/>
          <w:sz w:val="24"/>
          <w:lang w:eastAsia="zh-CN"/>
        </w:rPr>
        <w:t>销售机构</w:t>
      </w:r>
      <w:r>
        <w:rPr>
          <w:rFonts w:hint="eastAsia" w:ascii="宋体" w:hAnsi="宋体"/>
          <w:sz w:val="24"/>
        </w:rPr>
        <w:t>清算账户内资金被依法冻结或扣划，或</w:t>
      </w:r>
      <w:r>
        <w:rPr>
          <w:rFonts w:hint="eastAsia" w:ascii="宋体" w:hAnsi="宋体"/>
          <w:sz w:val="24"/>
          <w:lang w:eastAsia="zh-CN"/>
        </w:rPr>
        <w:t>销售机构</w:t>
      </w:r>
      <w:r>
        <w:rPr>
          <w:rFonts w:hint="eastAsia" w:ascii="宋体" w:hAnsi="宋体"/>
          <w:sz w:val="24"/>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lang w:eastAsia="zh-CN"/>
        </w:rPr>
        <w:t>销售机构</w:t>
      </w:r>
      <w:r>
        <w:rPr>
          <w:rFonts w:hint="eastAsia" w:ascii="宋体" w:hAnsi="宋体"/>
          <w:sz w:val="24"/>
        </w:rPr>
        <w:t>依法主张。</w:t>
      </w:r>
    </w:p>
    <w:p>
      <w:pPr>
        <w:widowControl/>
        <w:spacing w:line="360" w:lineRule="auto"/>
        <w:ind w:left="178" w:leftChars="85"/>
        <w:contextualSpacing/>
        <w:rPr>
          <w:rFonts w:hint="eastAsia" w:ascii="宋体" w:hAnsi="宋体"/>
          <w:b/>
          <w:bCs/>
          <w:sz w:val="24"/>
        </w:rPr>
      </w:pPr>
    </w:p>
    <w:p>
      <w:pPr>
        <w:widowControl/>
        <w:spacing w:line="360" w:lineRule="auto"/>
        <w:outlineLvl w:val="2"/>
        <w:rPr>
          <w:rFonts w:hint="eastAsia"/>
          <w:b/>
          <w:bCs/>
          <w:sz w:val="24"/>
        </w:rPr>
      </w:pPr>
      <w:r>
        <w:rPr>
          <w:rFonts w:hint="eastAsia"/>
          <w:b/>
          <w:bCs/>
          <w:sz w:val="24"/>
        </w:rPr>
        <w:t xml:space="preserve">    第五条 违约责任及免责条款</w:t>
      </w:r>
    </w:p>
    <w:p>
      <w:pPr>
        <w:widowControl/>
        <w:numPr>
          <w:ilvl w:val="0"/>
          <w:numId w:val="78"/>
        </w:numPr>
        <w:spacing w:line="360" w:lineRule="auto"/>
        <w:contextualSpacing/>
        <w:rPr>
          <w:rFonts w:hint="eastAsia" w:ascii="宋体" w:hAnsi="宋体"/>
          <w:sz w:val="24"/>
        </w:rPr>
      </w:pPr>
      <w:r>
        <w:rPr>
          <w:rFonts w:hint="eastAsia" w:ascii="宋体" w:hAnsi="宋体"/>
          <w:sz w:val="24"/>
        </w:rPr>
        <w:t>若因投资者原因导致司法或行政等有权机关采取强制措施对其理财本金、收益进行部分或全部被扣划，均视投资者本人就全部理财本金进行了提前</w:t>
      </w:r>
      <w:r>
        <w:rPr>
          <w:rFonts w:hint="eastAsia" w:ascii="宋体" w:hAnsi="宋体"/>
          <w:sz w:val="24"/>
          <w:lang w:val="en-US" w:eastAsia="zh-CN"/>
        </w:rPr>
        <w:t>赎回</w:t>
      </w:r>
      <w:r>
        <w:rPr>
          <w:rFonts w:hint="eastAsia" w:ascii="宋体" w:hAnsi="宋体"/>
          <w:sz w:val="24"/>
        </w:rPr>
        <w:t>，本协议自动终止。因提前终止而产生的损失及相关费用由投资者承担。本协议因前述情况终止的，理财本金不计付</w:t>
      </w:r>
      <w:r>
        <w:rPr>
          <w:rFonts w:hint="eastAsia" w:ascii="宋体" w:hAnsi="宋体"/>
          <w:sz w:val="24"/>
          <w:lang w:val="en-US" w:eastAsia="zh-CN"/>
        </w:rPr>
        <w:t>赎回</w:t>
      </w:r>
      <w:r>
        <w:rPr>
          <w:rFonts w:hint="eastAsia" w:ascii="宋体" w:hAnsi="宋体"/>
          <w:sz w:val="24"/>
        </w:rPr>
        <w:t>日前的理财收益，也不计付存款利息。</w:t>
      </w:r>
    </w:p>
    <w:p>
      <w:pPr>
        <w:widowControl/>
        <w:numPr>
          <w:ilvl w:val="0"/>
          <w:numId w:val="78"/>
        </w:numPr>
        <w:spacing w:line="360" w:lineRule="auto"/>
        <w:contextualSpacing/>
        <w:rPr>
          <w:rFonts w:hint="eastAsia" w:ascii="宋体" w:hAnsi="宋体"/>
          <w:sz w:val="24"/>
        </w:rPr>
      </w:pPr>
      <w:r>
        <w:rPr>
          <w:rFonts w:hint="eastAsia" w:ascii="宋体" w:hAnsi="宋体"/>
          <w:sz w:val="24"/>
        </w:rPr>
        <w:t>投资者违反本协议第二条内容，应承担相应违约责任。</w:t>
      </w:r>
      <w:r>
        <w:rPr>
          <w:rFonts w:hint="eastAsia" w:ascii="宋体" w:hAnsi="宋体"/>
          <w:sz w:val="24"/>
          <w:lang w:eastAsia="zh-CN"/>
        </w:rPr>
        <w:t>销售机构</w:t>
      </w:r>
      <w:r>
        <w:rPr>
          <w:rFonts w:hint="eastAsia" w:ascii="宋体" w:hAnsi="宋体"/>
          <w:sz w:val="24"/>
        </w:rPr>
        <w:t>对由此导致的理财业务交易延误、中断、终止及投资者损失不承担任何责任，并有权单方终止双方理财业务关系。因投资者违反双方约定给</w:t>
      </w:r>
      <w:r>
        <w:rPr>
          <w:rFonts w:hint="eastAsia" w:ascii="宋体" w:hAnsi="宋体"/>
          <w:sz w:val="24"/>
          <w:lang w:eastAsia="zh-CN"/>
        </w:rPr>
        <w:t>销售机构</w:t>
      </w:r>
      <w:r>
        <w:rPr>
          <w:rFonts w:hint="eastAsia" w:ascii="宋体" w:hAnsi="宋体"/>
          <w:sz w:val="24"/>
        </w:rPr>
        <w:t>或全体投资者造成损失的，投资者应承担相应的赔偿责任。</w:t>
      </w:r>
    </w:p>
    <w:p>
      <w:pPr>
        <w:widowControl/>
        <w:numPr>
          <w:ilvl w:val="0"/>
          <w:numId w:val="78"/>
        </w:numPr>
        <w:spacing w:line="360" w:lineRule="auto"/>
        <w:contextualSpacing/>
        <w:rPr>
          <w:rFonts w:hint="eastAsia" w:ascii="宋体" w:hAnsi="宋体"/>
          <w:sz w:val="24"/>
        </w:rPr>
      </w:pPr>
      <w:r>
        <w:rPr>
          <w:rFonts w:hint="eastAsia" w:ascii="宋体" w:hAnsi="宋体"/>
          <w:sz w:val="24"/>
        </w:rPr>
        <w:t>若由于</w:t>
      </w:r>
      <w:r>
        <w:rPr>
          <w:rFonts w:hint="eastAsia" w:ascii="宋体" w:hAnsi="宋体"/>
          <w:sz w:val="24"/>
          <w:lang w:eastAsia="zh-CN"/>
        </w:rPr>
        <w:t>销售机构</w:t>
      </w:r>
      <w:r>
        <w:rPr>
          <w:rFonts w:hint="eastAsia" w:ascii="宋体" w:hAnsi="宋体"/>
          <w:sz w:val="24"/>
        </w:rPr>
        <w:t>过错导致理财计划资产发生损失，</w:t>
      </w:r>
      <w:r>
        <w:rPr>
          <w:rFonts w:hint="eastAsia" w:ascii="宋体" w:hAnsi="宋体"/>
          <w:sz w:val="24"/>
          <w:lang w:eastAsia="zh-CN"/>
        </w:rPr>
        <w:t>销售机构</w:t>
      </w:r>
      <w:r>
        <w:rPr>
          <w:rFonts w:hint="eastAsia" w:ascii="宋体" w:hAnsi="宋体"/>
          <w:sz w:val="24"/>
        </w:rPr>
        <w:t>应按其过错承担赔偿责任，</w:t>
      </w:r>
      <w:r>
        <w:rPr>
          <w:rFonts w:hint="eastAsia" w:ascii="宋体" w:hAnsi="宋体"/>
          <w:sz w:val="24"/>
          <w:lang w:eastAsia="zh-CN"/>
        </w:rPr>
        <w:t>销售机构</w:t>
      </w:r>
      <w:r>
        <w:rPr>
          <w:rFonts w:hint="eastAsia" w:ascii="宋体" w:hAnsi="宋体"/>
          <w:sz w:val="24"/>
        </w:rPr>
        <w:t>赔偿的款项计入理财计划的资产和收益。</w:t>
      </w:r>
    </w:p>
    <w:p>
      <w:pPr>
        <w:widowControl/>
        <w:numPr>
          <w:ilvl w:val="0"/>
          <w:numId w:val="78"/>
        </w:numPr>
        <w:spacing w:line="360" w:lineRule="auto"/>
        <w:contextualSpacing/>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rPr>
        <w:t>不承担责任；但</w:t>
      </w:r>
      <w:r>
        <w:rPr>
          <w:rFonts w:hint="eastAsia" w:ascii="宋体" w:hAnsi="宋体"/>
          <w:sz w:val="24"/>
          <w:lang w:eastAsia="zh-CN"/>
        </w:rPr>
        <w:t>销售机构</w:t>
      </w:r>
      <w:r>
        <w:rPr>
          <w:rFonts w:hint="eastAsia" w:ascii="宋体" w:hAnsi="宋体"/>
          <w:sz w:val="24"/>
        </w:rPr>
        <w:t>应在上述情况发生后在条件允许时及时通知投资者并采取一切必要且可能的措施阻止损失扩大。</w:t>
      </w:r>
    </w:p>
    <w:p>
      <w:pPr>
        <w:widowControl/>
        <w:numPr>
          <w:ilvl w:val="0"/>
          <w:numId w:val="78"/>
        </w:numPr>
        <w:spacing w:line="360" w:lineRule="auto"/>
        <w:contextualSpacing/>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w:t>
      </w:r>
      <w:r>
        <w:rPr>
          <w:rFonts w:hint="eastAsia" w:ascii="宋体" w:hAnsi="宋体"/>
          <w:sz w:val="24"/>
          <w:lang w:eastAsia="zh-CN"/>
        </w:rPr>
        <w:t>销售机构</w:t>
      </w:r>
      <w:r>
        <w:rPr>
          <w:rFonts w:hint="eastAsia" w:ascii="宋体" w:hAnsi="宋体"/>
          <w:sz w:val="24"/>
        </w:rPr>
        <w:t>不承担责任。</w:t>
      </w:r>
    </w:p>
    <w:p>
      <w:pPr>
        <w:widowControl/>
        <w:spacing w:line="360" w:lineRule="auto"/>
        <w:contextualSpacing/>
        <w:rPr>
          <w:rFonts w:hint="eastAsia" w:ascii="宋体" w:hAnsi="宋体"/>
          <w:b/>
          <w:bCs/>
          <w:sz w:val="24"/>
        </w:rPr>
      </w:pPr>
    </w:p>
    <w:p>
      <w:pPr>
        <w:widowControl/>
        <w:spacing w:line="360" w:lineRule="auto"/>
        <w:outlineLvl w:val="2"/>
        <w:rPr>
          <w:rFonts w:hint="eastAsia"/>
          <w:b/>
          <w:bCs/>
          <w:sz w:val="24"/>
        </w:rPr>
      </w:pPr>
      <w:r>
        <w:rPr>
          <w:rFonts w:hint="eastAsia"/>
          <w:b/>
          <w:bCs/>
          <w:sz w:val="24"/>
        </w:rPr>
        <w:t xml:space="preserve">    第六条 适用法律与争议解决</w:t>
      </w:r>
    </w:p>
    <w:p>
      <w:pPr>
        <w:widowControl/>
        <w:spacing w:line="360" w:lineRule="auto"/>
        <w:ind w:firstLine="480" w:firstLineChars="200"/>
        <w:contextualSpacing/>
        <w:rPr>
          <w:rFonts w:hint="eastAsia" w:ascii="宋体" w:hAnsi="宋体"/>
          <w:sz w:val="24"/>
        </w:rPr>
      </w:pPr>
      <w:r>
        <w:rPr>
          <w:rFonts w:hint="eastAsia" w:ascii="宋体" w:hAnsi="宋体"/>
          <w:sz w:val="24"/>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lang w:eastAsia="zh-CN"/>
        </w:rPr>
        <w:t>销售机构</w:t>
      </w:r>
      <w:r>
        <w:rPr>
          <w:rFonts w:hint="eastAsia" w:ascii="宋体" w:hAnsi="宋体"/>
          <w:sz w:val="24"/>
        </w:rPr>
        <w:t>双方应首先协商解决，协商不成的，应提交</w:t>
      </w:r>
      <w:r>
        <w:rPr>
          <w:rFonts w:hint="eastAsia" w:ascii="宋体" w:hAnsi="宋体"/>
          <w:sz w:val="24"/>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rPr>
      </w:pPr>
    </w:p>
    <w:p>
      <w:pPr>
        <w:widowControl/>
        <w:spacing w:line="360" w:lineRule="auto"/>
        <w:outlineLvl w:val="2"/>
        <w:rPr>
          <w:rFonts w:hint="eastAsia"/>
          <w:b/>
          <w:bCs/>
          <w:sz w:val="24"/>
        </w:rPr>
      </w:pPr>
      <w:r>
        <w:rPr>
          <w:rFonts w:hint="eastAsia"/>
          <w:b/>
          <w:bCs/>
          <w:sz w:val="24"/>
        </w:rPr>
        <w:t xml:space="preserve">    第七条 协议生效和终止</w:t>
      </w:r>
    </w:p>
    <w:p>
      <w:pPr>
        <w:widowControl/>
        <w:numPr>
          <w:ilvl w:val="0"/>
          <w:numId w:val="79"/>
        </w:numPr>
        <w:spacing w:line="360" w:lineRule="auto"/>
        <w:contextualSpacing/>
        <w:rPr>
          <w:rFonts w:hint="eastAsia" w:ascii="宋体" w:hAnsi="宋体"/>
          <w:sz w:val="24"/>
        </w:rPr>
      </w:pPr>
      <w:r>
        <w:rPr>
          <w:rFonts w:hint="eastAsia" w:ascii="宋体" w:hAnsi="宋体"/>
          <w:sz w:val="24"/>
        </w:rPr>
        <w:t>投资者和</w:t>
      </w:r>
      <w:r>
        <w:rPr>
          <w:rFonts w:hint="eastAsia" w:ascii="宋体" w:hAnsi="宋体"/>
          <w:sz w:val="24"/>
          <w:lang w:eastAsia="zh-CN"/>
        </w:rPr>
        <w:t>销售机构</w:t>
      </w:r>
      <w:r>
        <w:rPr>
          <w:rFonts w:hint="eastAsia" w:ascii="宋体" w:hAnsi="宋体"/>
          <w:sz w:val="24"/>
        </w:rPr>
        <w:t xml:space="preserve">双方认可本协议可以纸质或电子数据等形式提交、订立或确认。 </w:t>
      </w:r>
    </w:p>
    <w:p>
      <w:pPr>
        <w:widowControl/>
        <w:numPr>
          <w:ilvl w:val="0"/>
          <w:numId w:val="80"/>
        </w:numPr>
        <w:spacing w:line="360" w:lineRule="auto"/>
        <w:contextualSpacing/>
        <w:rPr>
          <w:rFonts w:hint="eastAsia" w:ascii="宋体" w:hAnsi="宋体"/>
          <w:sz w:val="24"/>
        </w:rPr>
      </w:pPr>
      <w:r>
        <w:rPr>
          <w:rFonts w:hint="eastAsia" w:ascii="宋体" w:hAnsi="宋体"/>
          <w:sz w:val="24"/>
        </w:rPr>
        <w:t>本协议书以纸质书面形式订立的，自投资者签字和</w:t>
      </w:r>
      <w:r>
        <w:rPr>
          <w:rFonts w:hint="eastAsia" w:ascii="宋体" w:hAnsi="宋体"/>
          <w:sz w:val="24"/>
          <w:lang w:eastAsia="zh-CN"/>
        </w:rPr>
        <w:t>销售机构</w:t>
      </w:r>
      <w:r>
        <w:rPr>
          <w:rFonts w:hint="eastAsia" w:ascii="宋体" w:hAnsi="宋体"/>
          <w:sz w:val="24"/>
        </w:rPr>
        <w:t>签章之后立即生效。协议一式叁份，投资者、管理人和</w:t>
      </w:r>
      <w:r>
        <w:rPr>
          <w:rFonts w:hint="eastAsia" w:ascii="宋体" w:hAnsi="宋体"/>
          <w:sz w:val="24"/>
          <w:lang w:eastAsia="zh-CN"/>
        </w:rPr>
        <w:t>销售机构</w:t>
      </w:r>
      <w:r>
        <w:rPr>
          <w:rFonts w:hint="eastAsia" w:ascii="宋体" w:hAnsi="宋体"/>
          <w:sz w:val="24"/>
        </w:rPr>
        <w:t xml:space="preserve">各执壹份，具有同等法律效力。 </w:t>
      </w:r>
    </w:p>
    <w:p>
      <w:pPr>
        <w:widowControl/>
        <w:numPr>
          <w:ilvl w:val="0"/>
          <w:numId w:val="80"/>
        </w:numPr>
        <w:spacing w:line="360" w:lineRule="auto"/>
        <w:contextualSpacing/>
        <w:rPr>
          <w:rFonts w:hint="eastAsia" w:ascii="宋体" w:hAnsi="宋体"/>
          <w:sz w:val="24"/>
        </w:rPr>
      </w:pPr>
      <w:r>
        <w:rPr>
          <w:rFonts w:hint="eastAsia" w:ascii="宋体" w:hAnsi="宋体"/>
          <w:sz w:val="24"/>
        </w:rPr>
        <w:t>本协议书以数据电文形式订立的，投资者在</w:t>
      </w:r>
      <w:r>
        <w:rPr>
          <w:rFonts w:hint="eastAsia" w:ascii="宋体" w:hAnsi="宋体"/>
          <w:sz w:val="24"/>
          <w:lang w:eastAsia="zh-CN"/>
        </w:rPr>
        <w:t>销售机构</w:t>
      </w:r>
      <w:r>
        <w:rPr>
          <w:rFonts w:hint="eastAsia" w:ascii="宋体" w:hAnsi="宋体"/>
          <w:sz w:val="24"/>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0"/>
        </w:numPr>
        <w:spacing w:line="360" w:lineRule="auto"/>
        <w:contextualSpacing/>
        <w:rPr>
          <w:rFonts w:hint="eastAsia" w:ascii="宋体" w:hAnsi="宋体"/>
          <w:sz w:val="24"/>
        </w:rPr>
      </w:pPr>
      <w:r>
        <w:rPr>
          <w:rFonts w:hint="eastAsia" w:ascii="宋体" w:hAnsi="宋体"/>
          <w:sz w:val="24"/>
        </w:rPr>
        <w:t>投资者和</w:t>
      </w:r>
      <w:r>
        <w:rPr>
          <w:rFonts w:hint="eastAsia" w:ascii="宋体" w:hAnsi="宋体"/>
          <w:sz w:val="24"/>
          <w:lang w:eastAsia="zh-CN"/>
        </w:rPr>
        <w:t>销售机构</w:t>
      </w:r>
      <w:r>
        <w:rPr>
          <w:rFonts w:hint="eastAsia" w:ascii="宋体" w:hAnsi="宋体"/>
          <w:sz w:val="24"/>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rPr>
      </w:pPr>
    </w:p>
    <w:p>
      <w:pPr>
        <w:widowControl/>
        <w:spacing w:line="360" w:lineRule="auto"/>
        <w:outlineLvl w:val="2"/>
        <w:rPr>
          <w:rFonts w:hint="eastAsia"/>
          <w:b/>
          <w:sz w:val="24"/>
        </w:rPr>
      </w:pPr>
      <w:r>
        <w:rPr>
          <w:rFonts w:hint="eastAsia"/>
          <w:b/>
          <w:sz w:val="24"/>
        </w:rPr>
        <w:t xml:space="preserve">    第八条 附则 </w:t>
      </w:r>
    </w:p>
    <w:p>
      <w:pPr>
        <w:widowControl/>
        <w:numPr>
          <w:ilvl w:val="0"/>
          <w:numId w:val="81"/>
        </w:numPr>
        <w:spacing w:line="360" w:lineRule="auto"/>
        <w:contextualSpacing/>
        <w:rPr>
          <w:rFonts w:hint="eastAsia" w:ascii="宋体" w:hAnsi="宋体"/>
          <w:sz w:val="24"/>
        </w:rPr>
      </w:pPr>
      <w:r>
        <w:rPr>
          <w:rFonts w:hint="eastAsia" w:ascii="宋体" w:hAnsi="宋体"/>
          <w:sz w:val="24"/>
        </w:rPr>
        <w:t>如果投资者与</w:t>
      </w:r>
      <w:r>
        <w:rPr>
          <w:rFonts w:hint="eastAsia" w:ascii="宋体" w:hAnsi="宋体"/>
          <w:sz w:val="24"/>
          <w:lang w:eastAsia="zh-CN"/>
        </w:rPr>
        <w:t>销售机构</w:t>
      </w:r>
      <w:r>
        <w:rPr>
          <w:rFonts w:hint="eastAsia" w:ascii="宋体" w:hAnsi="宋体"/>
          <w:sz w:val="24"/>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1"/>
        </w:numPr>
        <w:spacing w:line="360" w:lineRule="auto"/>
        <w:contextualSpacing/>
        <w:rPr>
          <w:rFonts w:hint="eastAsia"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81"/>
        </w:numPr>
        <w:spacing w:line="360" w:lineRule="auto"/>
        <w:contextualSpacing/>
        <w:rPr>
          <w:rFonts w:hint="eastAsia" w:ascii="宋体" w:hAnsi="宋体"/>
          <w:sz w:val="24"/>
        </w:rPr>
      </w:pPr>
      <w:r>
        <w:rPr>
          <w:rFonts w:hint="eastAsia" w:ascii="宋体" w:hAnsi="宋体"/>
          <w:sz w:val="24"/>
        </w:rPr>
        <w:t>在理财计划存续期内，如因监管政策或法律法规发生变化，在不损害投资者利益的前提下，管理人有权单方对理财计划</w:t>
      </w:r>
      <w:r>
        <w:rPr>
          <w:rFonts w:ascii="宋体" w:hAnsi="宋体"/>
          <w:sz w:val="24"/>
        </w:rPr>
        <w:t>合同</w:t>
      </w:r>
      <w:r>
        <w:rPr>
          <w:rFonts w:hint="eastAsia" w:ascii="宋体" w:hAnsi="宋体"/>
          <w:sz w:val="24"/>
        </w:rPr>
        <w:t>销售文件进行修订。</w:t>
      </w:r>
    </w:p>
    <w:p>
      <w:pPr>
        <w:widowControl/>
        <w:spacing w:line="360" w:lineRule="auto"/>
        <w:contextualSpacing/>
        <w:rPr>
          <w:rFonts w:hint="eastAsia" w:ascii="宋体" w:hAnsi="宋体"/>
          <w:sz w:val="24"/>
        </w:rPr>
      </w:pPr>
    </w:p>
    <w:p>
      <w:pPr>
        <w:spacing w:line="360" w:lineRule="auto"/>
      </w:pPr>
    </w:p>
    <w:p>
      <w:pPr>
        <w:spacing w:line="360" w:lineRule="auto"/>
      </w:pPr>
    </w:p>
    <w:p>
      <w:pPr>
        <w:widowControl/>
        <w:spacing w:line="360" w:lineRule="auto"/>
        <w:jc w:val="right"/>
        <w:rPr>
          <w:rFonts w:hint="eastAsia" w:ascii="宋体" w:hAnsi="Wingdings" w:cs="宋体"/>
          <w:color w:val="000000"/>
          <w:kern w:val="0"/>
          <w:sz w:val="24"/>
        </w:rPr>
      </w:pPr>
      <w:r>
        <w:rPr>
          <w:rFonts w:hint="eastAsia" w:ascii="宋体" w:hAnsi="宋体" w:cs="宋体"/>
          <w:kern w:val="0"/>
          <w:sz w:val="24"/>
        </w:rPr>
        <w:t>杭银理财有限责任公司</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sz w:val="24"/>
        </w:rPr>
      </w:pPr>
      <w:r>
        <w:rPr>
          <w:rFonts w:hint="eastAsia" w:ascii="宋体" w:hAnsi="宋体"/>
          <w:sz w:val="24"/>
        </w:rPr>
        <w:t>本页为纸质形式（如有）销售协议书签章页</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ascii="宋体" w:hAnsi="宋体"/>
          <w:b/>
          <w:bCs/>
          <w:sz w:val="24"/>
        </w:rPr>
      </w:pPr>
      <w:r>
        <w:rPr>
          <w:rFonts w:hint="eastAsia" w:ascii="宋体" w:hAnsi="宋体"/>
          <w:b/>
          <w:bCs/>
          <w:sz w:val="24"/>
        </w:rPr>
        <w:t>投资者（签字</w:t>
      </w:r>
      <w:r>
        <w:rPr>
          <w:rFonts w:hint="eastAsia" w:ascii="宋体" w:hAnsi="宋体" w:eastAsia="宋体" w:cs="黑体"/>
          <w:b/>
          <w:bCs/>
          <w:sz w:val="24"/>
          <w:highlight w:val="none"/>
          <w:lang w:eastAsia="zh-CN"/>
        </w:rPr>
        <w:t>或签章</w:t>
      </w:r>
      <w:r>
        <w:rPr>
          <w:rFonts w:hint="eastAsia" w:ascii="宋体" w:hAnsi="宋体"/>
          <w:b/>
          <w:bCs/>
          <w:sz w:val="24"/>
        </w:rPr>
        <w:t>）：</w:t>
      </w: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r>
        <w:rPr>
          <w:rFonts w:hint="eastAsia" w:ascii="宋体" w:hAnsi="宋体"/>
          <w:b/>
          <w:bCs/>
          <w:sz w:val="24"/>
          <w:lang w:eastAsia="zh-CN"/>
        </w:rPr>
        <w:t>销售机构</w:t>
      </w:r>
      <w:r>
        <w:rPr>
          <w:rFonts w:hint="eastAsia" w:ascii="宋体" w:hAnsi="宋体"/>
          <w:b/>
          <w:bCs/>
          <w:sz w:val="24"/>
        </w:rPr>
        <w:t>签章：</w:t>
      </w:r>
    </w:p>
    <w:p>
      <w:pPr>
        <w:spacing w:line="360" w:lineRule="auto"/>
        <w:rPr>
          <w:rFonts w:hint="eastAsia" w:ascii="宋体" w:hAnsi="宋体"/>
          <w:b/>
          <w:bCs/>
          <w:sz w:val="24"/>
        </w:rPr>
      </w:pPr>
    </w:p>
    <w:p>
      <w:pPr>
        <w:spacing w:line="360" w:lineRule="auto"/>
        <w:rPr>
          <w:rFonts w:hint="eastAsia" w:ascii="宋体" w:hAnsi="宋体"/>
          <w:b/>
          <w:bCs/>
          <w:sz w:val="24"/>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投资需谨慎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BEDCB94E"/>
    <w:multiLevelType w:val="singleLevel"/>
    <w:tmpl w:val="BEDCB94E"/>
    <w:lvl w:ilvl="0" w:tentative="0">
      <w:start w:val="1"/>
      <w:numFmt w:val="upperLetter"/>
      <w:suff w:val="nothing"/>
      <w:lvlText w:val="%1、"/>
      <w:lvlJc w:val="left"/>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CB63BE6"/>
    <w:multiLevelType w:val="singleLevel"/>
    <w:tmpl w:val="2CB63BE6"/>
    <w:lvl w:ilvl="0" w:tentative="0">
      <w:start w:val="1"/>
      <w:numFmt w:val="decimal"/>
      <w:suff w:val="nothing"/>
      <w:lvlText w:val="（%1）"/>
      <w:lvlJc w:val="left"/>
      <w:rPr>
        <w:rFonts w:hint="default"/>
        <w:b w:val="0"/>
        <w:bCs w:val="0"/>
      </w:rPr>
    </w:lvl>
  </w:abstractNum>
  <w:abstractNum w:abstractNumId="46">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7">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8">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9">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0">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7">
    <w:nsid w:val="5BA91325"/>
    <w:multiLevelType w:val="singleLevel"/>
    <w:tmpl w:val="5BA91325"/>
    <w:lvl w:ilvl="0" w:tentative="0">
      <w:start w:val="1"/>
      <w:numFmt w:val="decimal"/>
      <w:suff w:val="nothing"/>
      <w:lvlText w:val="（%1）"/>
      <w:lvlJc w:val="left"/>
    </w:lvl>
  </w:abstractNum>
  <w:abstractNum w:abstractNumId="58">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9">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0">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1">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2">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3">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4">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5">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6">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7">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8">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9">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0">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1">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2">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3">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4">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5">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6">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7">
    <w:nsid w:val="61F30F62"/>
    <w:multiLevelType w:val="singleLevel"/>
    <w:tmpl w:val="61F30F62"/>
    <w:lvl w:ilvl="0" w:tentative="0">
      <w:start w:val="1"/>
      <w:numFmt w:val="decimal"/>
      <w:suff w:val="nothing"/>
      <w:lvlText w:val="（%1）"/>
      <w:lvlJc w:val="left"/>
      <w:rPr>
        <w:rFonts w:hint="default"/>
        <w:b w:val="0"/>
        <w:bCs w:val="0"/>
      </w:rPr>
    </w:lvl>
  </w:abstractNum>
  <w:abstractNum w:abstractNumId="78">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9">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0">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0"/>
  </w:num>
  <w:num w:numId="4">
    <w:abstractNumId w:val="43"/>
  </w:num>
  <w:num w:numId="5">
    <w:abstractNumId w:val="21"/>
  </w:num>
  <w:num w:numId="6">
    <w:abstractNumId w:val="79"/>
  </w:num>
  <w:num w:numId="7">
    <w:abstractNumId w:val="37"/>
  </w:num>
  <w:num w:numId="8">
    <w:abstractNumId w:val="80"/>
  </w:num>
  <w:num w:numId="9">
    <w:abstractNumId w:val="55"/>
  </w:num>
  <w:num w:numId="10">
    <w:abstractNumId w:val="52"/>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8"/>
  </w:num>
  <w:num w:numId="18">
    <w:abstractNumId w:val="19"/>
  </w:num>
  <w:num w:numId="19">
    <w:abstractNumId w:val="9"/>
  </w:num>
  <w:num w:numId="20">
    <w:abstractNumId w:val="7"/>
  </w:num>
  <w:num w:numId="21">
    <w:abstractNumId w:val="38"/>
  </w:num>
  <w:num w:numId="22">
    <w:abstractNumId w:val="51"/>
  </w:num>
  <w:num w:numId="23">
    <w:abstractNumId w:val="33"/>
  </w:num>
  <w:num w:numId="24">
    <w:abstractNumId w:val="57"/>
  </w:num>
  <w:num w:numId="25">
    <w:abstractNumId w:val="20"/>
  </w:num>
  <w:num w:numId="26">
    <w:abstractNumId w:val="44"/>
  </w:num>
  <w:num w:numId="27">
    <w:abstractNumId w:val="24"/>
  </w:num>
  <w:num w:numId="28">
    <w:abstractNumId w:val="6"/>
  </w:num>
  <w:num w:numId="29">
    <w:abstractNumId w:val="54"/>
  </w:num>
  <w:num w:numId="30">
    <w:abstractNumId w:val="5"/>
  </w:num>
  <w:num w:numId="31">
    <w:abstractNumId w:val="36"/>
  </w:num>
  <w:num w:numId="32">
    <w:abstractNumId w:val="42"/>
  </w:num>
  <w:num w:numId="33">
    <w:abstractNumId w:val="78"/>
  </w:num>
  <w:num w:numId="34">
    <w:abstractNumId w:val="35"/>
  </w:num>
  <w:num w:numId="35">
    <w:abstractNumId w:val="23"/>
  </w:num>
  <w:num w:numId="36">
    <w:abstractNumId w:val="46"/>
  </w:num>
  <w:num w:numId="37">
    <w:abstractNumId w:val="0"/>
  </w:num>
  <w:num w:numId="38">
    <w:abstractNumId w:val="26"/>
  </w:num>
  <w:num w:numId="39">
    <w:abstractNumId w:val="49"/>
  </w:num>
  <w:num w:numId="40">
    <w:abstractNumId w:val="3"/>
  </w:num>
  <w:num w:numId="41">
    <w:abstractNumId w:val="27"/>
  </w:num>
  <w:num w:numId="42">
    <w:abstractNumId w:val="17"/>
  </w:num>
  <w:num w:numId="43">
    <w:abstractNumId w:val="53"/>
  </w:num>
  <w:num w:numId="44">
    <w:abstractNumId w:val="40"/>
  </w:num>
  <w:num w:numId="45">
    <w:abstractNumId w:val="18"/>
  </w:num>
  <w:num w:numId="46">
    <w:abstractNumId w:val="32"/>
  </w:num>
  <w:num w:numId="47">
    <w:abstractNumId w:val="28"/>
  </w:num>
  <w:num w:numId="48">
    <w:abstractNumId w:val="29"/>
  </w:num>
  <w:num w:numId="49">
    <w:abstractNumId w:val="77"/>
  </w:num>
  <w:num w:numId="50">
    <w:abstractNumId w:val="45"/>
  </w:num>
  <w:num w:numId="51">
    <w:abstractNumId w:val="2"/>
  </w:num>
  <w:num w:numId="52">
    <w:abstractNumId w:val="56"/>
  </w:num>
  <w:num w:numId="53">
    <w:abstractNumId w:val="12"/>
  </w:num>
  <w:num w:numId="54">
    <w:abstractNumId w:val="10"/>
  </w:num>
  <w:num w:numId="55">
    <w:abstractNumId w:val="13"/>
  </w:num>
  <w:num w:numId="56">
    <w:abstractNumId w:val="41"/>
  </w:num>
  <w:num w:numId="57">
    <w:abstractNumId w:val="25"/>
  </w:num>
  <w:num w:numId="58">
    <w:abstractNumId w:val="4"/>
  </w:num>
  <w:num w:numId="59">
    <w:abstractNumId w:val="48"/>
  </w:num>
  <w:num w:numId="60">
    <w:abstractNumId w:val="65"/>
  </w:num>
  <w:num w:numId="61">
    <w:abstractNumId w:val="64"/>
  </w:num>
  <w:num w:numId="62">
    <w:abstractNumId w:val="66"/>
  </w:num>
  <w:num w:numId="63">
    <w:abstractNumId w:val="67"/>
  </w:num>
  <w:num w:numId="64">
    <w:abstractNumId w:val="68"/>
  </w:num>
  <w:num w:numId="65">
    <w:abstractNumId w:val="69"/>
  </w:num>
  <w:num w:numId="66">
    <w:abstractNumId w:val="70"/>
  </w:num>
  <w:num w:numId="67">
    <w:abstractNumId w:val="47"/>
  </w:num>
  <w:num w:numId="68">
    <w:abstractNumId w:val="16"/>
  </w:num>
  <w:num w:numId="69">
    <w:abstractNumId w:val="58"/>
  </w:num>
  <w:num w:numId="70">
    <w:abstractNumId w:val="59"/>
  </w:num>
  <w:num w:numId="71">
    <w:abstractNumId w:val="60"/>
  </w:num>
  <w:num w:numId="72">
    <w:abstractNumId w:val="61"/>
  </w:num>
  <w:num w:numId="73">
    <w:abstractNumId w:val="62"/>
  </w:num>
  <w:num w:numId="74">
    <w:abstractNumId w:val="63"/>
  </w:num>
  <w:num w:numId="75">
    <w:abstractNumId w:val="71"/>
  </w:num>
  <w:num w:numId="76">
    <w:abstractNumId w:val="72"/>
  </w:num>
  <w:num w:numId="77">
    <w:abstractNumId w:val="15"/>
  </w:num>
  <w:num w:numId="78">
    <w:abstractNumId w:val="73"/>
  </w:num>
  <w:num w:numId="79">
    <w:abstractNumId w:val="74"/>
  </w:num>
  <w:num w:numId="80">
    <w:abstractNumId w:val="75"/>
  </w:num>
  <w:num w:numId="8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27EED"/>
    <w:rsid w:val="002C7EF9"/>
    <w:rsid w:val="00520830"/>
    <w:rsid w:val="006E07BC"/>
    <w:rsid w:val="007B6489"/>
    <w:rsid w:val="008A30D4"/>
    <w:rsid w:val="00AB5752"/>
    <w:rsid w:val="00E06929"/>
    <w:rsid w:val="00FB0E83"/>
    <w:rsid w:val="022C266D"/>
    <w:rsid w:val="03170B42"/>
    <w:rsid w:val="033259D5"/>
    <w:rsid w:val="03E00C28"/>
    <w:rsid w:val="0468177F"/>
    <w:rsid w:val="04845B79"/>
    <w:rsid w:val="06605967"/>
    <w:rsid w:val="06DF1F61"/>
    <w:rsid w:val="07F57DA4"/>
    <w:rsid w:val="0825466B"/>
    <w:rsid w:val="0A56246B"/>
    <w:rsid w:val="0AEF3D0C"/>
    <w:rsid w:val="0B8251C9"/>
    <w:rsid w:val="0B9C1C2D"/>
    <w:rsid w:val="0B9E090F"/>
    <w:rsid w:val="0CD50D95"/>
    <w:rsid w:val="0E9E528B"/>
    <w:rsid w:val="0F777231"/>
    <w:rsid w:val="0F8072BB"/>
    <w:rsid w:val="0F866D61"/>
    <w:rsid w:val="0FAD023A"/>
    <w:rsid w:val="10076423"/>
    <w:rsid w:val="10267CF2"/>
    <w:rsid w:val="108D380D"/>
    <w:rsid w:val="10D07610"/>
    <w:rsid w:val="10E505B7"/>
    <w:rsid w:val="1141717E"/>
    <w:rsid w:val="11C946E2"/>
    <w:rsid w:val="12683E32"/>
    <w:rsid w:val="126D33E8"/>
    <w:rsid w:val="127D7AC5"/>
    <w:rsid w:val="12CA36E8"/>
    <w:rsid w:val="132F20ED"/>
    <w:rsid w:val="15025C38"/>
    <w:rsid w:val="15507D31"/>
    <w:rsid w:val="155A68E0"/>
    <w:rsid w:val="169C1DA3"/>
    <w:rsid w:val="17C330B2"/>
    <w:rsid w:val="17F36337"/>
    <w:rsid w:val="18A92B8D"/>
    <w:rsid w:val="19377D59"/>
    <w:rsid w:val="19F226C0"/>
    <w:rsid w:val="1A8F73B6"/>
    <w:rsid w:val="1BFC63BA"/>
    <w:rsid w:val="1C8F465C"/>
    <w:rsid w:val="1CDE544D"/>
    <w:rsid w:val="1E135651"/>
    <w:rsid w:val="1E544E3F"/>
    <w:rsid w:val="1F7D3106"/>
    <w:rsid w:val="1FDA2F63"/>
    <w:rsid w:val="1FF633DD"/>
    <w:rsid w:val="21A67B64"/>
    <w:rsid w:val="2297514B"/>
    <w:rsid w:val="242D0854"/>
    <w:rsid w:val="247755D9"/>
    <w:rsid w:val="25A831C0"/>
    <w:rsid w:val="25DA3557"/>
    <w:rsid w:val="25E05DBD"/>
    <w:rsid w:val="26B7240F"/>
    <w:rsid w:val="26B84FF0"/>
    <w:rsid w:val="28AD63E0"/>
    <w:rsid w:val="2A130179"/>
    <w:rsid w:val="2BCD0352"/>
    <w:rsid w:val="2BFB4554"/>
    <w:rsid w:val="2C961139"/>
    <w:rsid w:val="2C9B2A75"/>
    <w:rsid w:val="2CA02CA1"/>
    <w:rsid w:val="2E804153"/>
    <w:rsid w:val="2F5B1280"/>
    <w:rsid w:val="2F7A6DFD"/>
    <w:rsid w:val="2FAF3B79"/>
    <w:rsid w:val="2FF60969"/>
    <w:rsid w:val="31750334"/>
    <w:rsid w:val="32485F31"/>
    <w:rsid w:val="34824A12"/>
    <w:rsid w:val="35105209"/>
    <w:rsid w:val="356767B0"/>
    <w:rsid w:val="35DE4D1A"/>
    <w:rsid w:val="370319F6"/>
    <w:rsid w:val="37501DF6"/>
    <w:rsid w:val="3888715E"/>
    <w:rsid w:val="389B7D8D"/>
    <w:rsid w:val="396B7DDB"/>
    <w:rsid w:val="39CE7544"/>
    <w:rsid w:val="39DC1BD6"/>
    <w:rsid w:val="3AFE2EA6"/>
    <w:rsid w:val="3B7A06B4"/>
    <w:rsid w:val="3BEE70D9"/>
    <w:rsid w:val="3C162EE1"/>
    <w:rsid w:val="3CB76EA9"/>
    <w:rsid w:val="3D803185"/>
    <w:rsid w:val="3D952002"/>
    <w:rsid w:val="3DAF1A5E"/>
    <w:rsid w:val="3E446F72"/>
    <w:rsid w:val="3E6260D1"/>
    <w:rsid w:val="3F9428BE"/>
    <w:rsid w:val="401D42F0"/>
    <w:rsid w:val="40802F79"/>
    <w:rsid w:val="40FA2D1A"/>
    <w:rsid w:val="41F97743"/>
    <w:rsid w:val="42E329DD"/>
    <w:rsid w:val="42FC5001"/>
    <w:rsid w:val="433D378B"/>
    <w:rsid w:val="434C7FF3"/>
    <w:rsid w:val="463B593D"/>
    <w:rsid w:val="48402042"/>
    <w:rsid w:val="48424A1F"/>
    <w:rsid w:val="48975A3F"/>
    <w:rsid w:val="49CF5DF4"/>
    <w:rsid w:val="49DD0ED4"/>
    <w:rsid w:val="4A2263FF"/>
    <w:rsid w:val="4ADD3BE3"/>
    <w:rsid w:val="4CC53366"/>
    <w:rsid w:val="4D2E049A"/>
    <w:rsid w:val="4D693017"/>
    <w:rsid w:val="4F1B6F35"/>
    <w:rsid w:val="4F212124"/>
    <w:rsid w:val="503B586A"/>
    <w:rsid w:val="508D75C7"/>
    <w:rsid w:val="51F56F6B"/>
    <w:rsid w:val="52091595"/>
    <w:rsid w:val="5221238A"/>
    <w:rsid w:val="5246747D"/>
    <w:rsid w:val="525024E8"/>
    <w:rsid w:val="52D20572"/>
    <w:rsid w:val="52EC1CDC"/>
    <w:rsid w:val="52F557EC"/>
    <w:rsid w:val="5349716A"/>
    <w:rsid w:val="53916CC5"/>
    <w:rsid w:val="54155B9A"/>
    <w:rsid w:val="543B6C03"/>
    <w:rsid w:val="5452022E"/>
    <w:rsid w:val="550A7003"/>
    <w:rsid w:val="554B520C"/>
    <w:rsid w:val="55967810"/>
    <w:rsid w:val="55A42FA5"/>
    <w:rsid w:val="55D73C36"/>
    <w:rsid w:val="56192B5A"/>
    <w:rsid w:val="5764451A"/>
    <w:rsid w:val="58DD72C6"/>
    <w:rsid w:val="5A0B1227"/>
    <w:rsid w:val="5A1E2133"/>
    <w:rsid w:val="5BFA606A"/>
    <w:rsid w:val="5C7E7C83"/>
    <w:rsid w:val="5D6E6559"/>
    <w:rsid w:val="5DF93585"/>
    <w:rsid w:val="5E531617"/>
    <w:rsid w:val="5E893ACA"/>
    <w:rsid w:val="5F087411"/>
    <w:rsid w:val="5FE37D04"/>
    <w:rsid w:val="60705156"/>
    <w:rsid w:val="60A362BD"/>
    <w:rsid w:val="60C809E8"/>
    <w:rsid w:val="612B3563"/>
    <w:rsid w:val="62D35EDA"/>
    <w:rsid w:val="63F074F2"/>
    <w:rsid w:val="64606D9B"/>
    <w:rsid w:val="64BD42A8"/>
    <w:rsid w:val="65D10DD1"/>
    <w:rsid w:val="66A95B28"/>
    <w:rsid w:val="66B655AC"/>
    <w:rsid w:val="67075395"/>
    <w:rsid w:val="672F5664"/>
    <w:rsid w:val="67B46A51"/>
    <w:rsid w:val="68982F49"/>
    <w:rsid w:val="68C43CF2"/>
    <w:rsid w:val="68E6218C"/>
    <w:rsid w:val="697836CF"/>
    <w:rsid w:val="698C75AE"/>
    <w:rsid w:val="69FF60E8"/>
    <w:rsid w:val="6A4D01F2"/>
    <w:rsid w:val="6C1A61DA"/>
    <w:rsid w:val="6CB00E61"/>
    <w:rsid w:val="6DF77052"/>
    <w:rsid w:val="6E822944"/>
    <w:rsid w:val="70DE1F58"/>
    <w:rsid w:val="723B4B2B"/>
    <w:rsid w:val="73040C29"/>
    <w:rsid w:val="739F7200"/>
    <w:rsid w:val="74F55397"/>
    <w:rsid w:val="753F4B02"/>
    <w:rsid w:val="7790260C"/>
    <w:rsid w:val="779E2189"/>
    <w:rsid w:val="77B52AAE"/>
    <w:rsid w:val="79C90C2C"/>
    <w:rsid w:val="7A3B2905"/>
    <w:rsid w:val="7AC953A0"/>
    <w:rsid w:val="7B0F21D0"/>
    <w:rsid w:val="7C0B400E"/>
    <w:rsid w:val="7C6F0463"/>
    <w:rsid w:val="7CC17505"/>
    <w:rsid w:val="7E09751D"/>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4"/>
    <w:qFormat/>
    <w:uiPriority w:val="0"/>
    <w:pPr>
      <w:jc w:val="left"/>
    </w:pPr>
    <w:rPr>
      <w:rFonts w:cs="Times New Roman"/>
    </w:rPr>
  </w:style>
  <w:style w:type="paragraph" w:styleId="4">
    <w:name w:val="Balloon Text"/>
    <w:basedOn w:val="1"/>
    <w:link w:val="16"/>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3"/>
    <w:next w:val="3"/>
    <w:link w:val="15"/>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文字 Char"/>
    <w:link w:val="3"/>
    <w:qFormat/>
    <w:uiPriority w:val="0"/>
    <w:rPr>
      <w:rFonts w:ascii="Calibri" w:hAnsi="Calibri" w:cs="黑体"/>
      <w:kern w:val="2"/>
      <w:sz w:val="21"/>
      <w:szCs w:val="24"/>
    </w:rPr>
  </w:style>
  <w:style w:type="character" w:customStyle="1" w:styleId="15">
    <w:name w:val="批注主题 Char"/>
    <w:link w:val="8"/>
    <w:qFormat/>
    <w:uiPriority w:val="0"/>
    <w:rPr>
      <w:rFonts w:ascii="Calibri" w:hAnsi="Calibri" w:cs="黑体"/>
      <w:b/>
      <w:bCs/>
      <w:kern w:val="2"/>
      <w:sz w:val="21"/>
      <w:szCs w:val="24"/>
    </w:rPr>
  </w:style>
  <w:style w:type="character" w:customStyle="1" w:styleId="16">
    <w:name w:val="批注框文本 Char"/>
    <w:link w:val="4"/>
    <w:qFormat/>
    <w:uiPriority w:val="0"/>
    <w:rPr>
      <w:rFonts w:ascii="Calibri" w:hAnsi="Calibri" w:cs="黑体"/>
      <w:kern w:val="2"/>
      <w:sz w:val="18"/>
      <w:szCs w:val="18"/>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5371</Words>
  <Characters>30616</Characters>
  <Lines>255</Lines>
  <Paragraphs>71</Paragraphs>
  <TotalTime>157256160</TotalTime>
  <ScaleCrop>false</ScaleCrop>
  <LinksUpToDate>false</LinksUpToDate>
  <CharactersWithSpaces>35916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2025-03-24T08:29:54Z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