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季添益1913期理财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季添益1913期理财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杭银理财幸福99季添益1913期理财风险揭示书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杭银理财幸福99季添益1913期理财产品说明书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季添益1913期理财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left="-2" w:leftChars="0" w:firstLine="482" w:firstLineChars="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19"/>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4"/>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color w:val="auto"/>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w:t>
      </w:r>
      <w:r>
        <w:rPr>
          <w:rFonts w:ascii="宋体" w:hAnsi="宋体" w:cs="宋体"/>
          <w:b/>
          <w:color w:val="auto"/>
          <w:sz w:val="24"/>
          <w:highlight w:val="none"/>
        </w:rPr>
        <w:t>财</w:t>
      </w:r>
      <w:r>
        <w:rPr>
          <w:rFonts w:hint="eastAsia" w:ascii="宋体" w:hAnsi="宋体" w:cs="宋体"/>
          <w:b/>
          <w:color w:val="auto"/>
          <w:sz w:val="24"/>
          <w:highlight w:val="none"/>
          <w:lang w:eastAsia="zh-CN"/>
        </w:rPr>
        <w:t>计划</w:t>
      </w:r>
      <w:r>
        <w:rPr>
          <w:rFonts w:ascii="宋体" w:hAnsi="宋体" w:cs="宋体"/>
          <w:b/>
          <w:color w:val="auto"/>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color w:val="auto"/>
          <w:sz w:val="24"/>
          <w:highlight w:val="none"/>
          <w:lang w:eastAsia="zh-CN"/>
        </w:rPr>
        <w:t>理财计划</w:t>
      </w:r>
      <w:r>
        <w:rPr>
          <w:rFonts w:ascii="宋体" w:hAnsi="宋体" w:cs="宋体"/>
          <w:b/>
          <w:color w:val="auto"/>
          <w:sz w:val="24"/>
          <w:highlight w:val="none"/>
        </w:rPr>
        <w:t>收益，不承担</w:t>
      </w:r>
      <w:r>
        <w:rPr>
          <w:rFonts w:hint="eastAsia" w:ascii="宋体" w:hAnsi="宋体" w:cs="宋体"/>
          <w:b/>
          <w:color w:val="auto"/>
          <w:sz w:val="24"/>
          <w:highlight w:val="none"/>
          <w:lang w:eastAsia="zh-CN"/>
        </w:rPr>
        <w:t>理财计划</w:t>
      </w:r>
      <w:r>
        <w:rPr>
          <w:rFonts w:ascii="宋体" w:hAnsi="宋体" w:cs="宋体"/>
          <w:b/>
          <w:color w:val="auto"/>
          <w:sz w:val="24"/>
          <w:highlight w:val="none"/>
        </w:rPr>
        <w:t>的投资、兑付和风险管理责任。</w:t>
      </w:r>
    </w:p>
    <w:p>
      <w:pPr>
        <w:numPr>
          <w:ilvl w:val="0"/>
          <w:numId w:val="1"/>
        </w:numPr>
        <w:spacing w:line="360" w:lineRule="auto"/>
        <w:ind w:left="-2" w:leftChars="0" w:firstLine="482" w:firstLineChars="0"/>
        <w:jc w:val="left"/>
        <w:outlineLvl w:val="1"/>
        <w:rPr>
          <w:rFonts w:ascii="宋体" w:hAnsi="宋体" w:cs="宋体"/>
          <w:b/>
          <w:color w:val="auto"/>
          <w:sz w:val="24"/>
          <w:highlight w:val="none"/>
        </w:rPr>
      </w:pPr>
      <w:r>
        <w:rPr>
          <w:rFonts w:hint="eastAsia" w:ascii="宋体" w:hAnsi="宋体" w:cs="宋体"/>
          <w:b/>
          <w:color w:val="auto"/>
          <w:sz w:val="24"/>
          <w:highlight w:val="none"/>
        </w:rPr>
        <w:t>理财计划特定风险</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资金流动性风险：本理财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收益不达业绩比较基准风险：业绩比较基准并非预测收益，不代表产品的未来表现和实际收益；本理财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left="-2" w:leftChars="0" w:firstLine="482" w:firstLineChars="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8"/>
        <w:spacing w:line="360" w:lineRule="auto"/>
        <w:jc w:val="both"/>
        <w:rPr>
          <w:rFonts w:hint="eastAsia" w:ascii="宋体" w:hAnsi="宋体" w:cs="宋体"/>
          <w:b/>
          <w:color w:val="auto"/>
          <w:highlight w:val="none"/>
        </w:rPr>
      </w:pPr>
    </w:p>
    <w:p>
      <w:pPr>
        <w:pStyle w:val="18"/>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8"/>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8"/>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8"/>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8"/>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8"/>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8"/>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8"/>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8"/>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季添益1913期理财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〖Z7002221000284〗</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季添益1913期理财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季添益1913期理财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季添益1913期理财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季添益1913期理财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季添益1913期理财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季添益1913期理财</w:t>
      </w:r>
      <w:r>
        <w:rPr>
          <w:rFonts w:hint="eastAsia" w:ascii="宋体" w:hAnsi="宋体" w:cs="宋体"/>
          <w:bCs/>
          <w:highlight w:val="none"/>
        </w:rPr>
        <w:t>。</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color w:val="auto"/>
          <w:highlight w:val="none"/>
        </w:rPr>
        <w:t>指理财计划份额的单位净值，即每1份理财计划份额以人民币或外币（以产品说明书交易币种为准）计价的价格。</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8"/>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8"/>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8"/>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8"/>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8"/>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8"/>
        <w:numPr>
          <w:ilvl w:val="0"/>
          <w:numId w:val="0"/>
        </w:numPr>
        <w:adjustRightInd/>
        <w:spacing w:line="360" w:lineRule="auto"/>
        <w:rPr>
          <w:rFonts w:hint="eastAsia" w:ascii="宋体" w:hAnsi="宋体" w:cs="宋体"/>
          <w:b/>
          <w:color w:val="auto"/>
          <w:kern w:val="2"/>
          <w:highlight w:val="none"/>
        </w:rPr>
      </w:pPr>
    </w:p>
    <w:p>
      <w:pPr>
        <w:pStyle w:val="18"/>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8"/>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8"/>
        <w:adjustRightInd/>
        <w:spacing w:line="360" w:lineRule="auto"/>
        <w:rPr>
          <w:rFonts w:hint="eastAsia" w:ascii="宋体" w:hAnsi="宋体" w:cs="宋体"/>
          <w:b/>
          <w:color w:val="auto"/>
          <w:kern w:val="2"/>
          <w:highlight w:val="none"/>
        </w:rPr>
      </w:pPr>
    </w:p>
    <w:p>
      <w:pPr>
        <w:pStyle w:val="18"/>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季添益1913期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季添益1913期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TYG3M1913</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本理财计划在全国银行业理财信息登记系统的原登记编码是〖C1092019001107〗</w:t>
            </w:r>
            <w:r>
              <w:rPr>
                <w:rFonts w:hint="eastAsia" w:ascii="宋体" w:hAnsi="宋体" w:cs="宋体"/>
                <w:color w:val="auto"/>
                <w:kern w:val="0"/>
                <w:highlight w:val="none"/>
              </w:rPr>
              <w:t>，</w:t>
            </w:r>
            <w:r>
              <w:rPr>
                <w:rFonts w:hint="eastAsia" w:ascii="宋体" w:hAnsi="宋体" w:cs="宋体"/>
                <w:color w:val="auto"/>
                <w:sz w:val="21"/>
                <w:szCs w:val="21"/>
                <w:highlight w:val="none"/>
              </w:rPr>
              <w:t>变更登记后为〖Z7002221000284〗，投资者可依据该编码在“中国理财网（www.chinawealth.com.cn）”查询本理财计划信息。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本理财计划适合</w:t>
            </w:r>
            <w:r>
              <w:rPr>
                <w:rFonts w:hint="eastAsia" w:ascii="宋体" w:hAnsi="宋体" w:cs="宋体"/>
                <w:b/>
                <w:color w:val="auto"/>
                <w:sz w:val="21"/>
                <w:szCs w:val="21"/>
                <w:highlight w:val="none"/>
              </w:rPr>
              <w:t>〖机构投资者〗以及〖稳健型、平衡型、成长型、进取型〗的个人投资者。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其中：</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TYG3M1913</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B份额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TYG3M1913B</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〖高净值等特邀客户专属〗发售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C份额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TYG3M1913C</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〖特定客群专属〗发售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固定收益类</w:t>
            </w:r>
            <w:r>
              <w:rPr>
                <w:rFonts w:hint="eastAsia" w:ascii="宋体" w:hAnsi="宋体" w:cs="宋体"/>
                <w:color w:val="auto"/>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否</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可通过</w:t>
            </w:r>
            <w:r>
              <w:rPr>
                <w:rFonts w:hint="eastAsia" w:ascii="宋体" w:hAnsi="宋体" w:cs="宋体"/>
                <w:color w:val="auto"/>
                <w:sz w:val="21"/>
                <w:szCs w:val="21"/>
                <w:highlight w:val="none"/>
                <w:lang w:eastAsia="zh-CN"/>
              </w:rPr>
              <w:t>杭银理财直销渠道和代理</w:t>
            </w:r>
            <w:r>
              <w:rPr>
                <w:rFonts w:hint="eastAsia" w:ascii="宋体" w:hAnsi="宋体" w:cs="宋体"/>
                <w:color w:val="auto"/>
                <w:sz w:val="21"/>
                <w:szCs w:val="21"/>
                <w:highlight w:val="none"/>
              </w:rPr>
              <w:t>销售机构的〖营业网点、网上银行、手机银行〗等渠道购买</w:t>
            </w:r>
            <w:r>
              <w:rPr>
                <w:rFonts w:hint="eastAsia" w:ascii="宋体" w:hAnsi="宋体" w:cs="宋体"/>
                <w:color w:val="auto"/>
                <w:sz w:val="21"/>
                <w:szCs w:val="21"/>
                <w:highlight w:val="none"/>
                <w:lang w:eastAsia="zh-CN"/>
              </w:rPr>
              <w:t>，通过</w:t>
            </w:r>
            <w:r>
              <w:rPr>
                <w:rFonts w:hint="eastAsia" w:ascii="宋体" w:hAnsi="宋体" w:cs="宋体"/>
                <w:color w:val="auto"/>
                <w:sz w:val="21"/>
                <w:szCs w:val="21"/>
                <w:highlight w:val="none"/>
                <w:lang w:val="en-US" w:eastAsia="zh-CN"/>
              </w:rPr>
              <w:t>代理销售机构购买的，具体销售渠道以代理销售机构披露为准</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100</w:t>
            </w:r>
            <w:r>
              <w:rPr>
                <w:rFonts w:hint="eastAsia" w:ascii="宋体" w:hAnsi="宋体" w:cs="宋体"/>
                <w:color w:val="auto"/>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〖2019〗年〖</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〗月〖</w:t>
            </w:r>
            <w:r>
              <w:rPr>
                <w:rFonts w:hint="eastAsia" w:ascii="宋体" w:hAnsi="宋体" w:cs="宋体"/>
                <w:color w:val="auto"/>
                <w:kern w:val="2"/>
                <w:sz w:val="21"/>
                <w:szCs w:val="21"/>
                <w:highlight w:val="none"/>
                <w:lang w:val="en-US" w:eastAsia="zh-CN"/>
              </w:rPr>
              <w:t>14</w:t>
            </w:r>
            <w:r>
              <w:rPr>
                <w:rFonts w:hint="eastAsia" w:ascii="宋体" w:hAnsi="宋体" w:cs="宋体"/>
                <w:color w:val="auto"/>
                <w:sz w:val="21"/>
                <w:szCs w:val="21"/>
                <w:highlight w:val="none"/>
              </w:rPr>
              <w:t>〗日-〖2019〗年〖</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〗日</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认购期首日〖9：00〗至认购结束日〖17：00〗</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2019</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r>
              <w:rPr>
                <w:rFonts w:hint="eastAsia" w:ascii="宋体" w:hAnsi="宋体" w:cs="宋体"/>
                <w:color w:val="auto"/>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20万</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color w:val="auto"/>
                <w:sz w:val="21"/>
                <w:szCs w:val="21"/>
                <w:highlight w:val="none"/>
                <w:lang w:val="en-US" w:eastAsia="zh-CN"/>
              </w:rPr>
              <w:t>2000</w:t>
            </w:r>
            <w:r>
              <w:rPr>
                <w:rFonts w:hint="eastAsia" w:ascii="宋体" w:hAnsi="宋体" w:cs="宋体"/>
                <w:color w:val="auto"/>
                <w:sz w:val="21"/>
                <w:szCs w:val="21"/>
                <w:highlight w:val="none"/>
              </w:rPr>
              <w:t>〗万元，则管理人可宣布本理财计划不成立并在原定理财计划成立日</w:t>
            </w:r>
            <w:r>
              <w:rPr>
                <w:rFonts w:hint="eastAsia" w:ascii="宋体" w:hAnsi="宋体" w:cs="宋体"/>
                <w:color w:val="auto"/>
                <w:sz w:val="21"/>
                <w:szCs w:val="21"/>
                <w:highlight w:val="none"/>
                <w:lang w:val="en-US" w:eastAsia="zh-CN"/>
              </w:rPr>
              <w:t>当日</w:t>
            </w:r>
            <w:r>
              <w:rPr>
                <w:rFonts w:hint="eastAsia" w:ascii="宋体" w:hAnsi="宋体" w:cs="宋体"/>
                <w:color w:val="auto"/>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auto"/>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理财计划</w:t>
            </w:r>
            <w:r>
              <w:rPr>
                <w:rFonts w:hint="eastAsia" w:ascii="宋体" w:hAnsi="宋体" w:cs="宋体"/>
                <w:color w:val="auto"/>
                <w:sz w:val="21"/>
                <w:szCs w:val="21"/>
                <w:highlight w:val="none"/>
                <w:lang w:val="en-US" w:eastAsia="zh-CN"/>
              </w:rPr>
              <w:t>〖每三个月〗开放一次,开放期为〖产品确认日前5-7个工作日〗，具体开放期将以管理人公告为准。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auto"/>
                <w:sz w:val="21"/>
                <w:szCs w:val="21"/>
                <w:highlight w:val="none"/>
              </w:rPr>
            </w:pPr>
            <w:r>
              <w:rPr>
                <w:rFonts w:hint="eastAsia" w:ascii="宋体" w:hAnsi="宋体" w:cs="宋体"/>
                <w:color w:val="auto"/>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1.本理财计划在每个开放期的开放日工作时间均可进行申购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申请将在确认日，即开放期后的第〖1〗个</w:t>
            </w:r>
            <w:r>
              <w:rPr>
                <w:rFonts w:hint="eastAsia" w:ascii="宋体" w:hAnsi="宋体" w:cs="宋体"/>
                <w:bCs/>
                <w:color w:val="auto"/>
                <w:sz w:val="21"/>
                <w:szCs w:val="21"/>
                <w:highlight w:val="none"/>
              </w:rPr>
              <w:t>工作日进行确认。</w:t>
            </w:r>
            <w:r>
              <w:rPr>
                <w:rFonts w:hint="eastAsia" w:ascii="宋体" w:hAnsi="宋体" w:cs="宋体"/>
                <w:color w:val="auto"/>
                <w:sz w:val="21"/>
                <w:szCs w:val="21"/>
                <w:highlight w:val="none"/>
              </w:rPr>
              <w:t>确认日如遇非工作日，则顺延至〖下一工作日〗。</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.工作时间为每个工作日上午〖9:00〗至下午〖17:00〗。确认日如遇非工作日，则顺延至〖下一工作日〗。</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认购/开放期内提交的交易申请，在产品成立日/确认日前一日下午17:00之前可以撤单。</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单位净值=理财计划估值日理财计划总净值/理财计划总份额，单位净值〖保留小数点后</w:t>
            </w:r>
            <w:r>
              <w:rPr>
                <w:rFonts w:hint="eastAsia" w:ascii="宋体" w:hAnsi="宋体" w:cs="宋体"/>
                <w:color w:val="auto"/>
                <w:sz w:val="21"/>
                <w:szCs w:val="21"/>
                <w:highlight w:val="none"/>
                <w:lang w:val="en-US" w:eastAsia="zh-CN"/>
              </w:rPr>
              <w:t>四</w:t>
            </w:r>
            <w:r>
              <w:rPr>
                <w:rFonts w:hint="eastAsia" w:ascii="宋体" w:hAnsi="宋体" w:cs="宋体"/>
                <w:color w:val="auto"/>
                <w:sz w:val="21"/>
                <w:szCs w:val="21"/>
                <w:highlight w:val="none"/>
              </w:rPr>
              <w:t>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四位后去尾</w:t>
            </w:r>
            <w:r>
              <w:rPr>
                <w:rFonts w:hint="eastAsia" w:ascii="宋体" w:hAnsi="宋体" w:cs="宋体"/>
                <w:color w:val="auto"/>
                <w:sz w:val="21"/>
                <w:szCs w:val="21"/>
                <w:highlight w:val="none"/>
              </w:rPr>
              <w:t>。</w:t>
            </w:r>
          </w:p>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理财计划总净值=理财计划认购总额+理财计划所获总收益-理财计划总费用（包括但不限于</w:t>
            </w:r>
            <w:r>
              <w:rPr>
                <w:rFonts w:hint="eastAsia" w:ascii="宋体" w:hAnsi="宋体" w:cs="宋体"/>
                <w:color w:val="auto"/>
                <w:sz w:val="21"/>
                <w:szCs w:val="21"/>
                <w:highlight w:val="none"/>
                <w:lang w:val="en-US" w:eastAsia="zh-CN"/>
              </w:rPr>
              <w:t>固定</w:t>
            </w:r>
            <w:r>
              <w:rPr>
                <w:rFonts w:hint="eastAsia" w:ascii="宋体" w:hAnsi="宋体" w:cs="宋体"/>
                <w:color w:val="auto"/>
                <w:sz w:val="21"/>
                <w:szCs w:val="21"/>
                <w:highlight w:val="none"/>
              </w:rPr>
              <w:t>管理费、托管费、</w:t>
            </w:r>
            <w:r>
              <w:rPr>
                <w:rFonts w:hint="eastAsia" w:ascii="宋体" w:hAnsi="宋体" w:cs="宋体"/>
                <w:color w:val="auto"/>
                <w:sz w:val="21"/>
                <w:szCs w:val="21"/>
                <w:highlight w:val="none"/>
                <w:lang w:eastAsia="zh-CN"/>
              </w:rPr>
              <w:t>销售服务费、</w:t>
            </w:r>
            <w:r>
              <w:rPr>
                <w:rFonts w:hint="eastAsia" w:ascii="宋体" w:hAnsi="宋体" w:cs="宋体"/>
                <w:color w:val="auto"/>
                <w:sz w:val="21"/>
                <w:szCs w:val="21"/>
                <w:highlight w:val="none"/>
                <w:lang w:val="en-US" w:eastAsia="zh-CN"/>
              </w:rPr>
              <w:t>浮动管理费（如有）</w:t>
            </w:r>
            <w:r>
              <w:rPr>
                <w:rFonts w:hint="eastAsia" w:ascii="宋体" w:hAnsi="宋体" w:cs="宋体"/>
                <w:color w:val="auto"/>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1.赎回资金确认后，最快〖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2.理财计划到期后，最快〖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1.95%-2.95%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2.00%-3.00%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2.05%-3.05%</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19"/>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auto"/>
                <w:sz w:val="21"/>
                <w:szCs w:val="21"/>
                <w:highlight w:val="none"/>
              </w:rPr>
              <w:t>3.固定管理费：〖</w:t>
            </w:r>
            <w:r>
              <w:rPr>
                <w:rFonts w:hint="eastAsia" w:ascii="宋体" w:hAnsi="宋体" w:cs="宋体"/>
                <w:bCs/>
                <w:color w:val="auto"/>
                <w:sz w:val="21"/>
                <w:szCs w:val="21"/>
                <w:highlight w:val="none"/>
                <w:lang w:val="en-US" w:eastAsia="zh-CN"/>
              </w:rPr>
              <w:t>A份额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w:t>
            </w:r>
            <w:r>
              <w:rPr>
                <w:rFonts w:hint="eastAsia" w:ascii="宋体" w:hAnsi="宋体" w:cs="宋体"/>
                <w:color w:val="000000"/>
                <w:sz w:val="21"/>
                <w:szCs w:val="21"/>
                <w:highlight w:val="none"/>
                <w:lang w:val="en-US" w:eastAsia="zh-CN"/>
              </w:rPr>
              <w:t>份额</w:t>
            </w:r>
            <w:r>
              <w:rPr>
                <w:rFonts w:hint="eastAsia" w:ascii="宋体" w:hAnsi="宋体" w:cs="宋体"/>
                <w:color w:val="000000"/>
                <w:sz w:val="21"/>
                <w:szCs w:val="21"/>
                <w:highlight w:val="none"/>
              </w:rPr>
              <w:t>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FF"/>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w:t>
            </w:r>
            <w:r>
              <w:rPr>
                <w:rFonts w:hint="eastAsia" w:ascii="宋体" w:hAnsi="宋体" w:cs="宋体"/>
                <w:color w:val="auto"/>
                <w:sz w:val="21"/>
                <w:szCs w:val="21"/>
                <w:highlight w:val="none"/>
              </w:rPr>
              <w:t>财计划实际终止日）到理财资金返还到账日为还本清算期，还本清算期内不计付利息。</w:t>
            </w:r>
            <w:r>
              <w:rPr>
                <w:rFonts w:hint="eastAsia" w:ascii="宋体" w:hAnsi="宋体" w:cs="宋体"/>
                <w:color w:val="auto"/>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20"/>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sz w:val="24"/>
          <w:highlight w:val="none"/>
        </w:rPr>
        <w:t>固定收益类资产：包括但不限于各类债券、存款、货币市场金融工具、债券</w:t>
      </w:r>
      <w:r>
        <w:rPr>
          <w:rFonts w:hint="eastAsia" w:ascii="宋体" w:hAnsi="宋体" w:cs="宋体"/>
          <w:bCs/>
          <w:color w:val="auto"/>
          <w:sz w:val="24"/>
          <w:highlight w:val="none"/>
        </w:rPr>
        <w:t>基金、质押式及买断式回购，其他符合监管要求的固定收益类资产及资产管理产品。</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color w:val="000000"/>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hint="eastAsia" w:ascii="宋体" w:hAnsi="宋体" w:eastAsia="宋体" w:cs="宋体"/>
                <w:bCs/>
                <w:szCs w:val="21"/>
                <w:highlight w:val="none"/>
                <w:lang w:val="en-US" w:eastAsia="zh-CN"/>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8"/>
        <w:adjustRightInd/>
        <w:spacing w:line="360" w:lineRule="auto"/>
        <w:ind w:firstLine="480" w:firstLineChars="200"/>
        <w:rPr>
          <w:rFonts w:hint="eastAsia" w:ascii="宋体" w:hAnsi="宋体" w:cs="宋体"/>
          <w:bCs/>
          <w:color w:val="auto"/>
          <w:kern w:val="2"/>
          <w:highlight w:val="none"/>
          <w:lang w:val="en-US" w:eastAsia="zh-CN"/>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8"/>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leftChars="0"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5"/>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流动性限制</w:t>
      </w:r>
    </w:p>
    <w:p>
      <w:pPr>
        <w:numPr>
          <w:ilvl w:val="0"/>
          <w:numId w:val="26"/>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本理财计划直接投资于流动性受限资产的市值在开放日不得超过该理财计划资产净值的15%。</w:t>
      </w:r>
    </w:p>
    <w:p>
      <w:pPr>
        <w:numPr>
          <w:ilvl w:val="0"/>
          <w:numId w:val="26"/>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1"/>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资产的可能流动性风险（如有）：权益类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资产包括但不限于上市公司普通股、上市公司优先股、股票基金、股票定向增发等，受国家政策、经济周期、利率、汇率、股票发行人经营情况</w:t>
      </w:r>
      <w:r>
        <w:rPr>
          <w:rFonts w:hint="eastAsia" w:ascii="宋体" w:hAnsi="宋体" w:cs="宋体"/>
          <w:bCs/>
          <w:lang w:eastAsia="zh-CN"/>
        </w:rPr>
        <w:t>、</w:t>
      </w:r>
      <w:r>
        <w:rPr>
          <w:rFonts w:hint="eastAsia" w:ascii="宋体" w:hAnsi="宋体" w:cs="宋体"/>
          <w:bCs/>
          <w:lang w:val="en-US" w:eastAsia="zh-CN"/>
        </w:rPr>
        <w:t>大宗商品</w:t>
      </w:r>
      <w:r>
        <w:rPr>
          <w:rFonts w:hint="eastAsia" w:ascii="宋体" w:hAnsi="宋体" w:cs="宋体"/>
          <w:bCs/>
          <w:sz w:val="24"/>
          <w:highlight w:val="none"/>
          <w:lang w:val="en-US" w:eastAsia="zh-CN"/>
        </w:rPr>
        <w:t>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lang w:bidi="ar"/>
              </w:rPr>
              <w:t>江苏苏商银行股份有限公司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lang w:bidi="ar"/>
              </w:rPr>
              <w:t>956101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color w:val="auto"/>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r>
        <w:rPr>
          <w:rFonts w:hint="eastAsia" w:ascii="宋体" w:hAnsi="宋体" w:cs="宋体"/>
          <w:bCs/>
          <w:color w:val="auto"/>
          <w:sz w:val="24"/>
          <w:highlight w:val="none"/>
        </w:rPr>
        <w:t>。</w:t>
      </w:r>
    </w:p>
    <w:p>
      <w:pPr>
        <w:spacing w:line="360" w:lineRule="auto"/>
        <w:jc w:val="left"/>
        <w:rPr>
          <w:rFonts w:ascii="宋体" w:hAnsi="宋体" w:cs="宋体"/>
          <w:bCs/>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8"/>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8"/>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8"/>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8"/>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8"/>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bCs/>
          <w:color w:val="000000"/>
          <w:sz w:val="24"/>
          <w:highlight w:val="none"/>
          <w:lang w:val="en-US"/>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0.25</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szCs w:val="21"/>
          <w:highlight w:val="none"/>
          <w:lang w:val="en-US"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eastAsia="zh-CN"/>
        </w:rPr>
        <w:t>销售服务费</w:t>
      </w:r>
      <w:r>
        <w:rPr>
          <w:rFonts w:hint="eastAsia" w:ascii="宋体" w:hAnsi="宋体" w:cs="宋体"/>
          <w:bCs/>
          <w:color w:val="auto"/>
          <w:sz w:val="24"/>
          <w:highlight w:val="none"/>
        </w:rPr>
        <w:t>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托管费原则上按日计提。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收取。以</w:t>
      </w:r>
      <w:r>
        <w:rPr>
          <w:rFonts w:hint="eastAsia" w:ascii="宋体" w:hAnsi="宋体" w:cs="宋体"/>
          <w:sz w:val="24"/>
          <w:szCs w:val="24"/>
          <w:highlight w:val="none"/>
        </w:rPr>
        <w:t>〖</w:t>
      </w:r>
      <w:r>
        <w:rPr>
          <w:rFonts w:hint="eastAsia" w:ascii="宋体" w:hAnsi="宋体" w:cs="宋体"/>
          <w:sz w:val="24"/>
          <w:szCs w:val="24"/>
          <w:highlight w:val="none"/>
          <w:lang w:val="en-US" w:eastAsia="zh-CN"/>
        </w:rPr>
        <w:t>A</w:t>
      </w:r>
      <w:r>
        <w:rPr>
          <w:rFonts w:hint="eastAsia" w:ascii="宋体" w:hAnsi="宋体" w:cs="宋体"/>
          <w:color w:val="000000"/>
          <w:sz w:val="24"/>
          <w:szCs w:val="24"/>
          <w:highlight w:val="none"/>
          <w:lang w:val="en-US" w:eastAsia="zh-CN"/>
        </w:rPr>
        <w:t>份额</w:t>
      </w:r>
      <w:r>
        <w:rPr>
          <w:rFonts w:hint="eastAsia" w:ascii="宋体" w:hAnsi="宋体" w:cs="宋体"/>
          <w:sz w:val="24"/>
          <w:szCs w:val="24"/>
          <w:highlight w:val="none"/>
        </w:rPr>
        <w:t>〗</w:t>
      </w:r>
      <w:r>
        <w:rPr>
          <w:rFonts w:hint="eastAsia" w:ascii="宋体" w:hAnsi="宋体" w:cs="宋体"/>
          <w:sz w:val="24"/>
          <w:szCs w:val="24"/>
          <w:highlight w:val="none"/>
          <w:lang w:eastAsia="zh-CN"/>
        </w:rPr>
        <w:t>为例，</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auto"/>
          <w:sz w:val="24"/>
          <w:highlight w:val="none"/>
        </w:rPr>
        <w:t>T为</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A份额</w:t>
      </w:r>
      <w:r>
        <w:rPr>
          <w:rFonts w:hint="eastAsia" w:ascii="宋体" w:hAnsi="宋体" w:cs="宋体"/>
          <w:bCs/>
          <w:color w:val="auto"/>
          <w:sz w:val="24"/>
          <w:highlight w:val="none"/>
        </w:rPr>
        <w:t>〗</w:t>
      </w:r>
      <w:r>
        <w:rPr>
          <w:rFonts w:hint="eastAsia" w:ascii="宋体" w:hAnsi="宋体" w:cs="宋体"/>
          <w:bCs/>
          <w:color w:val="auto"/>
          <w:sz w:val="24"/>
          <w:highlight w:val="none"/>
        </w:rPr>
        <w:t>当</w:t>
      </w:r>
      <w:r>
        <w:rPr>
          <w:rFonts w:hint="eastAsia" w:ascii="宋体" w:hAnsi="宋体" w:cs="宋体"/>
          <w:bCs/>
          <w:color w:val="000000"/>
          <w:sz w:val="24"/>
          <w:highlight w:val="none"/>
        </w:rPr>
        <w:t>前投资周期内每单位份额的实际分红金额的合计（如有）</w:t>
      </w:r>
    </w:p>
    <w:p>
      <w:pPr>
        <w:numPr>
          <w:ilvl w:val="0"/>
          <w:numId w:val="4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3"/>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3"/>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3"/>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4"/>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8"/>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3"/>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6"/>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2"/>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4"/>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outlineLvl w:val="9"/>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w:t>
      </w:r>
      <w:bookmarkStart w:id="0" w:name="_GoBack"/>
      <w:bookmarkEnd w:id="0"/>
      <w:r>
        <w:rPr>
          <w:rFonts w:hint="eastAsia" w:ascii="Calibri" w:hAnsi="Calibri" w:eastAsia="宋体" w:cs="黑体"/>
          <w:b/>
          <w:bCs w:val="0"/>
          <w:sz w:val="44"/>
          <w:szCs w:val="44"/>
          <w:highlight w:val="none"/>
        </w:rPr>
        <w:t>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A61C70B"/>
    <w:multiLevelType w:val="singleLevel"/>
    <w:tmpl w:val="8A61C70B"/>
    <w:lvl w:ilvl="0" w:tentative="0">
      <w:start w:val="1"/>
      <w:numFmt w:val="decimal"/>
      <w:lvlText w:val="%1."/>
      <w:lvlJc w:val="left"/>
      <w:pPr>
        <w:tabs>
          <w:tab w:val="left" w:pos="312"/>
        </w:tabs>
      </w:pPr>
    </w:lvl>
  </w:abstractNum>
  <w:abstractNum w:abstractNumId="7">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8">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9">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0">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1">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2">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3">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4">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5">
    <w:nsid w:val="AC40BB97"/>
    <w:multiLevelType w:val="singleLevel"/>
    <w:tmpl w:val="AC40BB97"/>
    <w:lvl w:ilvl="0" w:tentative="0">
      <w:start w:val="1"/>
      <w:numFmt w:val="chineseCounting"/>
      <w:suff w:val="nothing"/>
      <w:lvlText w:val="%1、"/>
      <w:lvlJc w:val="left"/>
      <w:pPr>
        <w:ind w:left="-2"/>
      </w:pPr>
      <w:rPr>
        <w:rFonts w:hint="eastAsia"/>
      </w:rPr>
    </w:lvl>
  </w:abstractNum>
  <w:abstractNum w:abstractNumId="16">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7">
    <w:nsid w:val="B08226EF"/>
    <w:multiLevelType w:val="singleLevel"/>
    <w:tmpl w:val="B08226EF"/>
    <w:lvl w:ilvl="0" w:tentative="0">
      <w:start w:val="1"/>
      <w:numFmt w:val="chineseCounting"/>
      <w:suff w:val="space"/>
      <w:lvlText w:val="第%1条"/>
      <w:lvlJc w:val="left"/>
      <w:rPr>
        <w:rFonts w:hint="eastAsia"/>
      </w:rPr>
    </w:lvl>
  </w:abstractNum>
  <w:abstractNum w:abstractNumId="18">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9">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0">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1">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2">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3">
    <w:nsid w:val="D51C2339"/>
    <w:multiLevelType w:val="singleLevel"/>
    <w:tmpl w:val="D51C2339"/>
    <w:lvl w:ilvl="0" w:tentative="0">
      <w:start w:val="1"/>
      <w:numFmt w:val="decimal"/>
      <w:suff w:val="nothing"/>
      <w:lvlText w:val="%1．"/>
      <w:lvlJc w:val="left"/>
      <w:pPr>
        <w:ind w:left="-2" w:firstLine="400"/>
      </w:pPr>
      <w:rPr>
        <w:rFonts w:hint="default" w:ascii="宋体" w:hAnsi="宋体" w:eastAsia="宋体" w:cs="宋体"/>
        <w:b/>
        <w:bCs/>
      </w:rPr>
    </w:lvl>
  </w:abstractNum>
  <w:abstractNum w:abstractNumId="24">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5">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6">
    <w:nsid w:val="D8D75090"/>
    <w:multiLevelType w:val="singleLevel"/>
    <w:tmpl w:val="D8D75090"/>
    <w:lvl w:ilvl="0" w:tentative="0">
      <w:start w:val="1"/>
      <w:numFmt w:val="decimal"/>
      <w:suff w:val="nothing"/>
      <w:lvlText w:val="（%1）"/>
      <w:lvlJc w:val="left"/>
      <w:rPr>
        <w:rFonts w:hint="default"/>
        <w:b w:val="0"/>
        <w:bCs w:val="0"/>
      </w:rPr>
    </w:lvl>
  </w:abstractNum>
  <w:abstractNum w:abstractNumId="27">
    <w:nsid w:val="DD2251DF"/>
    <w:multiLevelType w:val="singleLevel"/>
    <w:tmpl w:val="DD2251DF"/>
    <w:lvl w:ilvl="0" w:tentative="0">
      <w:start w:val="1"/>
      <w:numFmt w:val="decimal"/>
      <w:suff w:val="nothing"/>
      <w:lvlText w:val="（%1）"/>
      <w:lvlJc w:val="left"/>
      <w:rPr>
        <w:rFonts w:hint="default"/>
        <w:b w:val="0"/>
        <w:bCs w:val="0"/>
      </w:rPr>
    </w:lvl>
  </w:abstractNum>
  <w:abstractNum w:abstractNumId="28">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9">
    <w:nsid w:val="E70DF796"/>
    <w:multiLevelType w:val="singleLevel"/>
    <w:tmpl w:val="E70DF796"/>
    <w:lvl w:ilvl="0" w:tentative="0">
      <w:start w:val="1"/>
      <w:numFmt w:val="decimal"/>
      <w:suff w:val="nothing"/>
      <w:lvlText w:val="（%1）"/>
      <w:lvlJc w:val="left"/>
    </w:lvl>
  </w:abstractNum>
  <w:abstractNum w:abstractNumId="30">
    <w:nsid w:val="EFF37F09"/>
    <w:multiLevelType w:val="singleLevel"/>
    <w:tmpl w:val="EFF37F09"/>
    <w:lvl w:ilvl="0" w:tentative="0">
      <w:start w:val="1"/>
      <w:numFmt w:val="decimal"/>
      <w:suff w:val="nothing"/>
      <w:lvlText w:val="（%1）"/>
      <w:lvlJc w:val="left"/>
      <w:rPr>
        <w:rFonts w:hint="default"/>
        <w:b w:val="0"/>
        <w:bCs w:val="0"/>
      </w:rPr>
    </w:lvl>
  </w:abstractNum>
  <w:abstractNum w:abstractNumId="31">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2">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3">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4">
    <w:nsid w:val="F574F5B6"/>
    <w:multiLevelType w:val="singleLevel"/>
    <w:tmpl w:val="F574F5B6"/>
    <w:lvl w:ilvl="0" w:tentative="0">
      <w:start w:val="1"/>
      <w:numFmt w:val="decimal"/>
      <w:suff w:val="nothing"/>
      <w:lvlText w:val="（%1）"/>
      <w:lvlJc w:val="left"/>
    </w:lvl>
  </w:abstractNum>
  <w:abstractNum w:abstractNumId="35">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6">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7">
    <w:nsid w:val="084A6179"/>
    <w:multiLevelType w:val="singleLevel"/>
    <w:tmpl w:val="084A6179"/>
    <w:lvl w:ilvl="0" w:tentative="0">
      <w:start w:val="1"/>
      <w:numFmt w:val="decimal"/>
      <w:suff w:val="nothing"/>
      <w:lvlText w:val="（%1）"/>
      <w:lvlJc w:val="left"/>
      <w:rPr>
        <w:rFonts w:hint="default"/>
        <w:highlight w:val="none"/>
      </w:rPr>
    </w:lvl>
  </w:abstractNum>
  <w:abstractNum w:abstractNumId="38">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2">
    <w:nsid w:val="167B0BB4"/>
    <w:multiLevelType w:val="singleLevel"/>
    <w:tmpl w:val="167B0BB4"/>
    <w:lvl w:ilvl="0" w:tentative="0">
      <w:start w:val="1"/>
      <w:numFmt w:val="decimal"/>
      <w:suff w:val="nothing"/>
      <w:lvlText w:val="（%1）"/>
      <w:lvlJc w:val="left"/>
    </w:lvl>
  </w:abstractNum>
  <w:abstractNum w:abstractNumId="43">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4">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5">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6">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7">
    <w:nsid w:val="2CB63BE6"/>
    <w:multiLevelType w:val="singleLevel"/>
    <w:tmpl w:val="2CB63BE6"/>
    <w:lvl w:ilvl="0" w:tentative="0">
      <w:start w:val="1"/>
      <w:numFmt w:val="decimal"/>
      <w:suff w:val="nothing"/>
      <w:lvlText w:val="（%1）"/>
      <w:lvlJc w:val="left"/>
      <w:rPr>
        <w:rFonts w:hint="default"/>
        <w:b w:val="0"/>
        <w:bCs w:val="0"/>
      </w:rPr>
    </w:lvl>
  </w:abstractNum>
  <w:abstractNum w:abstractNumId="48">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9">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0">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1">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2">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5">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60">
    <w:nsid w:val="5BA91325"/>
    <w:multiLevelType w:val="singleLevel"/>
    <w:tmpl w:val="5BA91325"/>
    <w:lvl w:ilvl="0" w:tentative="0">
      <w:start w:val="1"/>
      <w:numFmt w:val="decimal"/>
      <w:suff w:val="nothing"/>
      <w:lvlText w:val="（%1）"/>
      <w:lvlJc w:val="left"/>
    </w:lvl>
  </w:abstractNum>
  <w:abstractNum w:abstractNumId="61">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2">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3">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4">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5">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6">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7">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8">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9">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70">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1">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2">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3">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4">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5">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6">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7">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8">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9">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80">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1">
    <w:nsid w:val="61F30F62"/>
    <w:multiLevelType w:val="singleLevel"/>
    <w:tmpl w:val="61F30F62"/>
    <w:lvl w:ilvl="0" w:tentative="0">
      <w:start w:val="1"/>
      <w:numFmt w:val="decimal"/>
      <w:suff w:val="nothing"/>
      <w:lvlText w:val="（%1）"/>
      <w:lvlJc w:val="left"/>
      <w:rPr>
        <w:rFonts w:hint="default"/>
        <w:b w:val="0"/>
        <w:bCs w:val="0"/>
      </w:rPr>
    </w:lvl>
  </w:abstractNum>
  <w:abstractNum w:abstractNumId="82">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3">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4">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5"/>
  </w:num>
  <w:num w:numId="2">
    <w:abstractNumId w:val="1"/>
  </w:num>
  <w:num w:numId="3">
    <w:abstractNumId w:val="52"/>
  </w:num>
  <w:num w:numId="4">
    <w:abstractNumId w:val="44"/>
  </w:num>
  <w:num w:numId="5">
    <w:abstractNumId w:val="22"/>
  </w:num>
  <w:num w:numId="6">
    <w:abstractNumId w:val="83"/>
  </w:num>
  <w:num w:numId="7">
    <w:abstractNumId w:val="38"/>
  </w:num>
  <w:num w:numId="8">
    <w:abstractNumId w:val="84"/>
  </w:num>
  <w:num w:numId="9">
    <w:abstractNumId w:val="58"/>
  </w:num>
  <w:num w:numId="10">
    <w:abstractNumId w:val="54"/>
  </w:num>
  <w:num w:numId="11">
    <w:abstractNumId w:val="35"/>
  </w:num>
  <w:num w:numId="12">
    <w:abstractNumId w:val="32"/>
  </w:num>
  <w:num w:numId="13">
    <w:abstractNumId w:val="40"/>
  </w:num>
  <w:num w:numId="14">
    <w:abstractNumId w:val="31"/>
  </w:num>
  <w:num w:numId="15">
    <w:abstractNumId w:val="23"/>
  </w:num>
  <w:num w:numId="16">
    <w:abstractNumId w:val="12"/>
  </w:num>
  <w:num w:numId="17">
    <w:abstractNumId w:val="19"/>
  </w:num>
  <w:num w:numId="18">
    <w:abstractNumId w:val="9"/>
  </w:num>
  <w:num w:numId="19">
    <w:abstractNumId w:val="6"/>
  </w:num>
  <w:num w:numId="20">
    <w:abstractNumId w:val="10"/>
  </w:num>
  <w:num w:numId="21">
    <w:abstractNumId w:val="8"/>
  </w:num>
  <w:num w:numId="22">
    <w:abstractNumId w:val="39"/>
  </w:num>
  <w:num w:numId="23">
    <w:abstractNumId w:val="53"/>
  </w:num>
  <w:num w:numId="24">
    <w:abstractNumId w:val="34"/>
  </w:num>
  <w:num w:numId="25">
    <w:abstractNumId w:val="55"/>
  </w:num>
  <w:num w:numId="26">
    <w:abstractNumId w:val="60"/>
  </w:num>
  <w:num w:numId="27">
    <w:abstractNumId w:val="46"/>
  </w:num>
  <w:num w:numId="28">
    <w:abstractNumId w:val="21"/>
  </w:num>
  <w:num w:numId="29">
    <w:abstractNumId w:val="45"/>
  </w:num>
  <w:num w:numId="30">
    <w:abstractNumId w:val="25"/>
  </w:num>
  <w:num w:numId="31">
    <w:abstractNumId w:val="7"/>
  </w:num>
  <w:num w:numId="32">
    <w:abstractNumId w:val="57"/>
  </w:num>
  <w:num w:numId="33">
    <w:abstractNumId w:val="5"/>
  </w:num>
  <w:num w:numId="34">
    <w:abstractNumId w:val="37"/>
  </w:num>
  <w:num w:numId="35">
    <w:abstractNumId w:val="43"/>
  </w:num>
  <w:num w:numId="36">
    <w:abstractNumId w:val="82"/>
  </w:num>
  <w:num w:numId="37">
    <w:abstractNumId w:val="36"/>
  </w:num>
  <w:num w:numId="38">
    <w:abstractNumId w:val="24"/>
  </w:num>
  <w:num w:numId="39">
    <w:abstractNumId w:val="48"/>
  </w:num>
  <w:num w:numId="40">
    <w:abstractNumId w:val="0"/>
  </w:num>
  <w:num w:numId="41">
    <w:abstractNumId w:val="27"/>
  </w:num>
  <w:num w:numId="42">
    <w:abstractNumId w:val="51"/>
  </w:num>
  <w:num w:numId="43">
    <w:abstractNumId w:val="3"/>
  </w:num>
  <w:num w:numId="44">
    <w:abstractNumId w:val="28"/>
  </w:num>
  <w:num w:numId="45">
    <w:abstractNumId w:val="18"/>
  </w:num>
  <w:num w:numId="46">
    <w:abstractNumId w:val="56"/>
  </w:num>
  <w:num w:numId="47">
    <w:abstractNumId w:val="41"/>
  </w:num>
  <w:num w:numId="48">
    <w:abstractNumId w:val="20"/>
  </w:num>
  <w:num w:numId="49">
    <w:abstractNumId w:val="33"/>
  </w:num>
  <w:num w:numId="50">
    <w:abstractNumId w:val="29"/>
  </w:num>
  <w:num w:numId="51">
    <w:abstractNumId w:val="30"/>
  </w:num>
  <w:num w:numId="52">
    <w:abstractNumId w:val="81"/>
  </w:num>
  <w:num w:numId="53">
    <w:abstractNumId w:val="47"/>
  </w:num>
  <w:num w:numId="54">
    <w:abstractNumId w:val="2"/>
  </w:num>
  <w:num w:numId="55">
    <w:abstractNumId w:val="59"/>
  </w:num>
  <w:num w:numId="56">
    <w:abstractNumId w:val="13"/>
  </w:num>
  <w:num w:numId="57">
    <w:abstractNumId w:val="11"/>
  </w:num>
  <w:num w:numId="58">
    <w:abstractNumId w:val="14"/>
  </w:num>
  <w:num w:numId="59">
    <w:abstractNumId w:val="42"/>
  </w:num>
  <w:num w:numId="60">
    <w:abstractNumId w:val="26"/>
  </w:num>
  <w:num w:numId="61">
    <w:abstractNumId w:val="4"/>
  </w:num>
  <w:num w:numId="62">
    <w:abstractNumId w:val="50"/>
  </w:num>
  <w:num w:numId="63">
    <w:abstractNumId w:val="68"/>
  </w:num>
  <w:num w:numId="64">
    <w:abstractNumId w:val="67"/>
  </w:num>
  <w:num w:numId="65">
    <w:abstractNumId w:val="69"/>
  </w:num>
  <w:num w:numId="66">
    <w:abstractNumId w:val="70"/>
  </w:num>
  <w:num w:numId="67">
    <w:abstractNumId w:val="71"/>
  </w:num>
  <w:num w:numId="68">
    <w:abstractNumId w:val="72"/>
  </w:num>
  <w:num w:numId="69">
    <w:abstractNumId w:val="73"/>
  </w:num>
  <w:num w:numId="70">
    <w:abstractNumId w:val="74"/>
  </w:num>
  <w:num w:numId="71">
    <w:abstractNumId w:val="49"/>
  </w:num>
  <w:num w:numId="72">
    <w:abstractNumId w:val="17"/>
  </w:num>
  <w:num w:numId="73">
    <w:abstractNumId w:val="61"/>
  </w:num>
  <w:num w:numId="74">
    <w:abstractNumId w:val="62"/>
  </w:num>
  <w:num w:numId="75">
    <w:abstractNumId w:val="63"/>
  </w:num>
  <w:num w:numId="76">
    <w:abstractNumId w:val="64"/>
  </w:num>
  <w:num w:numId="77">
    <w:abstractNumId w:val="65"/>
  </w:num>
  <w:num w:numId="78">
    <w:abstractNumId w:val="66"/>
  </w:num>
  <w:num w:numId="79">
    <w:abstractNumId w:val="75"/>
  </w:num>
  <w:num w:numId="80">
    <w:abstractNumId w:val="76"/>
  </w:num>
  <w:num w:numId="81">
    <w:abstractNumId w:val="16"/>
  </w:num>
  <w:num w:numId="82">
    <w:abstractNumId w:val="77"/>
  </w:num>
  <w:num w:numId="83">
    <w:abstractNumId w:val="78"/>
  </w:num>
  <w:num w:numId="84">
    <w:abstractNumId w:val="79"/>
  </w:num>
  <w:num w:numId="85">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E60817"/>
    <w:rsid w:val="01FD241C"/>
    <w:rsid w:val="03A32FCF"/>
    <w:rsid w:val="046454B7"/>
    <w:rsid w:val="046C4318"/>
    <w:rsid w:val="05E05E4D"/>
    <w:rsid w:val="05EA5A21"/>
    <w:rsid w:val="06420CFA"/>
    <w:rsid w:val="06503B59"/>
    <w:rsid w:val="06F301FD"/>
    <w:rsid w:val="0752555A"/>
    <w:rsid w:val="07E45984"/>
    <w:rsid w:val="0828699A"/>
    <w:rsid w:val="087D4021"/>
    <w:rsid w:val="09155E8F"/>
    <w:rsid w:val="097E3F67"/>
    <w:rsid w:val="097E4163"/>
    <w:rsid w:val="09FE573C"/>
    <w:rsid w:val="0A0C6349"/>
    <w:rsid w:val="0A1347F5"/>
    <w:rsid w:val="0A1F3796"/>
    <w:rsid w:val="0A2A32B9"/>
    <w:rsid w:val="0AA475AD"/>
    <w:rsid w:val="0B8E27E3"/>
    <w:rsid w:val="0BAE7CED"/>
    <w:rsid w:val="0BF71AE2"/>
    <w:rsid w:val="0C157162"/>
    <w:rsid w:val="0C9C7394"/>
    <w:rsid w:val="0CA6603D"/>
    <w:rsid w:val="0CB44C8B"/>
    <w:rsid w:val="0D0B1B00"/>
    <w:rsid w:val="0D3F210A"/>
    <w:rsid w:val="0E36795A"/>
    <w:rsid w:val="0E4A4B6F"/>
    <w:rsid w:val="0E9465E2"/>
    <w:rsid w:val="0EAE473F"/>
    <w:rsid w:val="0EF65480"/>
    <w:rsid w:val="0F322F5F"/>
    <w:rsid w:val="0F3349D0"/>
    <w:rsid w:val="10776FA2"/>
    <w:rsid w:val="10E7087B"/>
    <w:rsid w:val="10FA5463"/>
    <w:rsid w:val="11BA058F"/>
    <w:rsid w:val="12081858"/>
    <w:rsid w:val="12B62B3B"/>
    <w:rsid w:val="12F57C75"/>
    <w:rsid w:val="12F96486"/>
    <w:rsid w:val="13031153"/>
    <w:rsid w:val="13181417"/>
    <w:rsid w:val="135A629F"/>
    <w:rsid w:val="13CF7B8E"/>
    <w:rsid w:val="14170C03"/>
    <w:rsid w:val="14B80FF2"/>
    <w:rsid w:val="14C57FED"/>
    <w:rsid w:val="150C5665"/>
    <w:rsid w:val="15485BE1"/>
    <w:rsid w:val="15C56302"/>
    <w:rsid w:val="15F520E0"/>
    <w:rsid w:val="160940BB"/>
    <w:rsid w:val="1659752C"/>
    <w:rsid w:val="16E43A7F"/>
    <w:rsid w:val="175F7C56"/>
    <w:rsid w:val="18310272"/>
    <w:rsid w:val="18400678"/>
    <w:rsid w:val="185A3DA1"/>
    <w:rsid w:val="198C4B50"/>
    <w:rsid w:val="19BB4557"/>
    <w:rsid w:val="19DA4F78"/>
    <w:rsid w:val="19F13F4F"/>
    <w:rsid w:val="1A102675"/>
    <w:rsid w:val="1A276601"/>
    <w:rsid w:val="1A5F6E5F"/>
    <w:rsid w:val="1AFA5FFE"/>
    <w:rsid w:val="1B280245"/>
    <w:rsid w:val="1B581220"/>
    <w:rsid w:val="1B843575"/>
    <w:rsid w:val="1BBE4697"/>
    <w:rsid w:val="1D177BAB"/>
    <w:rsid w:val="1D4D5B7F"/>
    <w:rsid w:val="1D5076C2"/>
    <w:rsid w:val="1D552DD9"/>
    <w:rsid w:val="1DAB6D83"/>
    <w:rsid w:val="1E3173A3"/>
    <w:rsid w:val="1E792E51"/>
    <w:rsid w:val="1F0F5A19"/>
    <w:rsid w:val="1F1D6E1F"/>
    <w:rsid w:val="1F3E7F7D"/>
    <w:rsid w:val="1F51312D"/>
    <w:rsid w:val="1FC9553A"/>
    <w:rsid w:val="204D3B12"/>
    <w:rsid w:val="205A2AB3"/>
    <w:rsid w:val="20B6224D"/>
    <w:rsid w:val="21025026"/>
    <w:rsid w:val="21036497"/>
    <w:rsid w:val="21CE3241"/>
    <w:rsid w:val="220D1BEF"/>
    <w:rsid w:val="222B5013"/>
    <w:rsid w:val="22A04AF7"/>
    <w:rsid w:val="22A73C8E"/>
    <w:rsid w:val="22D3594B"/>
    <w:rsid w:val="22F12819"/>
    <w:rsid w:val="234F46D7"/>
    <w:rsid w:val="23753F06"/>
    <w:rsid w:val="238E1AAE"/>
    <w:rsid w:val="24030B6D"/>
    <w:rsid w:val="24345B9A"/>
    <w:rsid w:val="245517BD"/>
    <w:rsid w:val="2483647E"/>
    <w:rsid w:val="256F076F"/>
    <w:rsid w:val="25AF7681"/>
    <w:rsid w:val="25FC4A8A"/>
    <w:rsid w:val="26820AF7"/>
    <w:rsid w:val="26C12605"/>
    <w:rsid w:val="27947E62"/>
    <w:rsid w:val="27EB2573"/>
    <w:rsid w:val="292668E3"/>
    <w:rsid w:val="29361BBD"/>
    <w:rsid w:val="2A124404"/>
    <w:rsid w:val="2A1B5D68"/>
    <w:rsid w:val="2A5975B6"/>
    <w:rsid w:val="2A991D32"/>
    <w:rsid w:val="2AB92324"/>
    <w:rsid w:val="2AD6555A"/>
    <w:rsid w:val="2B376BE0"/>
    <w:rsid w:val="2B5B0398"/>
    <w:rsid w:val="2C1B1E9D"/>
    <w:rsid w:val="2C49057B"/>
    <w:rsid w:val="2CAB68C5"/>
    <w:rsid w:val="2E354AE5"/>
    <w:rsid w:val="2EBC6D03"/>
    <w:rsid w:val="2F196945"/>
    <w:rsid w:val="2F1F666C"/>
    <w:rsid w:val="2F885E4D"/>
    <w:rsid w:val="2FD32A37"/>
    <w:rsid w:val="30551FFC"/>
    <w:rsid w:val="311F702A"/>
    <w:rsid w:val="31A82883"/>
    <w:rsid w:val="320E3E15"/>
    <w:rsid w:val="327B27BD"/>
    <w:rsid w:val="32B15B31"/>
    <w:rsid w:val="32C937E9"/>
    <w:rsid w:val="333F6AA7"/>
    <w:rsid w:val="3480359E"/>
    <w:rsid w:val="34BE4ED5"/>
    <w:rsid w:val="35476F5E"/>
    <w:rsid w:val="354D3F58"/>
    <w:rsid w:val="359A216E"/>
    <w:rsid w:val="35CB65AD"/>
    <w:rsid w:val="36631FD8"/>
    <w:rsid w:val="36C419F2"/>
    <w:rsid w:val="36E72D9B"/>
    <w:rsid w:val="36FD7080"/>
    <w:rsid w:val="373002E1"/>
    <w:rsid w:val="379F2ED6"/>
    <w:rsid w:val="37CA172C"/>
    <w:rsid w:val="37DC2068"/>
    <w:rsid w:val="38071350"/>
    <w:rsid w:val="38224FD0"/>
    <w:rsid w:val="39775E90"/>
    <w:rsid w:val="39AC0F1B"/>
    <w:rsid w:val="39B95084"/>
    <w:rsid w:val="3A3E2041"/>
    <w:rsid w:val="3B131EF6"/>
    <w:rsid w:val="3B490D86"/>
    <w:rsid w:val="3BD74075"/>
    <w:rsid w:val="3C2F2290"/>
    <w:rsid w:val="3C9C62DF"/>
    <w:rsid w:val="3EA67C14"/>
    <w:rsid w:val="3EAD1B36"/>
    <w:rsid w:val="3F056B9E"/>
    <w:rsid w:val="3F354A62"/>
    <w:rsid w:val="3FB01289"/>
    <w:rsid w:val="3FE233B8"/>
    <w:rsid w:val="3FF54C55"/>
    <w:rsid w:val="40181F9C"/>
    <w:rsid w:val="406370BC"/>
    <w:rsid w:val="40FB7670"/>
    <w:rsid w:val="41B60000"/>
    <w:rsid w:val="423C06E2"/>
    <w:rsid w:val="42815397"/>
    <w:rsid w:val="42C94634"/>
    <w:rsid w:val="42EE3133"/>
    <w:rsid w:val="431B449E"/>
    <w:rsid w:val="45540446"/>
    <w:rsid w:val="458F3937"/>
    <w:rsid w:val="459F641E"/>
    <w:rsid w:val="45A93DC9"/>
    <w:rsid w:val="45BB5620"/>
    <w:rsid w:val="45EC58A2"/>
    <w:rsid w:val="45F127ED"/>
    <w:rsid w:val="46263D02"/>
    <w:rsid w:val="469F2C40"/>
    <w:rsid w:val="46CD66A0"/>
    <w:rsid w:val="472803B7"/>
    <w:rsid w:val="478411E4"/>
    <w:rsid w:val="488B59A4"/>
    <w:rsid w:val="48CC5267"/>
    <w:rsid w:val="494502E1"/>
    <w:rsid w:val="494C4325"/>
    <w:rsid w:val="4A010AC9"/>
    <w:rsid w:val="4A7F0ADF"/>
    <w:rsid w:val="4AA612F0"/>
    <w:rsid w:val="4B0D3113"/>
    <w:rsid w:val="4C1A730D"/>
    <w:rsid w:val="4C6B0DDA"/>
    <w:rsid w:val="4C6E1306"/>
    <w:rsid w:val="4C7368E1"/>
    <w:rsid w:val="4CC946ED"/>
    <w:rsid w:val="4CF979F4"/>
    <w:rsid w:val="4D8C0BC8"/>
    <w:rsid w:val="4E186164"/>
    <w:rsid w:val="4E247E9A"/>
    <w:rsid w:val="4E2F1033"/>
    <w:rsid w:val="4E8274B0"/>
    <w:rsid w:val="4EA65BC4"/>
    <w:rsid w:val="4EFC1B31"/>
    <w:rsid w:val="4F2836A5"/>
    <w:rsid w:val="4FF363B3"/>
    <w:rsid w:val="501216FC"/>
    <w:rsid w:val="50B73634"/>
    <w:rsid w:val="51434E1B"/>
    <w:rsid w:val="51504FE6"/>
    <w:rsid w:val="5270265F"/>
    <w:rsid w:val="54E91D9C"/>
    <w:rsid w:val="55A47BB4"/>
    <w:rsid w:val="56B44788"/>
    <w:rsid w:val="57481AEB"/>
    <w:rsid w:val="57B655F7"/>
    <w:rsid w:val="57BB6218"/>
    <w:rsid w:val="57FF3AAA"/>
    <w:rsid w:val="58DD2EEE"/>
    <w:rsid w:val="58E96C7A"/>
    <w:rsid w:val="59263C31"/>
    <w:rsid w:val="59AD3C67"/>
    <w:rsid w:val="5A4B183F"/>
    <w:rsid w:val="5B0D630F"/>
    <w:rsid w:val="5B1A12E6"/>
    <w:rsid w:val="5B602150"/>
    <w:rsid w:val="5B9919B4"/>
    <w:rsid w:val="5BB561BC"/>
    <w:rsid w:val="5BB70148"/>
    <w:rsid w:val="5C107127"/>
    <w:rsid w:val="5C3C3DDC"/>
    <w:rsid w:val="5C534539"/>
    <w:rsid w:val="5C930E60"/>
    <w:rsid w:val="5D160516"/>
    <w:rsid w:val="5D713BC5"/>
    <w:rsid w:val="5D7D0F36"/>
    <w:rsid w:val="5DB61BFF"/>
    <w:rsid w:val="5DEF454B"/>
    <w:rsid w:val="5E5A6C63"/>
    <w:rsid w:val="5F3C6712"/>
    <w:rsid w:val="5F4B58F3"/>
    <w:rsid w:val="6053481F"/>
    <w:rsid w:val="60553A8D"/>
    <w:rsid w:val="606E0DED"/>
    <w:rsid w:val="60AB2000"/>
    <w:rsid w:val="61BE3E8C"/>
    <w:rsid w:val="61C97391"/>
    <w:rsid w:val="61D85325"/>
    <w:rsid w:val="62860AAA"/>
    <w:rsid w:val="628B7CEE"/>
    <w:rsid w:val="629D5796"/>
    <w:rsid w:val="6382523F"/>
    <w:rsid w:val="63FA4C5C"/>
    <w:rsid w:val="64102A52"/>
    <w:rsid w:val="64552EA3"/>
    <w:rsid w:val="64BC6713"/>
    <w:rsid w:val="66F54088"/>
    <w:rsid w:val="671E2162"/>
    <w:rsid w:val="67C2281F"/>
    <w:rsid w:val="680C1A56"/>
    <w:rsid w:val="684F0C72"/>
    <w:rsid w:val="68D8721E"/>
    <w:rsid w:val="6A47212E"/>
    <w:rsid w:val="6A831914"/>
    <w:rsid w:val="6B610D05"/>
    <w:rsid w:val="6BAC21D5"/>
    <w:rsid w:val="6C237608"/>
    <w:rsid w:val="6CD21677"/>
    <w:rsid w:val="6CED1CB3"/>
    <w:rsid w:val="6D1E5632"/>
    <w:rsid w:val="6D3B42C3"/>
    <w:rsid w:val="6D5A3D63"/>
    <w:rsid w:val="6D9A4080"/>
    <w:rsid w:val="6DFD5353"/>
    <w:rsid w:val="6E7E575F"/>
    <w:rsid w:val="6EC27507"/>
    <w:rsid w:val="6EF15941"/>
    <w:rsid w:val="6F926461"/>
    <w:rsid w:val="6F9921A1"/>
    <w:rsid w:val="6FA453FA"/>
    <w:rsid w:val="720B7A64"/>
    <w:rsid w:val="720F6016"/>
    <w:rsid w:val="73407EBD"/>
    <w:rsid w:val="73932176"/>
    <w:rsid w:val="73EF4563"/>
    <w:rsid w:val="74037319"/>
    <w:rsid w:val="74175679"/>
    <w:rsid w:val="744124AA"/>
    <w:rsid w:val="74664F47"/>
    <w:rsid w:val="756E538F"/>
    <w:rsid w:val="75D950C9"/>
    <w:rsid w:val="76F41323"/>
    <w:rsid w:val="77100360"/>
    <w:rsid w:val="778222EA"/>
    <w:rsid w:val="77A30DC4"/>
    <w:rsid w:val="77E0572E"/>
    <w:rsid w:val="77ED4104"/>
    <w:rsid w:val="78EF4372"/>
    <w:rsid w:val="79771B00"/>
    <w:rsid w:val="7980282D"/>
    <w:rsid w:val="798F6426"/>
    <w:rsid w:val="79B94653"/>
    <w:rsid w:val="79E01A87"/>
    <w:rsid w:val="7ACA272A"/>
    <w:rsid w:val="7B0E7C70"/>
    <w:rsid w:val="7B2E004A"/>
    <w:rsid w:val="7B76641B"/>
    <w:rsid w:val="7BBF1397"/>
    <w:rsid w:val="7CED52DC"/>
    <w:rsid w:val="7E6F339A"/>
    <w:rsid w:val="7E810662"/>
    <w:rsid w:val="7ED67E61"/>
    <w:rsid w:val="7F590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1"/>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19"/>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4"/>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3"/>
    <w:uiPriority w:val="0"/>
    <w:pPr>
      <w:jc w:val="left"/>
    </w:pPr>
  </w:style>
  <w:style w:type="paragraph" w:styleId="6">
    <w:name w:val="Balloon Text"/>
    <w:basedOn w:val="1"/>
    <w:link w:val="22"/>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0"/>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List Paragraph"/>
    <w:basedOn w:val="1"/>
    <w:unhideWhenUsed/>
    <w:uiPriority w:val="99"/>
    <w:pPr>
      <w:ind w:firstLine="420" w:firstLineChars="200"/>
    </w:pPr>
  </w:style>
  <w:style w:type="paragraph" w:customStyle="1" w:styleId="17">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18">
    <w:name w:val="Default"/>
    <w:qFormat/>
    <w:uiPriority w:val="0"/>
    <w:pPr>
      <w:widowControl w:val="0"/>
      <w:autoSpaceDE w:val="0"/>
      <w:autoSpaceDN w:val="0"/>
      <w:adjustRightInd w:val="0"/>
    </w:pPr>
    <w:rPr>
      <w:color w:val="000000"/>
      <w:sz w:val="24"/>
      <w:szCs w:val="24"/>
      <w:lang w:val="en-US" w:eastAsia="zh-CN" w:bidi="ar-SA"/>
    </w:rPr>
  </w:style>
  <w:style w:type="character" w:customStyle="1" w:styleId="19">
    <w:name w:val="标题 2 Char"/>
    <w:link w:val="3"/>
    <w:uiPriority w:val="0"/>
    <w:rPr>
      <w:rFonts w:ascii="Arial" w:hAnsi="Arial" w:eastAsia="宋体"/>
      <w:b/>
      <w:sz w:val="24"/>
    </w:rPr>
  </w:style>
  <w:style w:type="character" w:customStyle="1" w:styleId="20">
    <w:name w:val="批注主题 Char"/>
    <w:link w:val="10"/>
    <w:uiPriority w:val="0"/>
    <w:rPr>
      <w:rFonts w:ascii="Calibri" w:hAnsi="Calibri" w:cs="黑体"/>
      <w:b/>
      <w:bCs/>
      <w:kern w:val="2"/>
      <w:sz w:val="21"/>
      <w:szCs w:val="24"/>
    </w:rPr>
  </w:style>
  <w:style w:type="character" w:customStyle="1" w:styleId="21">
    <w:name w:val="标题 1 Char"/>
    <w:link w:val="2"/>
    <w:uiPriority w:val="0"/>
    <w:rPr>
      <w:rFonts w:eastAsia="宋体"/>
      <w:b/>
      <w:kern w:val="44"/>
      <w:sz w:val="44"/>
    </w:rPr>
  </w:style>
  <w:style w:type="character" w:customStyle="1" w:styleId="22">
    <w:name w:val="批注框文本 Char"/>
    <w:link w:val="6"/>
    <w:uiPriority w:val="0"/>
    <w:rPr>
      <w:rFonts w:ascii="Calibri" w:hAnsi="Calibri" w:cs="黑体"/>
      <w:kern w:val="2"/>
      <w:sz w:val="18"/>
      <w:szCs w:val="18"/>
    </w:rPr>
  </w:style>
  <w:style w:type="character" w:customStyle="1" w:styleId="23">
    <w:name w:val="批注文字 Char"/>
    <w:link w:val="5"/>
    <w:uiPriority w:val="0"/>
    <w:rPr>
      <w:rFonts w:ascii="Calibri" w:hAnsi="Calibri" w:cs="黑体"/>
      <w:kern w:val="2"/>
      <w:sz w:val="21"/>
      <w:szCs w:val="24"/>
    </w:rPr>
  </w:style>
  <w:style w:type="character" w:customStyle="1" w:styleId="24">
    <w:name w:val="标题 3 Char"/>
    <w:link w:val="4"/>
    <w:uiPriority w:val="0"/>
    <w:rPr>
      <w:rFonts w:hAnsi="Calibri" w:eastAsia="宋体"/>
      <w:b/>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36585</Words>
  <Characters>38980</Characters>
  <Lines>1</Lines>
  <Paragraphs>1</Paragraphs>
  <TotalTime>0</TotalTime>
  <ScaleCrop>false</ScaleCrop>
  <LinksUpToDate>false</LinksUpToDate>
  <CharactersWithSpaces>39207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2025-03-17T06:42:45Z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