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mc:Ignorable="w14 w15 wp14">
  <w:body>
    <w:p>
      <w:pPr>
        <w:jc w:val="center"/>
        <w:outlineLvl w:val="0"/>
        <w:rPr>
          <w:rFonts w:ascii="华文中宋" w:cs="华文中宋" w:eastAsia="华文中宋" w:hAnsi="华文中宋" w:hint="eastAsia"/>
          <w:sz w:val="36"/>
          <w:szCs w:val="36"/>
        </w:rPr>
      </w:pPr>
      <w:r>
        <w:rPr>
          <w:rFonts w:ascii="华文中宋" w:cs="华文中宋" w:eastAsia="华文中宋" w:hAnsi="华文中宋" w:hint="eastAsia"/>
          <w:sz w:val="36"/>
          <w:szCs w:val="36"/>
          <w:lang w:eastAsia="zh-CN" w:val="en-US"/>
        </w:rPr>
        <w:t>幸福99添益(安享优选)90天持有期2期理财D款业绩比较基准</w:t>
      </w:r>
      <w:r>
        <w:rPr>
          <w:rFonts w:ascii="华文中宋" w:cs="华文中宋" w:eastAsia="华文中宋" w:hAnsi="华文中宋" w:hint="eastAsia"/>
          <w:sz w:val="36"/>
          <w:szCs w:val="36"/>
        </w:rPr>
        <w:t>调整公告</w:t>
      </w:r>
    </w:p>
    <w:p>
      <w:pPr>
        <w:jc w:val="center"/>
        <w:rPr>
          <w:rFonts w:ascii="方正小标宋简体" w:cs="方正小标宋简体" w:eastAsia="方正小标宋简体" w:hAnsi="方正小标宋简体" w:hint="eastAsia"/>
          <w:sz w:val="28"/>
          <w:szCs w:val="28"/>
        </w:rPr>
      </w:pPr>
    </w:p>
    <w:p>
      <w:pPr>
        <w:rPr>
          <w:rFonts w:ascii="仿宋_GB2312" w:cs="仿宋_GB2312" w:eastAsia="仿宋_GB2312" w:hAnsi="仿宋_GB2312" w:hint="eastAsia"/>
          <w:sz w:val="30"/>
          <w:szCs w:val="30"/>
        </w:rPr>
      </w:pPr>
      <w:r>
        <w:rPr>
          <w:rFonts w:ascii="仿宋_GB2312" w:cs="仿宋_GB2312" w:eastAsia="仿宋_GB2312" w:hAnsi="仿宋_GB2312" w:hint="eastAsia"/>
          <w:sz w:val="30"/>
          <w:szCs w:val="30"/>
        </w:rPr>
        <w:t>尊敬的投资者：</w:t>
      </w:r>
    </w:p>
    <w:p>
      <w:pPr>
        <w:ind w:firstLine="600" w:firstLineChars="200"/>
        <w:rPr>
          <w:rFonts w:ascii="仿宋_GB2312" w:cs="仿宋_GB2312" w:eastAsia="仿宋_GB2312" w:hAnsi="仿宋_GB2312" w:hint="eastAsia"/>
          <w:sz w:val="30"/>
          <w:szCs w:val="30"/>
          <w:lang w:eastAsia="zh-CN" w:val="en-US"/>
        </w:rPr>
      </w:pPr>
      <w:r>
        <w:rPr>
          <w:rFonts w:ascii="仿宋_GB2312" w:cs="仿宋_GB2312" w:eastAsia="仿宋_GB2312" w:hAnsi="仿宋_GB2312" w:hint="eastAsia"/>
          <w:sz w:val="30"/>
          <w:szCs w:val="30"/>
        </w:rPr>
        <w:t>自</w:t>
      </w:r>
      <w:r>
        <w:rPr>
          <w:rFonts w:ascii="仿宋_GB2312" w:cs="仿宋_GB2312" w:eastAsia="仿宋_GB2312" w:hAnsi="仿宋_GB2312" w:hint="eastAsia"/>
          <w:sz w:val="30"/>
          <w:szCs w:val="30"/>
          <w:lang w:eastAsia="zh-CN" w:val="en-US"/>
        </w:rPr>
        <w:t>2025年3月5日</w:t>
      </w:r>
      <w:r>
        <w:rPr>
          <w:rFonts w:ascii="仿宋_GB2312" w:cs="仿宋_GB2312" w:eastAsia="仿宋_GB2312" w:hAnsi="仿宋_GB2312" w:hint="eastAsia"/>
          <w:sz w:val="30"/>
          <w:szCs w:val="30"/>
        </w:rPr>
        <w:t>起，</w:t>
      </w:r>
      <w:r>
        <w:rPr>
          <w:rFonts w:ascii="仿宋_GB2312" w:cs="仿宋_GB2312" w:eastAsia="仿宋_GB2312" w:hAnsi="仿宋_GB2312" w:hint="eastAsia"/>
          <w:sz w:val="30"/>
          <w:szCs w:val="30"/>
          <w:lang w:eastAsia="zh-CN" w:val="en-US"/>
        </w:rPr>
        <w:t>幸福99添益(安享优选)90天持有期2期理财D款</w:t>
      </w:r>
      <w:r>
        <w:rPr>
          <w:rFonts w:ascii="仿宋_GB2312" w:cs="仿宋_GB2312" w:eastAsia="仿宋_GB2312" w:hAnsi="仿宋_GB2312" w:hint="eastAsia"/>
          <w:sz w:val="30"/>
          <w:szCs w:val="30"/>
        </w:rPr>
        <w:t>（产品代码：</w:t>
      </w:r>
      <w:r>
        <w:rPr>
          <w:rFonts w:ascii="仿宋_GB2312" w:cs="仿宋_GB2312" w:eastAsia="仿宋_GB2312" w:hAnsi="仿宋_GB2312" w:hint="eastAsia"/>
          <w:sz w:val="30"/>
          <w:szCs w:val="30"/>
          <w:lang w:eastAsia="zh-CN" w:val="en-US"/>
        </w:rPr>
        <w:t>TYGC90D2406D</w:t>
      </w:r>
      <w:r>
        <w:rPr>
          <w:rFonts w:ascii="仿宋_GB2312" w:cs="仿宋_GB2312" w:eastAsia="仿宋_GB2312" w:hAnsi="仿宋_GB2312" w:hint="eastAsia"/>
          <w:sz w:val="30"/>
          <w:szCs w:val="30"/>
        </w:rPr>
        <w:t>）将调整</w:t>
      </w:r>
      <w:r>
        <w:rPr>
          <w:rFonts w:ascii="仿宋_GB2312" w:cs="仿宋_GB2312" w:eastAsia="仿宋_GB2312" w:hAnsi="仿宋_GB2312" w:hint="eastAsia"/>
          <w:sz w:val="30"/>
          <w:szCs w:val="30"/>
          <w:lang w:eastAsia="zh-CN" w:val="en-US"/>
        </w:rPr>
        <w:t>业绩比较基准</w:t>
      </w:r>
      <w:r>
        <w:rPr>
          <w:rFonts w:ascii="仿宋_GB2312" w:cs="仿宋_GB2312" w:eastAsia="仿宋_GB2312" w:hAnsi="仿宋_GB2312" w:hint="eastAsia"/>
          <w:sz w:val="30"/>
          <w:szCs w:val="30"/>
          <w:lang w:eastAsia="zh-CN"/>
        </w:rPr>
        <w:t>，</w:t>
      </w:r>
      <w:r>
        <w:rPr>
          <w:rFonts w:ascii="仿宋_GB2312" w:cs="仿宋_GB2312" w:eastAsia="仿宋_GB2312" w:hAnsi="仿宋_GB2312" w:hint="eastAsia"/>
          <w:sz w:val="30"/>
          <w:szCs w:val="30"/>
        </w:rPr>
        <w:t>敬请投资者关注，做好投资安排。</w:t>
      </w:r>
      <w:r>
        <w:rPr>
          <w:rFonts w:ascii="仿宋_GB2312" w:cs="仿宋_GB2312" w:eastAsia="仿宋_GB2312" w:hAnsi="仿宋_GB2312" w:hint="eastAsia"/>
          <w:sz w:val="30"/>
          <w:szCs w:val="30"/>
          <w:lang w:eastAsia="zh-CN" w:val="en-US"/>
        </w:rPr>
        <w:t>具体调整如下：</w:t>
      </w:r>
      <w:bookmarkStart w:id="0" w:name="_GoBack"/>
      <w:bookmarkEnd w:id="0"/>
    </w:p>
    <w:tbl>
      <w:tblPr>
        <w:tblStyle w:val="3"/>
        <w:tblW w:type="dxa" w:w="8330"/>
        <w:tblInd w:type="dxa" w:w="0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4" w:val="single"/>
          <w:insideV w:color="auto" w:space="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2110"/>
        <w:gridCol w:w="3170"/>
        <w:gridCol w:w="3050"/>
      </w:tblGrid>
      <w:tr>
        <w:tblPrEx>
          <w:tblBorders>
            <w:top w:color="auto" w:space="0" w:sz="4" w:val="single"/>
            <w:left w:color="auto" w:space="0" w:sz="4" w:val="single"/>
            <w:bottom w:color="auto" w:space="0" w:sz="4" w:val="single"/>
            <w:right w:color="auto" w:space="0" w:sz="4" w:val="single"/>
            <w:insideH w:color="auto" w:space="0" w:sz="4" w:val="single"/>
            <w:insideV w:color="auto" w:space="0" w:sz="4" w:val="single"/>
          </w:tblBorders>
          <w:tblCellMar>
            <w:top w:type="dxa" w:w="0"/>
            <w:left w:type="dxa" w:w="108"/>
            <w:bottom w:type="dxa" w:w="0"/>
            <w:right w:type="dxa" w:w="108"/>
          </w:tblCellMar>
        </w:tblPrEx>
        <w:tc>
          <w:tcPr>
            <w:tcW w:type="dxa" w:w="2110"/>
          </w:tcPr>
          <w:p>
            <w:pPr>
              <w:numPr>
                <w:ilvl w:val="0"/>
                <w:numId w:val="0"/>
              </w:numPr>
              <w:jc w:val="center"/>
              <w:rPr>
                <w:rFonts w:ascii="仿宋_GB2312" w:cs="仿宋_GB2312" w:eastAsia="仿宋_GB2312" w:hAnsi="仿宋_GB2312" w:hint="eastAsia"/>
                <w:sz w:val="24"/>
                <w:szCs w:val="24"/>
                <w:vertAlign w:val="baseline"/>
                <w:lang w:eastAsia="zh-CN" w:val="en-US"/>
              </w:rPr>
            </w:pPr>
            <w:r>
              <w:rPr>
                <w:rFonts w:ascii="仿宋_GB2312" w:cs="仿宋_GB2312" w:eastAsia="仿宋_GB2312" w:hAnsi="仿宋_GB2312" w:hint="eastAsia"/>
                <w:sz w:val="24"/>
                <w:szCs w:val="24"/>
                <w:vertAlign w:val="baseline"/>
                <w:lang w:eastAsia="zh-CN" w:val="en-US"/>
              </w:rPr>
              <w:t>销售代码</w:t>
            </w:r>
          </w:p>
        </w:tc>
        <w:tc>
          <w:tcPr>
            <w:tcW w:type="dxa" w:w="3170"/>
          </w:tcPr>
          <w:p>
            <w:pPr>
              <w:numPr>
                <w:ilvl w:val="0"/>
                <w:numId w:val="0"/>
              </w:numPr>
              <w:jc w:val="center"/>
              <w:rPr>
                <w:rFonts w:ascii="仿宋_GB2312" w:cs="仿宋_GB2312" w:eastAsia="仿宋_GB2312" w:hAnsi="仿宋_GB2312" w:hint="eastAsia"/>
                <w:sz w:val="24"/>
                <w:szCs w:val="24"/>
                <w:vertAlign w:val="baseline"/>
                <w:lang w:eastAsia="zh-CN" w:val="en-US"/>
              </w:rPr>
            </w:pPr>
            <w:r>
              <w:rPr>
                <w:rFonts w:ascii="仿宋_GB2312" w:cs="仿宋_GB2312" w:eastAsia="仿宋_GB2312" w:hAnsi="仿宋_GB2312" w:hint="eastAsia"/>
                <w:sz w:val="24"/>
                <w:szCs w:val="24"/>
                <w:vertAlign w:val="baseline"/>
                <w:lang w:eastAsia="zh-CN" w:val="en-US"/>
              </w:rPr>
              <w:t>调整前</w:t>
            </w:r>
          </w:p>
        </w:tc>
        <w:tc>
          <w:tcPr>
            <w:tcW w:type="dxa" w:w="3050"/>
          </w:tcPr>
          <w:p>
            <w:pPr>
              <w:numPr>
                <w:ilvl w:val="0"/>
                <w:numId w:val="0"/>
              </w:numPr>
              <w:jc w:val="center"/>
              <w:rPr>
                <w:rFonts w:ascii="仿宋_GB2312" w:cs="仿宋_GB2312" w:eastAsia="仿宋_GB2312" w:hAnsi="仿宋_GB2312" w:hint="eastAsia"/>
                <w:sz w:val="24"/>
                <w:szCs w:val="24"/>
                <w:vertAlign w:val="baseline"/>
                <w:lang w:eastAsia="zh-CN" w:val="en-US"/>
              </w:rPr>
            </w:pPr>
            <w:r>
              <w:rPr>
                <w:rFonts w:ascii="仿宋_GB2312" w:cs="仿宋_GB2312" w:eastAsia="仿宋_GB2312" w:hAnsi="仿宋_GB2312" w:hint="eastAsia"/>
                <w:sz w:val="24"/>
                <w:szCs w:val="24"/>
                <w:vertAlign w:val="baseline"/>
                <w:lang w:eastAsia="zh-CN" w:val="en-US"/>
              </w:rPr>
              <w:t>调整后</w:t>
            </w:r>
          </w:p>
        </w:tc>
      </w:tr>
      <w:tr>
        <w:tblPrEx>
          <w:tblBorders>
            <w:top w:color="auto" w:space="0" w:sz="4" w:val="single"/>
            <w:left w:color="auto" w:space="0" w:sz="4" w:val="single"/>
            <w:bottom w:color="auto" w:space="0" w:sz="4" w:val="single"/>
            <w:right w:color="auto" w:space="0" w:sz="4" w:val="single"/>
            <w:insideH w:color="auto" w:space="0" w:sz="4" w:val="single"/>
            <w:insideV w:color="auto" w:space="0" w:sz="4" w:val="single"/>
          </w:tblBorders>
          <w:tblCellMar>
            <w:top w:type="dxa" w:w="0"/>
            <w:left w:type="dxa" w:w="108"/>
            <w:bottom w:type="dxa" w:w="0"/>
            <w:right w:type="dxa" w:w="108"/>
          </w:tblCellMar>
        </w:tblPrEx>
        <w:tc>
          <w:tcPr>
            <w:tcW w:type="dxa" w:w="2110"/>
          </w:tcPr>
          <w:p>
            <w:pPr>
              <w:numPr>
                <w:ilvl w:val="0"/>
                <w:numId w:val="0"/>
              </w:numPr>
              <w:jc w:val="center"/>
              <w:rPr>
                <w:rFonts w:ascii="仿宋_GB2312" w:cs="仿宋_GB2312" w:eastAsia="仿宋_GB2312" w:hAnsi="仿宋_GB2312" w:hint="default"/>
                <w:sz w:val="24"/>
                <w:szCs w:val="24"/>
                <w:vertAlign w:val="baseline"/>
                <w:lang w:eastAsia="zh-CN" w:val="en-US"/>
              </w:rPr>
            </w:pPr>
            <w:r>
              <w:rPr>
                <w:rFonts w:ascii="仿宋_GB2312" w:cs="仿宋_GB2312" w:eastAsia="仿宋_GB2312" w:hAnsi="仿宋_GB2312" w:hint="eastAsia"/>
                <w:sz w:val="24"/>
                <w:szCs w:val="24"/>
                <w:vertAlign w:val="baseline"/>
                <w:lang w:eastAsia="zh-CN" w:val="en-US"/>
              </w:rPr>
              <w:t>TYGC90D2406D</w:t>
            </w:r>
          </w:p>
        </w:tc>
        <w:tc>
          <w:tcPr>
            <w:tcW w:type="dxa" w:w="3170"/>
            <w:shd w:color="auto" w:fill="auto" w:val="clear"/>
            <w:vAlign w:val="top"/>
          </w:tcPr>
          <w:p>
            <w:pPr>
              <w:numPr>
                <w:ilvl w:val="0"/>
                <w:numId w:val="0"/>
              </w:numPr>
              <w:ind w:firstLine="0" w:firstLineChars="0" w:left="0" w:leftChars="0"/>
              <w:jc w:val="center"/>
              <w:rPr>
                <w:rFonts w:ascii="仿宋_GB2312" w:cs="仿宋_GB2312" w:eastAsia="仿宋_GB2312" w:hAnsi="仿宋_GB2312" w:hint="default"/>
                <w:kern w:val="2"/>
                <w:sz w:val="24"/>
                <w:szCs w:val="24"/>
                <w:vertAlign w:val="baseline"/>
                <w:lang w:bidi="ar-SA" w:eastAsia="zh-CN" w:val="en-US"/>
              </w:rPr>
            </w:pPr>
            <w:r>
              <w:rPr>
                <w:rFonts w:ascii="仿宋_GB2312" w:cs="仿宋_GB2312" w:eastAsia="仿宋_GB2312" w:hAnsi="仿宋_GB2312" w:hint="eastAsia"/>
                <w:kern w:val="2"/>
                <w:sz w:val="24"/>
                <w:szCs w:val="24"/>
                <w:vertAlign w:val="baseline"/>
                <w:lang w:bidi="ar-SA" w:eastAsia="zh-CN" w:val="en-US"/>
              </w:rPr>
              <w:t>2.05%-2.95%</w:t>
            </w:r>
          </w:p>
        </w:tc>
        <w:tc>
          <w:tcPr>
            <w:tcW w:type="dxa" w:w="3050"/>
          </w:tcPr>
          <w:p>
            <w:pPr>
              <w:numPr>
                <w:ilvl w:val="0"/>
                <w:numId w:val="0"/>
              </w:numPr>
              <w:jc w:val="center"/>
              <w:rPr>
                <w:rFonts w:ascii="仿宋_GB2312" w:cs="仿宋_GB2312" w:eastAsia="仿宋_GB2312" w:hAnsi="仿宋_GB2312" w:hint="default"/>
                <w:sz w:val="24"/>
                <w:szCs w:val="24"/>
                <w:vertAlign w:val="baseline"/>
                <w:lang w:eastAsia="zh-CN" w:val="en-US"/>
              </w:rPr>
            </w:pPr>
            <w:r>
              <w:rPr>
                <w:rFonts w:ascii="仿宋_GB2312" w:cs="仿宋_GB2312" w:eastAsia="仿宋_GB2312" w:hAnsi="仿宋_GB2312" w:hint="eastAsia"/>
                <w:sz w:val="24"/>
                <w:szCs w:val="24"/>
                <w:vertAlign w:val="baseline"/>
                <w:lang w:eastAsia="zh-CN" w:val="en-US"/>
              </w:rPr>
              <w:t>1.95%-2.85%</w:t>
            </w:r>
          </w:p>
        </w:tc>
      </w:tr>
    </w:tbl>
    <w:p>
      <w:pPr>
        <w:numPr>
          <w:ilvl w:val="0"/>
          <w:numId w:val="0"/>
        </w:numPr>
        <w:ind w:firstLine="600" w:firstLineChars="200"/>
        <w:rPr>
          <w:rFonts w:ascii="仿宋_GB2312" w:cs="仿宋_GB2312" w:eastAsia="仿宋_GB2312" w:hAnsi="仿宋_GB2312" w:hint="eastAsia"/>
          <w:sz w:val="30"/>
          <w:szCs w:val="30"/>
        </w:rPr>
      </w:pPr>
      <w:r>
        <w:rPr>
          <w:rFonts w:ascii="仿宋_GB2312" w:cs="仿宋_GB2312" w:eastAsia="仿宋_GB2312" w:hAnsi="仿宋_GB2312" w:hint="eastAsia"/>
          <w:sz w:val="30"/>
          <w:szCs w:val="30"/>
        </w:rPr>
        <w:t>测算依据详见理财计划合同。</w:t>
      </w:r>
    </w:p>
    <w:p>
      <w:pPr>
        <w:ind w:firstLine="480" w:firstLineChars="200"/>
        <w:rPr>
          <w:rFonts w:ascii="仿宋_GB2312" w:cs="仿宋_GB2312" w:eastAsia="仿宋_GB2312" w:hAnsi="仿宋_GB2312" w:hint="eastAsia"/>
          <w:sz w:val="24"/>
          <w:szCs w:val="24"/>
        </w:rPr>
      </w:pPr>
      <w:r>
        <w:rPr>
          <w:rFonts w:ascii="仿宋_GB2312" w:cs="仿宋_GB2312" w:eastAsia="仿宋_GB2312" w:hAnsi="仿宋_GB2312" w:hint="eastAsia"/>
          <w:sz w:val="24"/>
          <w:szCs w:val="24"/>
        </w:rPr>
        <w:t>注：本理财计划业绩比较基准由管理人根据投资范围及投资策略，结合市场环境因素进行测算而得出。业绩比较基准是管理人基于理财计划收益风险特征、投资策略、过往经验等因素对理财计划业绩设定的投资目标，不代表理财计划的未来表现和实际收益，也不构成对理财计划收益的承诺。</w:t>
      </w:r>
    </w:p>
    <w:p>
      <w:pPr>
        <w:ind w:firstLine="600" w:firstLineChars="200"/>
        <w:rPr>
          <w:rFonts w:ascii="仿宋_GB2312" w:cs="仿宋_GB2312" w:eastAsia="仿宋_GB2312" w:hAnsi="仿宋_GB2312" w:hint="eastAsia"/>
          <w:sz w:val="30"/>
          <w:szCs w:val="30"/>
        </w:rPr>
      </w:pPr>
      <w:r>
        <w:rPr>
          <w:rFonts w:ascii="仿宋_GB2312" w:cs="仿宋_GB2312" w:eastAsia="仿宋_GB2312" w:hAnsi="仿宋_GB2312" w:hint="eastAsia"/>
          <w:sz w:val="30"/>
          <w:szCs w:val="30"/>
        </w:rPr>
        <w:t>感谢您一直以来对杭银理财的支持，敬请继续关注杭银理财的理财产品。</w:t>
      </w:r>
    </w:p>
    <w:p>
      <w:pPr>
        <w:rPr>
          <w:rFonts w:ascii="仿宋_GB2312" w:cs="仿宋_GB2312" w:eastAsia="仿宋_GB2312" w:hAnsi="仿宋_GB2312" w:hint="eastAsia"/>
          <w:sz w:val="30"/>
          <w:szCs w:val="30"/>
        </w:rPr>
      </w:pPr>
    </w:p>
    <w:p>
      <w:pPr>
        <w:rPr>
          <w:rFonts w:ascii="仿宋_GB2312" w:cs="仿宋_GB2312" w:eastAsia="仿宋_GB2312" w:hAnsi="仿宋_GB2312" w:hint="eastAsia"/>
          <w:sz w:val="30"/>
          <w:szCs w:val="30"/>
        </w:rPr>
      </w:pPr>
    </w:p>
    <w:p>
      <w:pPr>
        <w:rPr>
          <w:rFonts w:ascii="仿宋_GB2312" w:cs="仿宋_GB2312" w:eastAsia="仿宋_GB2312" w:hAnsi="仿宋_GB2312" w:hint="eastAsia"/>
          <w:sz w:val="30"/>
          <w:szCs w:val="30"/>
        </w:rPr>
      </w:pPr>
    </w:p>
    <w:p>
      <w:pPr>
        <w:jc w:val="right"/>
        <w:rPr>
          <w:rFonts w:ascii="仿宋_GB2312" w:cs="仿宋_GB2312" w:eastAsia="仿宋_GB2312" w:hAnsi="仿宋_GB2312" w:hint="eastAsia"/>
          <w:sz w:val="30"/>
          <w:szCs w:val="30"/>
        </w:rPr>
      </w:pPr>
      <w:r>
        <w:rPr>
          <w:rFonts w:ascii="仿宋_GB2312" w:cs="仿宋_GB2312" w:eastAsia="仿宋_GB2312" w:hAnsi="仿宋_GB2312" w:hint="eastAsia"/>
          <w:sz w:val="30"/>
          <w:szCs w:val="30"/>
        </w:rPr>
        <w:t>杭银理财有限责任公司</w:t>
      </w:r>
    </w:p>
    <w:p>
      <w:pPr>
        <w:jc w:val="center"/>
        <w:rPr>
          <w:rFonts w:ascii="仿宋_GB2312" w:cs="仿宋_GB2312" w:eastAsia="仿宋_GB2312" w:hAnsi="仿宋_GB2312" w:hint="default"/>
          <w:sz w:val="30"/>
          <w:szCs w:val="30"/>
          <w:lang w:eastAsia="zh-CN" w:val="en-US"/>
        </w:rPr>
      </w:pPr>
      <w:r>
        <w:rPr>
          <w:rFonts w:ascii="仿宋_GB2312" w:cs="仿宋_GB2312" w:eastAsia="仿宋_GB2312" w:hAnsi="仿宋_GB2312" w:hint="eastAsia"/>
          <w:sz w:val="30"/>
          <w:szCs w:val="30"/>
          <w:lang w:eastAsia="zh-CN" w:val="en-US"/>
        </w:rPr>
        <w:t xml:space="preserve">                                      2025年2月26日</w:t>
      </w:r>
    </w:p>
    <w:sectPr>
      <w:pgSz w:h="16838" w:w="11906"/>
      <w:pgMar w:bottom="1440" w:footer="992" w:gutter="0" w:header="851" w:left="1800" w:right="1800" w:top="1440"/>
      <w:cols w:num="1" w:space="425"/>
      <w:docGrid w:charSpace="0" w:linePitch="312" w:type="lines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Microsoft YaHei">
    <w:altName w:val="方正黑体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="http://schemas.openxmlformats.org/officeDocument/2006/math" xmlns:mc="http://schemas.openxmlformats.org/markup-compatibility/2006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psCustomData="http://www.wps.cn/officeDocument/2013/wpsCustomData" mc:Ignorable="w14">
  <w:zoom w:percent="12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RhYjRlZDVkMGNhZWM2ZDc0NWIwYmZiZDBhZDllMzMifQ=="/>
  </w:docVars>
  <w:rsids>
    <w:rsidRoot w:val="55F41837"/>
    <w:rsid w:val="017936BE"/>
    <w:rsid w:val="03837C04"/>
    <w:rsid w:val="04D91F1D"/>
    <w:rsid w:val="092A06AF"/>
    <w:rsid w:val="09F05688"/>
    <w:rsid w:val="0B515D1E"/>
    <w:rsid w:val="131C0BED"/>
    <w:rsid w:val="158B01CB"/>
    <w:rsid w:val="22FA2B18"/>
    <w:rsid w:val="2E40573D"/>
    <w:rsid w:val="30E34DF6"/>
    <w:rsid w:val="33E9452B"/>
    <w:rsid w:val="363049C6"/>
    <w:rsid w:val="3CC26280"/>
    <w:rsid w:val="3FFE400B"/>
    <w:rsid w:val="44DB729C"/>
    <w:rsid w:val="45B3633B"/>
    <w:rsid w:val="532B2CFD"/>
    <w:rsid w:val="54556C40"/>
    <w:rsid w:val="55F41837"/>
    <w:rsid w:val="58D86DFA"/>
    <w:rsid w:val="59565693"/>
    <w:rsid w:val="5967186B"/>
    <w:rsid w:val="59F40CA9"/>
    <w:rsid w:val="60AD5AF4"/>
    <w:rsid w:val="627958F7"/>
    <w:rsid w:val="64A65DA8"/>
    <w:rsid w:val="685C455E"/>
    <w:rsid w:val="6FDFC67A"/>
    <w:rsid w:val="7AAF96F2"/>
    <w:rsid w:val="7D503A1D"/>
    <w:rsid w:val="7E14C0AC"/>
    <w:rsid w:val="9FF7A912"/>
    <w:rsid w:val="BFAFC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doNotIncludeSubdocsInStats/>
</w:settings>
</file>

<file path=word/styles.xml><?xml version="1.0" encoding="utf-8"?>
<w:styles xmlns:m="http://schemas.openxmlformats.org/officeDocument/2006/math" xmlns:mc="http://schemas.openxmlformats.org/markup-compatibility/2006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psCustomData="http://www.wps.cn/officeDocument/2013/wpsCustomData" mc:Ignorable="w14">
  <w:docDefaults>
    <w:rPrDefault>
      <w:rPr>
        <w:rFonts w:ascii="Times New Roman" w:cs="Times New Roman" w:eastAsia="宋体" w:hAnsi="Times New Roman"/>
      </w:rPr>
    </w:rPrDefault>
  </w:docDefaults>
  <w:latentStyles w:count="260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0" w:unhideWhenUsed="0"/>
    <w:lsdException w:name="heading 2" w:qFormat="1" w:uiPriority="0"/>
    <w:lsdException w:name="heading 3" w:qFormat="1" w:uiPriority="0"/>
    <w:lsdException w:name="heading 4" w:qFormat="1" w:uiPriority="0"/>
    <w:lsdException w:name="heading 5" w:qFormat="1" w:uiPriority="0"/>
    <w:lsdException w:name="heading 6" w:qFormat="1" w:uiPriority="0"/>
    <w:lsdException w:name="heading 7" w:qFormat="1" w:uiPriority="0"/>
    <w:lsdException w:name="heading 8" w:qFormat="1" w:uiPriority="0"/>
    <w:lsdException w:name="heading 9" w:qFormat="1" w:uiPriority="0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qFormat="1" w:uiPriority="0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qFormat="1" w:semiHidden="0" w:uiPriority="0" w:unhideWhenUsed="0"/>
    <w:lsdException w:name="Closing" w:semiHidden="0" w:uiPriority="0" w:unhideWhenUsed="0"/>
    <w:lsdException w:name="Signature" w:semiHidden="0" w:uiPriority="0" w:unhideWhenUsed="0"/>
    <w:lsdException w:name="Default Paragraph Font" w:qFormat="1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qFormat="1" w:semiHidden="0" w:uiPriority="0" w:unhideWhenUsed="0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qFormat="1" w:semiHidden="0" w:uiPriority="0" w:unhideWhenUsed="0"/>
    <w:lsdException w:name="Emphasis" w:qFormat="1" w:semiHidden="0" w:uiPriority="0" w:unhideWhenUsed="0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qFormat="1" w:uiPriority="0" w:unhideWhenUsed="0"/>
    <w:lsdException w:name="annotation subject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qFormat="1" w:semiHidden="0" w:uiPriority="0" w:unhideWhenUsed="0"/>
    <w:lsdException w:name="Table Theme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default="1" w:styleId="1" w:type="paragraph">
    <w:name w:val="Normal"/>
    <w:qFormat/>
    <w:uiPriority w:val="0"/>
    <w:pPr>
      <w:widowControl w:val="0"/>
      <w:jc w:val="both"/>
    </w:pPr>
    <w:rPr>
      <w:rFonts w:asciiTheme="minorHAnsi" w:cstheme="minorBidi" w:eastAsiaTheme="minorEastAsia" w:hAnsiTheme="minorHAnsi"/>
      <w:kern w:val="2"/>
      <w:sz w:val="21"/>
      <w:szCs w:val="24"/>
      <w:lang w:bidi="ar-SA" w:eastAsia="zh-CN" w:val="en-US"/>
    </w:rPr>
  </w:style>
  <w:style w:default="1" w:styleId="4" w:type="character">
    <w:name w:val="Default Paragraph Font"/>
    <w:semiHidden/>
    <w:qFormat/>
    <w:uiPriority w:val="0"/>
  </w:style>
  <w:style w:default="1" w:styleId="2" w:type="table">
    <w:name w:val="Normal Table"/>
    <w:semiHidden/>
    <w:qFormat/>
    <w:uiPriority w:val="0"/>
    <w:tblPr>
      <w:tblCellMar>
        <w:top w:type="dxa" w:w="0"/>
        <w:left w:type="dxa" w:w="108"/>
        <w:bottom w:type="dxa" w:w="0"/>
        <w:right w:type="dxa" w:w="108"/>
      </w:tblCellMar>
    </w:tblPr>
  </w:style>
  <w:style w:styleId="3" w:type="table">
    <w:name w:val="Table Grid"/>
    <w:basedOn w:val="2"/>
    <w:qFormat/>
    <w:uiPriority w:val="0"/>
    <w:pPr>
      <w:widowControl w:val="0"/>
      <w:jc w:val="both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</w:style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theme/theme1.xml" Type="http://schemas.openxmlformats.org/officeDocument/2006/relationships/theme"/><Relationship Id="rId4" Target="../customXml/item1.xml" Type="http://schemas.openxmlformats.org/officeDocument/2006/relationships/customXml"/><Relationship Id="rId5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329</Words>
  <Characters>469</Characters>
  <Lines>0</Lines>
  <Paragraphs>0</Paragraphs>
  <TotalTime>144</TotalTime>
  <ScaleCrop>false</ScaleCrop>
  <LinksUpToDate>false</LinksUpToDate>
  <CharactersWithSpaces>507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2022-03-22T10:25:00Z</dcterms:created>
  <dc:creator>陈舒虹</dc:creator>
  <cp:lastModifiedBy>qiaoshiyang</cp:lastModifiedBy>
  <dcterms:modified xsi:type="dcterms:W3CDTF">2025-01-09T13:37:46Z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KSOProductBuildVer" pid="2">
    <vt:lpwstr>2052-11.8.2.10505</vt:lpwstr>
  </property>
  <property fmtid="{D5CDD505-2E9C-101B-9397-08002B2CF9AE}" name="ICV" pid="3">
    <vt:lpwstr>8ACB8E617282404D98B5C5058B9C8609</vt:lpwstr>
  </property>
</Properties>
</file>