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Q份额（芙蓉锦程·优选-新客专享）（销售代码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TYGC28D2401Q</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C、D、E、P、Q份额：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1.85%-3.40%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1.90%-3.45%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1.85%-3.40%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1.85%-3.40%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Q份额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1.95%-3.50%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-3.8%左右，同时根据流动性管理需要和监管要求配置不低于5%的高流动性资产。综合来看，扣除相关税费成本后，B、D、P份额业绩比较基准的中枢预计在2.1%左右，C份额业绩比较基准的中枢预计在2.15%左右，E、Q份额业绩比较基准的中枢预计在2.2%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Q</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890713"/>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780F72"/>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3A32A0"/>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5766C8"/>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93063F"/>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3A1699"/>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865277"/>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34840</Words>
  <Characters>36627</Characters>
  <Lines>210</Lines>
  <Paragraphs>59</Paragraphs>
  <TotalTime>2</TotalTime>
  <ScaleCrop>false</ScaleCrop>
  <LinksUpToDate>false</LinksUpToDate>
  <CharactersWithSpaces>36858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2025-02-24T06:48:30Z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