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添益(安享优选)14天持有期理财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添益(安享优选)14天持有期理财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〖Z7002224000023〗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指银行业金融机构或者国务院银行业监督管理机构认可的其他机构，可代为办理理财产品销售业务。</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99添益(安享优选)14天持有期理财合同不可分割组成部分的理财计划销售协议书，以及对该文件的有效修改与补充。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添益(安享优选)14天持有期理财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添益(安享优选)14天持有期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TYGC14D2404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本理财计划在全国银行业理财信息登记系统的登记编码是〖Z7002224000023〗，投资者可依据该编码在“中国理财网（www.chinawealth.com.cn）”查询本理财计划信息。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D</w:t>
            </w:r>
            <w:r>
              <w:rPr>
                <w:rFonts w:hint="eastAsia" w:ascii="宋体" w:hAnsi="宋体" w:cs="宋体"/>
                <w:b w:val="0"/>
                <w:bCs/>
                <w:color w:val="000000"/>
                <w:sz w:val="21"/>
                <w:szCs w:val="21"/>
                <w:highlight w:val="none"/>
                <w:lang w:val="en-US" w:eastAsia="zh-CN"/>
              </w:rPr>
              <w:t>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E份额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特邀投资者</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color w:val="000000"/>
                <w:sz w:val="21"/>
                <w:szCs w:val="21"/>
                <w:highlight w:val="none"/>
                <w:lang w:val="en-US" w:eastAsia="zh-CN"/>
              </w:rPr>
              <w:t>A、B、C、D份额：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E份额：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A份额：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p>
          <w:p>
            <w:pPr>
              <w:widowControl/>
              <w:numPr>
                <w:ilvl w:val="0"/>
                <w:numId w:val="19"/>
              </w:numPr>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C份额：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〖5000〗万</w:t>
            </w:r>
            <w:r>
              <w:rPr>
                <w:rFonts w:hint="eastAsia" w:ascii="宋体" w:hAnsi="宋体" w:cs="宋体"/>
                <w:sz w:val="21"/>
                <w:szCs w:val="21"/>
                <w:highlight w:val="none"/>
              </w:rPr>
              <w:t>元。</w:t>
            </w:r>
          </w:p>
          <w:p>
            <w:pPr>
              <w:widowControl/>
              <w:numPr>
                <w:ilvl w:val="0"/>
                <w:numId w:val="0"/>
              </w:numPr>
              <w:spacing w:line="360" w:lineRule="auto"/>
              <w:contextualSpacing/>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D份额：单日单户赎回上限〖5000〗万元</w:t>
            </w:r>
            <w:r>
              <w:rPr>
                <w:rFonts w:hint="eastAsia" w:ascii="宋体" w:hAnsi="宋体" w:cs="宋体"/>
                <w:sz w:val="21"/>
                <w:szCs w:val="21"/>
                <w:highlight w:val="none"/>
                <w:lang w:eastAsia="zh-CN"/>
              </w:rPr>
              <w:t>。</w:t>
            </w:r>
          </w:p>
          <w:p>
            <w:pPr>
              <w:widowControl/>
              <w:numPr>
                <w:ilvl w:val="0"/>
                <w:numId w:val="0"/>
              </w:numPr>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E份额：单日单户赎回上限</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val="en-US" w:eastAsia="zh-CN"/>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1.80%-3.10%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1.5%-3.9%左右，同时根据流动性管理需要和监管要求配置不低于5%的高流动性资产。综合来看，扣除相关税费成本后，A、B、C、D、E份额业绩比较基准的中枢预计均在2.1%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3"/>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4"/>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浙江网商银行</w:t>
            </w:r>
            <w:r>
              <w:rPr>
                <w:rFonts w:hint="eastAsia" w:ascii="宋体" w:hAnsi="宋体" w:cs="宋体"/>
                <w:bCs/>
                <w:szCs w:val="21"/>
                <w:highlight w:val="none"/>
              </w:rPr>
              <w:t>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w:t>
            </w:r>
            <w:r>
              <w:rPr>
                <w:rFonts w:hint="eastAsia" w:ascii="宋体" w:hAnsi="宋体" w:cs="宋体"/>
                <w:bCs/>
                <w:szCs w:val="21"/>
                <w:highlight w:val="none"/>
                <w:lang w:val="en-US" w:eastAsia="zh-CN"/>
              </w:rPr>
              <w:t>西湖区西溪路556号阿里中心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w:t>
            </w:r>
            <w:r>
              <w:rPr>
                <w:rFonts w:hint="eastAsia" w:ascii="宋体" w:hAnsi="宋体" w:cs="宋体"/>
                <w:bCs/>
                <w:szCs w:val="21"/>
                <w:highlight w:val="none"/>
                <w:lang w:val="en-US" w:eastAsia="zh-CN"/>
              </w:rPr>
              <w:t>18</w:t>
            </w:r>
            <w:r>
              <w:rPr>
                <w:rFonts w:hint="eastAsia" w:ascii="宋体" w:hAnsi="宋体" w:cs="宋体"/>
                <w:bCs/>
                <w:szCs w:val="21"/>
                <w:highlight w:val="none"/>
              </w:rPr>
              <w:t>8</w:t>
            </w:r>
            <w:r>
              <w:rPr>
                <w:rFonts w:hint="eastAsia" w:ascii="宋体" w:hAnsi="宋体" w:cs="宋体"/>
                <w:bCs/>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w:t>
      </w:r>
      <w:r>
        <w:rPr>
          <w:rFonts w:hint="eastAsia" w:ascii="宋体" w:hAnsi="宋体" w:cs="宋体"/>
          <w:bCs/>
          <w:color w:val="000000"/>
          <w:sz w:val="24"/>
          <w:highlight w:val="none"/>
          <w:lang w:eastAsia="zh-CN"/>
        </w:rPr>
        <w:t>产〖</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lang w:eastAsia="zh-CN"/>
        </w:rPr>
        <w:t>年化销售服务费率为〖</w:t>
      </w:r>
      <w:r>
        <w:rPr>
          <w:rFonts w:hint="eastAsia" w:ascii="宋体" w:hAnsi="宋体" w:cs="宋体"/>
          <w:bCs/>
          <w:color w:val="000000"/>
          <w:sz w:val="24"/>
          <w:highlight w:val="none"/>
          <w:lang w:val="en-US" w:eastAsia="zh-CN"/>
        </w:rPr>
        <w:t>0.40%</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lang w:eastAsia="zh-CN"/>
        </w:rPr>
        <w:t>计算方法如</w:t>
      </w:r>
      <w:r>
        <w:rPr>
          <w:rFonts w:hint="eastAsia" w:ascii="宋体" w:hAnsi="宋体" w:cs="宋体"/>
          <w:bCs/>
          <w:color w:val="000000"/>
          <w:sz w:val="24"/>
          <w:highlight w:val="none"/>
        </w:rPr>
        <w:t>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17:00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17:00</w:t>
      </w:r>
      <w:r>
        <w:rPr>
          <w:rFonts w:hint="eastAsia" w:ascii="宋体" w:hAnsi="宋体" w:cs="宋体"/>
          <w:bCs/>
          <w:highlight w:val="none"/>
        </w:rPr>
        <w:t>之后及非交易日提交的申购和赎回申请，申请日为提出申请日的下一交易日。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sz w:val="24"/>
          <w:highlight w:val="none"/>
          <w:lang w:eastAsia="zh-CN"/>
        </w:rPr>
        <w:t>17:00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1"/>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outlineLvl w:val="9"/>
        <w:rPr>
          <w:rFonts w:ascii="宋体" w:hAnsi="宋体" w:cs="宋体"/>
          <w:bCs/>
          <w:color w:val="000000"/>
          <w:sz w:val="24"/>
          <w:highlight w:val="none"/>
        </w:rPr>
      </w:pPr>
      <w:bookmarkStart w:id="0" w:name="_GoBack"/>
    </w:p>
    <w:p>
      <w:pPr>
        <w:spacing w:line="360" w:lineRule="auto"/>
        <w:outlineLvl w:val="9"/>
        <w:rPr>
          <w:rFonts w:ascii="宋体" w:hAnsi="宋体" w:cs="宋体"/>
          <w:bCs/>
          <w:color w:val="000000"/>
          <w:sz w:val="24"/>
          <w:highlight w:val="none"/>
        </w:rPr>
      </w:pPr>
    </w:p>
    <w:p>
      <w:pPr>
        <w:spacing w:line="360" w:lineRule="auto"/>
        <w:outlineLvl w:val="9"/>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bookmarkEnd w:id="0"/>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2DBA2FE2"/>
    <w:multiLevelType w:val="singleLevel"/>
    <w:tmpl w:val="2DBA2FE2"/>
    <w:lvl w:ilvl="0" w:tentative="0">
      <w:start w:val="2"/>
      <w:numFmt w:val="upperLetter"/>
      <w:suff w:val="nothing"/>
      <w:lvlText w:val="%1、"/>
      <w:lvlJc w:val="left"/>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3"/>
  </w:num>
  <w:num w:numId="7">
    <w:abstractNumId w:val="39"/>
  </w:num>
  <w:num w:numId="8">
    <w:abstractNumId w:val="84"/>
  </w:num>
  <w:num w:numId="9">
    <w:abstractNumId w:val="58"/>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48"/>
  </w:num>
  <w:num w:numId="20">
    <w:abstractNumId w:val="11"/>
  </w:num>
  <w:num w:numId="21">
    <w:abstractNumId w:val="9"/>
  </w:num>
  <w:num w:numId="22">
    <w:abstractNumId w:val="40"/>
  </w:num>
  <w:num w:numId="23">
    <w:abstractNumId w:val="7"/>
  </w:num>
  <w:num w:numId="24">
    <w:abstractNumId w:val="2"/>
  </w:num>
  <w:num w:numId="25">
    <w:abstractNumId w:val="54"/>
  </w:num>
  <w:num w:numId="26">
    <w:abstractNumId w:val="35"/>
  </w:num>
  <w:num w:numId="27">
    <w:abstractNumId w:val="60"/>
  </w:num>
  <w:num w:numId="28">
    <w:abstractNumId w:val="22"/>
  </w:num>
  <w:num w:numId="29">
    <w:abstractNumId w:val="46"/>
  </w:num>
  <w:num w:numId="30">
    <w:abstractNumId w:val="26"/>
  </w:num>
  <w:num w:numId="31">
    <w:abstractNumId w:val="8"/>
  </w:num>
  <w:num w:numId="32">
    <w:abstractNumId w:val="57"/>
  </w:num>
  <w:num w:numId="33">
    <w:abstractNumId w:val="6"/>
  </w:num>
  <w:num w:numId="34">
    <w:abstractNumId w:val="38"/>
  </w:num>
  <w:num w:numId="35">
    <w:abstractNumId w:val="44"/>
  </w:num>
  <w:num w:numId="36">
    <w:abstractNumId w:val="82"/>
  </w:num>
  <w:num w:numId="37">
    <w:abstractNumId w:val="37"/>
  </w:num>
  <w:num w:numId="38">
    <w:abstractNumId w:val="25"/>
  </w:num>
  <w:num w:numId="39">
    <w:abstractNumId w:val="49"/>
  </w:num>
  <w:num w:numId="40">
    <w:abstractNumId w:val="0"/>
  </w:num>
  <w:num w:numId="41">
    <w:abstractNumId w:val="28"/>
  </w:num>
  <w:num w:numId="42">
    <w:abstractNumId w:val="52"/>
  </w:num>
  <w:num w:numId="43">
    <w:abstractNumId w:val="4"/>
  </w:num>
  <w:num w:numId="44">
    <w:abstractNumId w:val="29"/>
  </w:num>
  <w:num w:numId="45">
    <w:abstractNumId w:val="19"/>
  </w:num>
  <w:num w:numId="46">
    <w:abstractNumId w:val="56"/>
  </w:num>
  <w:num w:numId="47">
    <w:abstractNumId w:val="42"/>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3"/>
  </w:num>
  <w:num w:numId="60">
    <w:abstractNumId w:val="27"/>
  </w:num>
  <w:num w:numId="61">
    <w:abstractNumId w:val="5"/>
  </w:num>
  <w:num w:numId="62">
    <w:abstractNumId w:val="51"/>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50"/>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6351CB"/>
    <w:rsid w:val="05E05E4D"/>
    <w:rsid w:val="06420CFA"/>
    <w:rsid w:val="06503B59"/>
    <w:rsid w:val="069B3D0C"/>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79000C"/>
    <w:rsid w:val="0D8E51CE"/>
    <w:rsid w:val="0DFD2C7C"/>
    <w:rsid w:val="0E327F04"/>
    <w:rsid w:val="0E4A4B6F"/>
    <w:rsid w:val="0E8F4E79"/>
    <w:rsid w:val="0E9832B7"/>
    <w:rsid w:val="0EF65480"/>
    <w:rsid w:val="0F6C2854"/>
    <w:rsid w:val="0F8A2CEB"/>
    <w:rsid w:val="103E6557"/>
    <w:rsid w:val="10E7087B"/>
    <w:rsid w:val="11A27183"/>
    <w:rsid w:val="11BA058F"/>
    <w:rsid w:val="12081858"/>
    <w:rsid w:val="120E16FE"/>
    <w:rsid w:val="12B62B3B"/>
    <w:rsid w:val="12D90F42"/>
    <w:rsid w:val="13031153"/>
    <w:rsid w:val="13181417"/>
    <w:rsid w:val="1370341C"/>
    <w:rsid w:val="13953152"/>
    <w:rsid w:val="13AE5996"/>
    <w:rsid w:val="13E556CE"/>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DC4E2A"/>
    <w:rsid w:val="1CE35114"/>
    <w:rsid w:val="1D1B5B71"/>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6614FE"/>
    <w:rsid w:val="2FD32A37"/>
    <w:rsid w:val="302C1AF4"/>
    <w:rsid w:val="30551FFC"/>
    <w:rsid w:val="30690F5C"/>
    <w:rsid w:val="30D31961"/>
    <w:rsid w:val="30FD36E3"/>
    <w:rsid w:val="311F702A"/>
    <w:rsid w:val="3177134F"/>
    <w:rsid w:val="31A82883"/>
    <w:rsid w:val="320E3E15"/>
    <w:rsid w:val="32770B1E"/>
    <w:rsid w:val="32821910"/>
    <w:rsid w:val="329743A8"/>
    <w:rsid w:val="32C937E9"/>
    <w:rsid w:val="333B487F"/>
    <w:rsid w:val="33833CD5"/>
    <w:rsid w:val="339502CA"/>
    <w:rsid w:val="342F66F0"/>
    <w:rsid w:val="345B62A5"/>
    <w:rsid w:val="3480359E"/>
    <w:rsid w:val="34BE4ED5"/>
    <w:rsid w:val="34E12B4D"/>
    <w:rsid w:val="353A76E3"/>
    <w:rsid w:val="35476F5E"/>
    <w:rsid w:val="35745B9A"/>
    <w:rsid w:val="35862DD5"/>
    <w:rsid w:val="36631FD8"/>
    <w:rsid w:val="36E72D9B"/>
    <w:rsid w:val="371103D7"/>
    <w:rsid w:val="374829BA"/>
    <w:rsid w:val="37CA172C"/>
    <w:rsid w:val="38224FD0"/>
    <w:rsid w:val="383A22BA"/>
    <w:rsid w:val="385505E4"/>
    <w:rsid w:val="39094FF7"/>
    <w:rsid w:val="39461E8D"/>
    <w:rsid w:val="3A3E2041"/>
    <w:rsid w:val="3B077108"/>
    <w:rsid w:val="3B131EF6"/>
    <w:rsid w:val="3B490D86"/>
    <w:rsid w:val="3B8D6BA5"/>
    <w:rsid w:val="3C2F2290"/>
    <w:rsid w:val="3C635E14"/>
    <w:rsid w:val="3D5B17C7"/>
    <w:rsid w:val="3D6B43DA"/>
    <w:rsid w:val="3EAD1B36"/>
    <w:rsid w:val="3EDB57BA"/>
    <w:rsid w:val="3F056B9E"/>
    <w:rsid w:val="3F354A62"/>
    <w:rsid w:val="406370BC"/>
    <w:rsid w:val="40FB7670"/>
    <w:rsid w:val="41B30AFD"/>
    <w:rsid w:val="423C06E2"/>
    <w:rsid w:val="42815397"/>
    <w:rsid w:val="42C94634"/>
    <w:rsid w:val="4309649B"/>
    <w:rsid w:val="4356095A"/>
    <w:rsid w:val="43CB1014"/>
    <w:rsid w:val="43E76D5F"/>
    <w:rsid w:val="43EE5E80"/>
    <w:rsid w:val="450D2DC0"/>
    <w:rsid w:val="45540446"/>
    <w:rsid w:val="45BB5620"/>
    <w:rsid w:val="45E71A33"/>
    <w:rsid w:val="45F127ED"/>
    <w:rsid w:val="4674141B"/>
    <w:rsid w:val="46CD66A0"/>
    <w:rsid w:val="46F82DED"/>
    <w:rsid w:val="472803B7"/>
    <w:rsid w:val="47850646"/>
    <w:rsid w:val="487D0651"/>
    <w:rsid w:val="488B59A4"/>
    <w:rsid w:val="48962E2C"/>
    <w:rsid w:val="48F83E16"/>
    <w:rsid w:val="494502E1"/>
    <w:rsid w:val="49ED3C35"/>
    <w:rsid w:val="4A405BF6"/>
    <w:rsid w:val="4A7F0ADF"/>
    <w:rsid w:val="4B0D3113"/>
    <w:rsid w:val="4B2F56F4"/>
    <w:rsid w:val="4B554E7B"/>
    <w:rsid w:val="4C29108D"/>
    <w:rsid w:val="4C6B0DDA"/>
    <w:rsid w:val="4C6E1306"/>
    <w:rsid w:val="4C9E21E8"/>
    <w:rsid w:val="4DDA4860"/>
    <w:rsid w:val="4E186164"/>
    <w:rsid w:val="4E2F1033"/>
    <w:rsid w:val="4E654625"/>
    <w:rsid w:val="4E8274B0"/>
    <w:rsid w:val="4EFC1B31"/>
    <w:rsid w:val="4FF363B3"/>
    <w:rsid w:val="50B73634"/>
    <w:rsid w:val="51504FE6"/>
    <w:rsid w:val="52C66301"/>
    <w:rsid w:val="540A7D17"/>
    <w:rsid w:val="54E91D9C"/>
    <w:rsid w:val="5540500D"/>
    <w:rsid w:val="55A92CF5"/>
    <w:rsid w:val="55AE5DA5"/>
    <w:rsid w:val="55E056D8"/>
    <w:rsid w:val="562F08DB"/>
    <w:rsid w:val="56D52E08"/>
    <w:rsid w:val="57252C25"/>
    <w:rsid w:val="57296DBC"/>
    <w:rsid w:val="57B94BA2"/>
    <w:rsid w:val="57BB6218"/>
    <w:rsid w:val="57FF3AAA"/>
    <w:rsid w:val="58DD2EEE"/>
    <w:rsid w:val="58E96C7A"/>
    <w:rsid w:val="59573977"/>
    <w:rsid w:val="59AD3C67"/>
    <w:rsid w:val="59F95365"/>
    <w:rsid w:val="5A2F3A7E"/>
    <w:rsid w:val="5AF7537D"/>
    <w:rsid w:val="5B0D630F"/>
    <w:rsid w:val="5B1367B9"/>
    <w:rsid w:val="5B6B608E"/>
    <w:rsid w:val="5D160516"/>
    <w:rsid w:val="5DA13F4A"/>
    <w:rsid w:val="5DB61BFF"/>
    <w:rsid w:val="5DEF454B"/>
    <w:rsid w:val="5DF26B07"/>
    <w:rsid w:val="5E35342E"/>
    <w:rsid w:val="5E5A6C63"/>
    <w:rsid w:val="5F1116E8"/>
    <w:rsid w:val="5F3C6712"/>
    <w:rsid w:val="5F4B58F3"/>
    <w:rsid w:val="5FCF6136"/>
    <w:rsid w:val="606C7275"/>
    <w:rsid w:val="60A47029"/>
    <w:rsid w:val="60AB2000"/>
    <w:rsid w:val="60AD3AC2"/>
    <w:rsid w:val="61D85325"/>
    <w:rsid w:val="62860AAA"/>
    <w:rsid w:val="62885FA4"/>
    <w:rsid w:val="629D5796"/>
    <w:rsid w:val="630E7FE6"/>
    <w:rsid w:val="64954D64"/>
    <w:rsid w:val="66FF60CC"/>
    <w:rsid w:val="671E2162"/>
    <w:rsid w:val="67BE72F0"/>
    <w:rsid w:val="68D8721E"/>
    <w:rsid w:val="691056DB"/>
    <w:rsid w:val="695A49BA"/>
    <w:rsid w:val="69BF6670"/>
    <w:rsid w:val="6AF535D5"/>
    <w:rsid w:val="6B610D05"/>
    <w:rsid w:val="6BAC21D5"/>
    <w:rsid w:val="6C184007"/>
    <w:rsid w:val="6CED1CB3"/>
    <w:rsid w:val="6D3B42C3"/>
    <w:rsid w:val="6DF71DF2"/>
    <w:rsid w:val="6E0B5972"/>
    <w:rsid w:val="6E51251F"/>
    <w:rsid w:val="6E7E575F"/>
    <w:rsid w:val="6EF15941"/>
    <w:rsid w:val="6EFC3973"/>
    <w:rsid w:val="6F7A415E"/>
    <w:rsid w:val="6F9921A1"/>
    <w:rsid w:val="6FC93EBB"/>
    <w:rsid w:val="727E507A"/>
    <w:rsid w:val="730C5849"/>
    <w:rsid w:val="73266980"/>
    <w:rsid w:val="73396EC2"/>
    <w:rsid w:val="73407EBD"/>
    <w:rsid w:val="73835D66"/>
    <w:rsid w:val="738D1DD9"/>
    <w:rsid w:val="73EF4563"/>
    <w:rsid w:val="74175679"/>
    <w:rsid w:val="744124AA"/>
    <w:rsid w:val="745A6083"/>
    <w:rsid w:val="74664F47"/>
    <w:rsid w:val="74835737"/>
    <w:rsid w:val="75313062"/>
    <w:rsid w:val="75977087"/>
    <w:rsid w:val="759D35B4"/>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34433</Words>
  <Characters>36143</Characters>
  <Lines>210</Lines>
  <Paragraphs>59</Paragraphs>
  <TotalTime>0</TotalTime>
  <ScaleCrop>false</ScaleCrop>
  <LinksUpToDate>false</LinksUpToDate>
  <CharactersWithSpaces>36374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2025-02-24T06:12:46Z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