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b/>
          <w:bCs/>
          <w:highlight w:val="none"/>
        </w:rPr>
      </w:pPr>
    </w:p>
    <w:p>
      <w:pPr>
        <w:bidi w:val="0"/>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杭银理财幸福99</w:t>
      </w:r>
      <w:r>
        <w:rPr>
          <w:rFonts w:hint="eastAsia" w:ascii="宋体" w:hAnsi="宋体" w:cs="宋体"/>
          <w:b/>
          <w:bCs/>
          <w:sz w:val="44"/>
          <w:szCs w:val="44"/>
          <w:highlight w:val="none"/>
          <w:lang w:eastAsia="zh-CN"/>
        </w:rPr>
        <w:t>季添益1910期理财</w:t>
      </w:r>
      <w:r>
        <w:rPr>
          <w:rFonts w:hint="eastAsia" w:ascii="宋体" w:hAnsi="宋体" w:eastAsia="宋体" w:cs="宋体"/>
          <w:b/>
          <w:bCs/>
          <w:sz w:val="44"/>
          <w:szCs w:val="44"/>
          <w:highlight w:val="none"/>
        </w:rPr>
        <w:t>合同</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32"/>
          <w:szCs w:val="32"/>
          <w:highlight w:val="none"/>
        </w:rPr>
      </w:pPr>
      <w:r>
        <w:rPr>
          <w:rFonts w:hint="eastAsia" w:ascii="宋体" w:hAnsi="宋体" w:cs="宋体"/>
          <w:sz w:val="32"/>
          <w:szCs w:val="32"/>
          <w:highlight w:val="none"/>
        </w:rPr>
        <w:t>理财计划管理人：杭银理财有限责任公司</w:t>
      </w:r>
    </w:p>
    <w:p>
      <w:pPr>
        <w:ind w:firstLine="1280" w:firstLineChars="400"/>
        <w:jc w:val="left"/>
        <w:rPr>
          <w:rFonts w:hint="eastAsia"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pStyle w:val="2"/>
        <w:bidi w:val="0"/>
        <w:rPr>
          <w:rFonts w:hint="eastAsia" w:ascii="宋体" w:hAnsi="宋体" w:eastAsia="宋体" w:cs="宋体"/>
          <w:highlight w:val="none"/>
          <w:lang w:val="en-US" w:eastAsia="zh-CN"/>
        </w:rPr>
      </w:pPr>
      <w:r>
        <w:rPr>
          <w:rFonts w:hint="eastAsia" w:ascii="宋体" w:hAnsi="宋体" w:eastAsia="宋体" w:cs="宋体"/>
          <w:highlight w:val="none"/>
        </w:rPr>
        <w:t>杭银理财幸福99</w:t>
      </w:r>
      <w:r>
        <w:rPr>
          <w:rFonts w:hint="eastAsia" w:ascii="宋体" w:hAnsi="宋体" w:cs="宋体"/>
          <w:b/>
          <w:bCs/>
          <w:sz w:val="44"/>
          <w:szCs w:val="44"/>
          <w:highlight w:val="none"/>
          <w:lang w:eastAsia="zh-CN"/>
        </w:rPr>
        <w:t>季添益1910期理财</w:t>
      </w:r>
      <w:r>
        <w:rPr>
          <w:rFonts w:hint="eastAsia" w:ascii="宋体" w:hAnsi="宋体" w:eastAsia="宋体" w:cs="宋体"/>
          <w:highlight w:val="none"/>
          <w:lang w:val="en-US" w:eastAsia="zh-CN"/>
        </w:rPr>
        <w:t>合同文件</w:t>
      </w:r>
    </w:p>
    <w:p>
      <w:pPr>
        <w:jc w:val="both"/>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tbl>
      <w:tblPr>
        <w:tblStyle w:val="12"/>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序号</w:t>
            </w:r>
          </w:p>
        </w:tc>
        <w:tc>
          <w:tcPr>
            <w:tcW w:w="5160"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理财计划合同文件中的文件名称</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杭银理财幸福99季添益1910期理财风险揭示书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杭银理财幸福99季添益1910期理财产品说明书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杭银理财投资者权益须知</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杭银理财理财计划投资协议书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杭银理财理财计划销售协议书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理财计划销售协议书</w:t>
            </w:r>
          </w:p>
        </w:tc>
      </w:tr>
    </w:tbl>
    <w:p>
      <w:pPr>
        <w:jc w:val="center"/>
        <w:rPr>
          <w:rFonts w:hint="eastAsia" w:ascii="宋体" w:hAnsi="宋体" w:cs="宋体"/>
          <w:sz w:val="44"/>
          <w:szCs w:val="44"/>
          <w:highlight w:val="none"/>
          <w:lang w:val="en-US" w:eastAsia="zh-CN"/>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both"/>
        <w:rPr>
          <w:rFonts w:hint="eastAsia" w:ascii="宋体" w:hAnsi="宋体" w:cs="宋体"/>
          <w:sz w:val="32"/>
          <w:szCs w:val="32"/>
          <w:highlight w:val="none"/>
        </w:rPr>
      </w:pPr>
    </w:p>
    <w:p>
      <w:pPr>
        <w:jc w:val="both"/>
        <w:rPr>
          <w:rFonts w:hint="eastAsia" w:ascii="宋体" w:hAnsi="宋体" w:cs="宋体"/>
          <w:sz w:val="32"/>
          <w:szCs w:val="32"/>
          <w:highlight w:val="none"/>
        </w:rPr>
      </w:pPr>
    </w:p>
    <w:p>
      <w:pPr>
        <w:pStyle w:val="2"/>
        <w:bidi w:val="0"/>
        <w:rPr>
          <w:rFonts w:hint="eastAsia"/>
          <w:highlight w:val="none"/>
        </w:rPr>
      </w:pPr>
      <w:r>
        <w:rPr>
          <w:rFonts w:hint="eastAsia" w:ascii="宋体" w:hAnsi="宋体" w:eastAsia="宋体" w:cs="宋体"/>
          <w:b/>
          <w:highlight w:val="none"/>
        </w:rPr>
        <w:t>杭银理财幸福99</w:t>
      </w:r>
      <w:r>
        <w:rPr>
          <w:rFonts w:hint="eastAsia" w:ascii="宋体" w:hAnsi="宋体" w:cs="宋体"/>
          <w:b/>
          <w:highlight w:val="none"/>
          <w:lang w:eastAsia="zh-CN"/>
        </w:rPr>
        <w:t>季添益1910期理财</w:t>
      </w:r>
      <w:r>
        <w:rPr>
          <w:rFonts w:hint="eastAsia" w:ascii="宋体" w:hAnsi="宋体" w:eastAsia="宋体" w:cs="宋体"/>
          <w:b/>
          <w:highlight w:val="none"/>
        </w:rPr>
        <w:t>风险揭示书</w:t>
      </w:r>
    </w:p>
    <w:p>
      <w:pPr>
        <w:jc w:val="center"/>
        <w:rPr>
          <w:rFonts w:hint="eastAsia" w:ascii="宋体" w:hAnsi="宋体" w:cs="宋体"/>
          <w:sz w:val="28"/>
          <w:szCs w:val="28"/>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left"/>
        <w:rPr>
          <w:rFonts w:hint="eastAsia" w:ascii="宋体" w:hAnsi="宋体" w:cs="宋体"/>
          <w:sz w:val="24"/>
          <w:highlight w:val="none"/>
        </w:rPr>
      </w:pPr>
      <w:r>
        <w:rPr>
          <w:rFonts w:hint="eastAsia" w:ascii="宋体" w:hAnsi="宋体" w:cs="宋体"/>
          <w:sz w:val="24"/>
          <w:highlight w:val="none"/>
        </w:rPr>
        <w:t>尊敬的理财投资者：</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hint="eastAsia" w:ascii="宋体" w:hAnsi="宋体" w:cs="宋体"/>
          <w:b/>
          <w:sz w:val="24"/>
          <w:highlight w:val="none"/>
        </w:rPr>
      </w:pPr>
      <w:r>
        <w:rPr>
          <w:rFonts w:hint="eastAsia" w:ascii="宋体" w:hAnsi="宋体" w:cs="宋体"/>
          <w:bCs/>
          <w:sz w:val="24"/>
          <w:highlight w:val="none"/>
        </w:rPr>
        <w:t>根据</w:t>
      </w:r>
      <w:r>
        <w:rPr>
          <w:rFonts w:hint="eastAsia" w:ascii="宋体" w:hAnsi="宋体" w:cs="宋体"/>
          <w:bCs/>
          <w:sz w:val="24"/>
          <w:highlight w:val="none"/>
          <w:lang w:eastAsia="zh-CN"/>
        </w:rPr>
        <w:t>国家金融监督管理总局</w:t>
      </w:r>
      <w:r>
        <w:rPr>
          <w:rFonts w:hint="eastAsia" w:ascii="宋体" w:hAnsi="宋体" w:cs="宋体"/>
          <w:bCs/>
          <w:sz w:val="24"/>
          <w:highlight w:val="none"/>
        </w:rPr>
        <w:t>相关监督规定，杭银理财有限责任公司作为本理财计划的管理人郑重提示：在购买理财计划前，请仔细阅读本理财计划完整合同（包括但不限于</w:t>
      </w:r>
      <w:r>
        <w:rPr>
          <w:rFonts w:hint="eastAsia" w:ascii="宋体" w:hAnsi="宋体" w:cs="宋体"/>
          <w:bCs/>
          <w:sz w:val="24"/>
          <w:highlight w:val="none"/>
          <w:lang w:eastAsia="zh-CN"/>
        </w:rPr>
        <w:t>理财计划</w:t>
      </w:r>
      <w:r>
        <w:rPr>
          <w:rFonts w:hint="eastAsia" w:ascii="宋体" w:hAnsi="宋体" w:cs="宋体"/>
          <w:bCs/>
          <w:sz w:val="24"/>
          <w:highlight w:val="none"/>
        </w:rPr>
        <w:t>风险揭示书、理财计划说明书、投资者权益须知</w:t>
      </w:r>
      <w:r>
        <w:rPr>
          <w:rFonts w:hint="eastAsia" w:ascii="宋体" w:hAnsi="宋体" w:cs="宋体"/>
          <w:bCs/>
          <w:sz w:val="24"/>
          <w:highlight w:val="none"/>
          <w:lang w:eastAsia="zh-CN"/>
        </w:rPr>
        <w:t>、</w:t>
      </w:r>
      <w:r>
        <w:rPr>
          <w:rFonts w:hint="eastAsia" w:ascii="宋体" w:hAnsi="宋体" w:cs="宋体"/>
          <w:bCs/>
          <w:sz w:val="24"/>
          <w:highlight w:val="none"/>
        </w:rPr>
        <w:t>理财计划投资协议书</w:t>
      </w:r>
      <w:r>
        <w:rPr>
          <w:rFonts w:hint="eastAsia" w:ascii="宋体" w:hAnsi="宋体" w:cs="宋体"/>
          <w:bCs/>
          <w:sz w:val="24"/>
          <w:highlight w:val="none"/>
          <w:lang w:eastAsia="zh-CN"/>
        </w:rPr>
        <w:t>和理财计划销售协议书</w:t>
      </w:r>
      <w:r>
        <w:rPr>
          <w:rFonts w:hint="eastAsia" w:ascii="宋体" w:hAnsi="宋体" w:cs="宋体"/>
          <w:bCs/>
          <w:sz w:val="24"/>
          <w:highlight w:val="none"/>
        </w:rPr>
        <w:t>，</w:t>
      </w:r>
      <w:r>
        <w:rPr>
          <w:rFonts w:hint="eastAsia" w:ascii="宋体" w:hAnsi="宋体" w:cs="宋体"/>
          <w:b/>
          <w:bCs w:val="0"/>
          <w:sz w:val="24"/>
          <w:highlight w:val="none"/>
        </w:rPr>
        <w:t>若通过电子渠道购买的，成功交易后视同为投资者与管理人已完成理财计划交易合同的签订</w:t>
      </w:r>
      <w:r>
        <w:rPr>
          <w:rFonts w:hint="eastAsia" w:ascii="宋体" w:hAnsi="宋体" w:cs="宋体"/>
          <w:bCs/>
          <w:sz w:val="24"/>
          <w:highlight w:val="none"/>
        </w:rPr>
        <w:t>），了解理财计划相关具体情况，并确保已评估自身的风险承受能力和理财计划相关风险后，谨慎投资。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pStyle w:val="3"/>
        <w:pageBreakBefore w:val="0"/>
        <w:widowControl w:val="0"/>
        <w:numPr>
          <w:ilvl w:val="0"/>
          <w:numId w:val="1"/>
        </w:numPr>
        <w:kinsoku/>
        <w:wordWrap/>
        <w:overflowPunct/>
        <w:topLinePunct w:val="0"/>
        <w:autoSpaceDE/>
        <w:autoSpaceDN/>
        <w:bidi w:val="0"/>
        <w:adjustRightInd/>
        <w:snapToGrid/>
        <w:spacing w:line="360" w:lineRule="auto"/>
        <w:ind w:left="-2" w:leftChars="0" w:firstLine="482" w:firstLineChars="0"/>
        <w:textAlignment w:val="auto"/>
        <w:rPr>
          <w:rFonts w:hint="eastAsia"/>
          <w:highlight w:val="none"/>
        </w:rPr>
      </w:pPr>
      <w:r>
        <w:rPr>
          <w:rFonts w:hint="eastAsia"/>
          <w:highlight w:val="none"/>
        </w:rPr>
        <w:t>理财计划共性风险</w:t>
      </w:r>
    </w:p>
    <w:p>
      <w:pPr>
        <w:pStyle w:val="4"/>
        <w:numPr>
          <w:ilvl w:val="0"/>
          <w:numId w:val="2"/>
        </w:numPr>
        <w:bidi w:val="0"/>
        <w:ind w:firstLine="482" w:firstLineChars="200"/>
        <w:rPr>
          <w:highlight w:val="none"/>
        </w:rPr>
      </w:pPr>
      <w:r>
        <w:rPr>
          <w:rStyle w:val="20"/>
          <w:rFonts w:hint="eastAsia"/>
          <w:b/>
          <w:highlight w:val="none"/>
        </w:rPr>
        <w:t>信用风险：</w:t>
      </w:r>
      <w:r>
        <w:rPr>
          <w:rFonts w:hint="eastAsia"/>
          <w:highlight w:val="none"/>
        </w:rPr>
        <w:t>理财计划所投资产的相关义务人信用状况恶化，出现信用违约情形，则理财计划本金或收益蒙受部分或全部损失的风险。</w:t>
      </w:r>
    </w:p>
    <w:p>
      <w:pPr>
        <w:pStyle w:val="4"/>
        <w:numPr>
          <w:ilvl w:val="0"/>
          <w:numId w:val="2"/>
        </w:numPr>
        <w:bidi w:val="0"/>
        <w:ind w:firstLine="482" w:firstLineChars="200"/>
        <w:rPr>
          <w:rFonts w:hint="eastAsia"/>
          <w:highlight w:val="none"/>
        </w:rPr>
      </w:pPr>
      <w:r>
        <w:rPr>
          <w:rFonts w:hint="eastAsia"/>
          <w:b/>
          <w:highlight w:val="none"/>
        </w:rPr>
        <w:t>市场风险：</w:t>
      </w:r>
      <w:r>
        <w:rPr>
          <w:rFonts w:hint="eastAsia"/>
          <w:highlight w:val="none"/>
        </w:rPr>
        <w:t>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w:t>
      </w:r>
      <w:r>
        <w:rPr>
          <w:rFonts w:hint="eastAsia" w:ascii="宋体" w:hAnsi="宋体" w:cs="宋体"/>
          <w:b/>
          <w:sz w:val="24"/>
          <w:highlight w:val="none"/>
          <w:lang w:eastAsia="zh-CN"/>
        </w:rPr>
        <w:t>的实际购买力</w:t>
      </w:r>
      <w:r>
        <w:rPr>
          <w:rFonts w:hint="eastAsia" w:ascii="宋体" w:hAnsi="宋体" w:cs="宋体"/>
          <w:b/>
          <w:sz w:val="24"/>
          <w:highlight w:val="none"/>
        </w:rPr>
        <w:t>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pStyle w:val="4"/>
        <w:numPr>
          <w:ilvl w:val="0"/>
          <w:numId w:val="4"/>
        </w:numPr>
        <w:bidi w:val="0"/>
        <w:ind w:firstLine="482" w:firstLineChars="200"/>
        <w:rPr>
          <w:highlight w:val="none"/>
        </w:rPr>
      </w:pPr>
      <w:r>
        <w:rPr>
          <w:rFonts w:hint="eastAsia"/>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pStyle w:val="4"/>
        <w:numPr>
          <w:ilvl w:val="0"/>
          <w:numId w:val="4"/>
        </w:numPr>
        <w:bidi w:val="0"/>
        <w:ind w:firstLine="482" w:firstLineChars="200"/>
        <w:rPr>
          <w:highlight w:val="none"/>
        </w:rPr>
      </w:pPr>
      <w:r>
        <w:rPr>
          <w:rFonts w:hint="eastAsia"/>
          <w:highlight w:val="none"/>
        </w:rPr>
        <w:t>政策风险：理财计划根据当前的相关法规和政策设计，如国家宏观政策以及相关市场法规发生变化，可能会影响理财计划的发行、投资、兑付等正常工作流程的进行，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操作风险：理财计划由于内部作业、人员管理、系统操作、交易对手交易处理不当或失误等，导致理财计划本金或收益蒙受部分或全部损失的风险。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pStyle w:val="4"/>
        <w:numPr>
          <w:ilvl w:val="0"/>
          <w:numId w:val="4"/>
        </w:numPr>
        <w:bidi w:val="0"/>
        <w:ind w:firstLine="482" w:firstLineChars="200"/>
        <w:rPr>
          <w:highlight w:val="none"/>
        </w:rPr>
      </w:pPr>
      <w:r>
        <w:rPr>
          <w:rFonts w:hint="eastAsia"/>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pStyle w:val="4"/>
        <w:numPr>
          <w:ilvl w:val="0"/>
          <w:numId w:val="4"/>
        </w:numPr>
        <w:bidi w:val="0"/>
        <w:ind w:firstLine="482" w:firstLineChars="200"/>
        <w:rPr>
          <w:highlight w:val="none"/>
        </w:rPr>
      </w:pPr>
      <w:r>
        <w:rPr>
          <w:rFonts w:hint="eastAsia"/>
          <w:highlight w:val="none"/>
        </w:rPr>
        <w:t>提前</w:t>
      </w:r>
      <w:r>
        <w:rPr>
          <w:rFonts w:hint="eastAsia" w:ascii="宋体" w:hAnsi="宋体" w:cs="宋体"/>
          <w:b/>
          <w:sz w:val="24"/>
          <w:highlight w:val="none"/>
          <w:lang w:eastAsia="zh-CN"/>
        </w:rPr>
        <w:t>或延期</w:t>
      </w:r>
      <w:r>
        <w:rPr>
          <w:rFonts w:hint="eastAsia" w:ascii="宋体" w:hAnsi="宋体" w:cs="宋体"/>
          <w:b/>
          <w:sz w:val="24"/>
          <w:highlight w:val="none"/>
        </w:rPr>
        <w:t>终止风险：为保护投资者利益，在理财计划存续期间，管理人可根据理财计划说明书约定的情形提前</w:t>
      </w:r>
      <w:r>
        <w:rPr>
          <w:rFonts w:hint="eastAsia" w:ascii="宋体" w:hAnsi="宋体" w:cs="宋体"/>
          <w:b/>
          <w:sz w:val="24"/>
          <w:highlight w:val="none"/>
          <w:lang w:eastAsia="zh-CN"/>
        </w:rPr>
        <w:t>或延期</w:t>
      </w:r>
      <w:r>
        <w:rPr>
          <w:rFonts w:hint="eastAsia" w:ascii="宋体" w:hAnsi="宋体" w:cs="宋体"/>
          <w:b/>
          <w:sz w:val="24"/>
          <w:highlight w:val="none"/>
        </w:rPr>
        <w:t>终止本理财计划。如理财计划被提前</w:t>
      </w:r>
      <w:r>
        <w:rPr>
          <w:rFonts w:hint="eastAsia" w:ascii="宋体" w:hAnsi="宋体" w:cs="宋体"/>
          <w:b/>
          <w:sz w:val="24"/>
          <w:highlight w:val="none"/>
          <w:lang w:eastAsia="zh-CN"/>
        </w:rPr>
        <w:t>或延期</w:t>
      </w:r>
      <w:r>
        <w:rPr>
          <w:rFonts w:hint="eastAsia" w:ascii="宋体" w:hAnsi="宋体" w:cs="宋体"/>
          <w:b/>
          <w:sz w:val="24"/>
          <w:highlight w:val="none"/>
        </w:rPr>
        <w:t>终止，则投资者将面临提前终止再投资</w:t>
      </w:r>
      <w:r>
        <w:rPr>
          <w:rFonts w:hint="eastAsia" w:ascii="宋体" w:hAnsi="宋体" w:cs="宋体"/>
          <w:b/>
          <w:sz w:val="24"/>
          <w:highlight w:val="none"/>
          <w:lang w:eastAsia="zh-CN"/>
        </w:rPr>
        <w:t>或延期兑付</w:t>
      </w:r>
      <w:r>
        <w:rPr>
          <w:rFonts w:hint="eastAsia" w:ascii="宋体" w:hAnsi="宋体" w:cs="宋体"/>
          <w:b/>
          <w:sz w:val="24"/>
          <w:highlight w:val="none"/>
        </w:rPr>
        <w:t>的风险。</w:t>
      </w:r>
    </w:p>
    <w:p>
      <w:pPr>
        <w:numPr>
          <w:ilvl w:val="0"/>
          <w:numId w:val="4"/>
        </w:numPr>
        <w:spacing w:line="360" w:lineRule="auto"/>
        <w:ind w:firstLine="482" w:firstLineChars="200"/>
        <w:jc w:val="left"/>
        <w:outlineLvl w:val="2"/>
        <w:rPr>
          <w:rFonts w:hint="eastAsia" w:ascii="Calibri" w:hAnsi="Calibri" w:eastAsia="宋体" w:cs="黑体"/>
          <w:b/>
          <w:kern w:val="2"/>
          <w:sz w:val="24"/>
          <w:szCs w:val="24"/>
          <w:highlight w:val="none"/>
          <w:lang w:val="en-US" w:eastAsia="zh-CN" w:bidi="ar-SA"/>
        </w:rPr>
      </w:pPr>
      <w:r>
        <w:rPr>
          <w:rStyle w:val="19"/>
          <w:rFonts w:hint="eastAsia"/>
          <w:highlight w:val="none"/>
          <w:lang w:val="en-US" w:eastAsia="zh-CN"/>
        </w:rPr>
        <w:t>信息传递风险：</w:t>
      </w:r>
      <w:r>
        <w:rPr>
          <w:rFonts w:hint="eastAsia"/>
          <w:b/>
          <w:bCs/>
          <w:highlight w:val="none"/>
          <w:lang w:val="en-US" w:eastAsia="zh-CN"/>
        </w:rPr>
        <w:t>由于投资者未能及时主动了解理财计划信息，或由于通信故障、系统故障以及其他不可抗力等因素的影响，使得投资者无法及时了解理财计划信息，而导致投资者无法及时做出合理决策，导致理财计划本金或收益蒙受部分或全部损失的风险。</w:t>
      </w:r>
    </w:p>
    <w:p>
      <w:pPr>
        <w:pStyle w:val="4"/>
        <w:numPr>
          <w:ilvl w:val="0"/>
          <w:numId w:val="4"/>
        </w:numPr>
        <w:bidi w:val="0"/>
        <w:rPr>
          <w:highlight w:val="none"/>
        </w:rPr>
      </w:pPr>
      <w:r>
        <w:rPr>
          <w:rFonts w:hint="eastAsia"/>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w:t>
      </w:r>
      <w:r>
        <w:rPr>
          <w:rFonts w:hint="eastAsia"/>
          <w:highlight w:val="none"/>
          <w:lang w:eastAsia="zh-CN"/>
        </w:rPr>
        <w:t>理</w:t>
      </w:r>
      <w:r>
        <w:rPr>
          <w:rFonts w:hint="eastAsia"/>
          <w:highlight w:val="none"/>
        </w:rPr>
        <w:t>财计划本金或收益蒙受部分或全部损失的风险。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建仓期风险：如理财计划设置建仓期，则在建仓期内理财计划的投资比例可能无法满足约定的投资比例限制，从而影响对理财计划收益产生影响。</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代销风险：本理财计划通过代销渠道销售，投资者认</w:t>
      </w:r>
      <w:r>
        <w:rPr>
          <w:rFonts w:hint="eastAsia" w:ascii="宋体" w:hAnsi="宋体" w:cs="宋体"/>
          <w:b/>
          <w:sz w:val="24"/>
          <w:highlight w:val="none"/>
          <w:lang w:val="en-US" w:eastAsia="zh-CN"/>
        </w:rPr>
        <w:t>/申</w:t>
      </w:r>
      <w:r>
        <w:rPr>
          <w:rFonts w:hint="eastAsia" w:ascii="宋体" w:hAnsi="宋体" w:cs="宋体"/>
          <w:b/>
          <w:sz w:val="24"/>
          <w:highlight w:val="none"/>
        </w:rPr>
        <w:t>购理财计划的资金由销售机构从投资者资金账户扣收；理财计划到期</w:t>
      </w:r>
      <w:r>
        <w:rPr>
          <w:rFonts w:hint="eastAsia" w:ascii="宋体" w:hAnsi="宋体" w:cs="宋体"/>
          <w:b/>
          <w:sz w:val="24"/>
          <w:highlight w:val="none"/>
          <w:lang w:val="en-US" w:eastAsia="zh-CN"/>
        </w:rPr>
        <w:t>/赎回</w:t>
      </w:r>
      <w:r>
        <w:rPr>
          <w:rFonts w:hint="eastAsia" w:ascii="宋体" w:hAnsi="宋体" w:cs="宋体"/>
          <w:b/>
          <w:sz w:val="24"/>
          <w:highlight w:val="none"/>
        </w:rPr>
        <w:t>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ind w:firstLine="482" w:firstLineChars="200"/>
        <w:jc w:val="left"/>
        <w:outlineLvl w:val="2"/>
        <w:rPr>
          <w:rFonts w:ascii="宋体" w:hAnsi="宋体" w:cs="宋体"/>
          <w:b/>
          <w:color w:val="auto"/>
          <w:sz w:val="24"/>
          <w:highlight w:val="none"/>
        </w:rPr>
      </w:pPr>
      <w:r>
        <w:rPr>
          <w:rFonts w:ascii="宋体" w:hAnsi="宋体" w:cs="宋体"/>
          <w:b/>
          <w:sz w:val="24"/>
          <w:highlight w:val="none"/>
        </w:rPr>
        <w:t>关联关系风险：本理财</w:t>
      </w:r>
      <w:r>
        <w:rPr>
          <w:rFonts w:hint="eastAsia" w:ascii="宋体" w:hAnsi="宋体" w:cs="宋体"/>
          <w:b/>
          <w:sz w:val="24"/>
          <w:highlight w:val="none"/>
          <w:lang w:eastAsia="zh-CN"/>
        </w:rPr>
        <w:t>计划</w:t>
      </w:r>
      <w:r>
        <w:rPr>
          <w:rFonts w:ascii="宋体" w:hAnsi="宋体" w:cs="宋体"/>
          <w:b/>
          <w:sz w:val="24"/>
          <w:highlight w:val="none"/>
        </w:rPr>
        <w:t>销售机构</w:t>
      </w:r>
      <w:r>
        <w:rPr>
          <w:rFonts w:hint="eastAsia" w:ascii="宋体" w:hAnsi="宋体" w:cs="宋体"/>
          <w:b/>
          <w:sz w:val="24"/>
          <w:highlight w:val="none"/>
          <w:lang w:eastAsia="zh-CN"/>
        </w:rPr>
        <w:t>之一</w:t>
      </w:r>
      <w:r>
        <w:rPr>
          <w:rFonts w:ascii="宋体" w:hAnsi="宋体" w:cs="宋体"/>
          <w:b/>
          <w:sz w:val="24"/>
          <w:highlight w:val="none"/>
        </w:rPr>
        <w:t>为杭州银行股份有限公司，杭银理财系杭州银行全资子公司，双方存在关联关系。杭州银行作为本理</w:t>
      </w:r>
      <w:r>
        <w:rPr>
          <w:rFonts w:ascii="宋体" w:hAnsi="宋体" w:cs="宋体"/>
          <w:b/>
          <w:color w:val="auto"/>
          <w:sz w:val="24"/>
          <w:highlight w:val="none"/>
        </w:rPr>
        <w:t>财</w:t>
      </w:r>
      <w:r>
        <w:rPr>
          <w:rFonts w:hint="eastAsia" w:ascii="宋体" w:hAnsi="宋体" w:cs="宋体"/>
          <w:b/>
          <w:color w:val="auto"/>
          <w:sz w:val="24"/>
          <w:highlight w:val="none"/>
          <w:lang w:eastAsia="zh-CN"/>
        </w:rPr>
        <w:t>计划</w:t>
      </w:r>
      <w:r>
        <w:rPr>
          <w:rFonts w:ascii="宋体" w:hAnsi="宋体" w:cs="宋体"/>
          <w:b/>
          <w:color w:val="auto"/>
          <w:sz w:val="24"/>
          <w:highlight w:val="none"/>
        </w:rPr>
        <w:t>销售机构将按照法律法规、监管规定，执行不低于代理销售其他机构发行管理的理财产品的准入标准、风险评级、销售管理等要求；杭州银行作为销售机构不保证本</w:t>
      </w:r>
      <w:r>
        <w:rPr>
          <w:rFonts w:hint="eastAsia" w:ascii="宋体" w:hAnsi="宋体" w:cs="宋体"/>
          <w:b/>
          <w:color w:val="auto"/>
          <w:sz w:val="24"/>
          <w:highlight w:val="none"/>
          <w:lang w:eastAsia="zh-CN"/>
        </w:rPr>
        <w:t>理财计划</w:t>
      </w:r>
      <w:r>
        <w:rPr>
          <w:rFonts w:ascii="宋体" w:hAnsi="宋体" w:cs="宋体"/>
          <w:b/>
          <w:color w:val="auto"/>
          <w:sz w:val="24"/>
          <w:highlight w:val="none"/>
        </w:rPr>
        <w:t>收益，不承担</w:t>
      </w:r>
      <w:r>
        <w:rPr>
          <w:rFonts w:hint="eastAsia" w:ascii="宋体" w:hAnsi="宋体" w:cs="宋体"/>
          <w:b/>
          <w:color w:val="auto"/>
          <w:sz w:val="24"/>
          <w:highlight w:val="none"/>
          <w:lang w:eastAsia="zh-CN"/>
        </w:rPr>
        <w:t>理财计划</w:t>
      </w:r>
      <w:r>
        <w:rPr>
          <w:rFonts w:ascii="宋体" w:hAnsi="宋体" w:cs="宋体"/>
          <w:b/>
          <w:color w:val="auto"/>
          <w:sz w:val="24"/>
          <w:highlight w:val="none"/>
        </w:rPr>
        <w:t>的投资、兑付和风险管理责任。</w:t>
      </w:r>
    </w:p>
    <w:p>
      <w:pPr>
        <w:numPr>
          <w:ilvl w:val="0"/>
          <w:numId w:val="1"/>
        </w:numPr>
        <w:spacing w:line="360" w:lineRule="auto"/>
        <w:ind w:left="-2" w:leftChars="0" w:firstLine="482" w:firstLineChars="0"/>
        <w:jc w:val="left"/>
        <w:outlineLvl w:val="1"/>
        <w:rPr>
          <w:rFonts w:ascii="宋体" w:hAnsi="宋体" w:cs="宋体"/>
          <w:b/>
          <w:color w:val="auto"/>
          <w:sz w:val="24"/>
          <w:highlight w:val="none"/>
        </w:rPr>
      </w:pPr>
      <w:r>
        <w:rPr>
          <w:rFonts w:hint="eastAsia" w:ascii="宋体" w:hAnsi="宋体" w:cs="宋体"/>
          <w:b/>
          <w:color w:val="auto"/>
          <w:sz w:val="24"/>
          <w:highlight w:val="none"/>
        </w:rPr>
        <w:t>理财计划特定风险</w:t>
      </w:r>
    </w:p>
    <w:p>
      <w:pPr>
        <w:numPr>
          <w:ilvl w:val="0"/>
          <w:numId w:val="5"/>
        </w:numPr>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资金流动性风险：本理财</w:t>
      </w:r>
      <w:r>
        <w:rPr>
          <w:rFonts w:hint="eastAsia" w:ascii="宋体" w:hAnsi="宋体" w:cs="宋体"/>
          <w:b/>
          <w:color w:val="auto"/>
          <w:sz w:val="24"/>
          <w:highlight w:val="none"/>
          <w:lang w:val="en-US" w:eastAsia="zh-CN"/>
        </w:rPr>
        <w:t>计划</w:t>
      </w:r>
      <w:r>
        <w:rPr>
          <w:rFonts w:hint="eastAsia" w:ascii="宋体" w:hAnsi="宋体" w:cs="宋体"/>
          <w:b/>
          <w:color w:val="auto"/>
          <w:sz w:val="24"/>
          <w:highlight w:val="none"/>
        </w:rPr>
        <w:t>定期开放申购、赎回，非开放期内投资者不得提前交易。</w:t>
      </w:r>
    </w:p>
    <w:p>
      <w:pPr>
        <w:numPr>
          <w:ilvl w:val="0"/>
          <w:numId w:val="5"/>
        </w:numPr>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收益不达业绩比较基准风险：业绩比较基准并非预测收益，不代表产品的未来表现和实际收益；本理财</w:t>
      </w:r>
      <w:r>
        <w:rPr>
          <w:rFonts w:hint="eastAsia" w:ascii="宋体" w:hAnsi="宋体" w:cs="宋体"/>
          <w:b/>
          <w:color w:val="auto"/>
          <w:sz w:val="24"/>
          <w:highlight w:val="none"/>
          <w:lang w:val="en-US" w:eastAsia="zh-CN"/>
        </w:rPr>
        <w:t>计划</w:t>
      </w:r>
      <w:r>
        <w:rPr>
          <w:rFonts w:hint="eastAsia" w:ascii="宋体" w:hAnsi="宋体" w:cs="宋体"/>
          <w:b/>
          <w:color w:val="auto"/>
          <w:sz w:val="24"/>
          <w:highlight w:val="none"/>
        </w:rPr>
        <w:t>的投资收益与投资者的申购、赎回时点密切相关，收益存在一定的波动性，产品本金出现损失的可能性不容忽视。</w:t>
      </w:r>
    </w:p>
    <w:p>
      <w:pPr>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上述理财计划共性与特定风险发生时，投资者的本金及收益可能遭受损失，在最不利情形下，将损失全部本金及收益，由此产生的风险及损失将由投资者自行承担。</w:t>
      </w:r>
    </w:p>
    <w:p>
      <w:pPr>
        <w:numPr>
          <w:ilvl w:val="0"/>
          <w:numId w:val="1"/>
        </w:numPr>
        <w:spacing w:line="360" w:lineRule="auto"/>
        <w:ind w:left="-2" w:leftChars="0" w:firstLine="482" w:firstLineChars="0"/>
        <w:jc w:val="left"/>
        <w:outlineLvl w:val="1"/>
        <w:rPr>
          <w:rFonts w:ascii="宋体" w:hAnsi="宋体" w:cs="宋体"/>
          <w:b/>
          <w:sz w:val="24"/>
          <w:highlight w:val="none"/>
        </w:rPr>
      </w:pPr>
      <w:r>
        <w:rPr>
          <w:rFonts w:hint="eastAsia" w:ascii="宋体" w:hAnsi="宋体" w:cs="宋体"/>
          <w:b/>
          <w:sz w:val="24"/>
          <w:highlight w:val="none"/>
        </w:rPr>
        <w:t>其他信息提示</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根据现有法律法规及金融监管机构对于理财产品的相关分类，投资者还需了解以下信息：</w:t>
      </w:r>
    </w:p>
    <w:p>
      <w:pPr>
        <w:numPr>
          <w:ilvl w:val="0"/>
          <w:numId w:val="6"/>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本理财计划为公募、开放式、〖</w:t>
      </w:r>
      <w:r>
        <w:rPr>
          <w:rFonts w:hint="eastAsia" w:ascii="宋体" w:hAnsi="宋体" w:cs="宋体"/>
          <w:b/>
          <w:sz w:val="24"/>
          <w:highlight w:val="none"/>
          <w:lang w:val="en-US" w:eastAsia="zh-CN"/>
        </w:rPr>
        <w:t>固定收益</w:t>
      </w:r>
      <w:r>
        <w:rPr>
          <w:rFonts w:hint="eastAsia" w:ascii="宋体" w:hAnsi="宋体" w:cs="宋体"/>
          <w:b/>
          <w:sz w:val="24"/>
          <w:highlight w:val="none"/>
        </w:rPr>
        <w:t>类〗净值型理财计划，</w:t>
      </w:r>
      <w:r>
        <w:rPr>
          <w:rFonts w:hint="eastAsia" w:ascii="宋体" w:hAnsi="宋体" w:cs="宋体"/>
          <w:b/>
          <w:sz w:val="24"/>
          <w:highlight w:val="none"/>
        </w:rPr>
        <w:t>〖</w:t>
      </w:r>
      <w:r>
        <w:rPr>
          <w:rFonts w:hint="eastAsia" w:ascii="宋体" w:hAnsi="宋体" w:cs="宋体"/>
          <w:b/>
          <w:sz w:val="24"/>
          <w:highlight w:val="none"/>
          <w:lang w:eastAsia="zh-CN"/>
        </w:rPr>
        <w:t>无固定期限</w:t>
      </w:r>
      <w:r>
        <w:rPr>
          <w:rFonts w:hint="eastAsia" w:ascii="宋体" w:hAnsi="宋体" w:cs="宋体"/>
          <w:b/>
          <w:sz w:val="24"/>
          <w:highlight w:val="none"/>
        </w:rPr>
        <w:t>〗，</w:t>
      </w:r>
      <w:r>
        <w:rPr>
          <w:rFonts w:hint="eastAsia" w:ascii="宋体" w:hAnsi="宋体" w:cs="宋体"/>
          <w:b/>
          <w:sz w:val="24"/>
          <w:highlight w:val="none"/>
        </w:rPr>
        <w:t>不保证本金与收益。根据本公司理财产品内部风险评级，该理财计划风险评级结果为〖R</w:t>
      </w: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val="en-US" w:eastAsia="zh-CN"/>
        </w:rPr>
        <w:t>中低</w:t>
      </w:r>
      <w:r>
        <w:rPr>
          <w:rFonts w:hint="eastAsia" w:ascii="宋体" w:hAnsi="宋体" w:cs="宋体"/>
          <w:b/>
          <w:sz w:val="24"/>
          <w:highlight w:val="none"/>
        </w:rPr>
        <w:t>〗风险</w:t>
      </w:r>
      <w:r>
        <w:rPr>
          <w:rFonts w:hint="eastAsia" w:ascii="宋体" w:hAnsi="宋体" w:cs="宋体"/>
          <w:bCs/>
          <w:sz w:val="24"/>
          <w:highlight w:val="none"/>
        </w:rPr>
        <w:t>（本风险等级为我公司内部风险评级结果，仅供参考</w:t>
      </w:r>
      <w:r>
        <w:rPr>
          <w:rFonts w:hint="eastAsia" w:ascii="宋体" w:hAnsi="宋体" w:cs="宋体"/>
          <w:bCs/>
          <w:sz w:val="24"/>
          <w:highlight w:val="none"/>
          <w:lang w:eastAsia="zh-CN"/>
        </w:rPr>
        <w:t>，</w:t>
      </w:r>
      <w:r>
        <w:rPr>
          <w:rFonts w:hint="eastAsia" w:ascii="宋体" w:hAnsi="宋体" w:cs="宋体"/>
          <w:bCs/>
          <w:sz w:val="24"/>
          <w:highlight w:val="none"/>
          <w:lang w:val="en-US" w:eastAsia="zh-CN"/>
        </w:rPr>
        <w:t>理财计划通过代理销售机构渠道销售的，理财计划产品评级应当以代理销售机构最终披露的评级结果为准</w:t>
      </w:r>
      <w:r>
        <w:rPr>
          <w:rFonts w:hint="eastAsia" w:ascii="宋体" w:hAnsi="宋体" w:cs="宋体"/>
          <w:bCs/>
          <w:sz w:val="24"/>
          <w:highlight w:val="none"/>
        </w:rPr>
        <w:t>），</w:t>
      </w:r>
      <w:r>
        <w:rPr>
          <w:rFonts w:hint="eastAsia" w:ascii="宋体" w:hAnsi="宋体" w:cs="宋体"/>
          <w:b/>
          <w:sz w:val="24"/>
          <w:highlight w:val="none"/>
        </w:rPr>
        <w:t>总体风险〖程度较低，收益波动较小，虽然存在一些可能对产品本金和收益安全产生不利影响的因素，但产品本金出现损失的可能性较小〗。</w:t>
      </w:r>
    </w:p>
    <w:p>
      <w:pPr>
        <w:spacing w:line="360" w:lineRule="auto"/>
        <w:ind w:firstLine="482" w:firstLineChars="200"/>
        <w:jc w:val="left"/>
        <w:rPr>
          <w:rFonts w:hint="eastAsia" w:ascii="宋体" w:hAnsi="宋体" w:cs="宋体"/>
          <w:bCs/>
          <w:sz w:val="24"/>
          <w:highlight w:val="none"/>
        </w:rPr>
      </w:pPr>
      <w:r>
        <w:rPr>
          <w:rFonts w:hint="eastAsia" w:ascii="宋体" w:hAnsi="宋体" w:cs="宋体"/>
          <w:b/>
          <w:sz w:val="24"/>
          <w:highlight w:val="none"/>
        </w:rPr>
        <w:t>本理财计划适合〖机构投资者〗以及〖稳健型、平衡型、成长型、进取型〗的个人投资者</w:t>
      </w:r>
      <w:r>
        <w:rPr>
          <w:rFonts w:hint="eastAsia" w:ascii="宋体" w:hAnsi="宋体" w:cs="宋体"/>
          <w:b/>
          <w:sz w:val="24"/>
          <w:highlight w:val="none"/>
          <w:lang w:eastAsia="zh-CN"/>
        </w:rPr>
        <w:t>，</w:t>
      </w:r>
      <w:r>
        <w:rPr>
          <w:rFonts w:hint="eastAsia" w:ascii="宋体" w:hAnsi="宋体" w:cs="宋体"/>
          <w:b/>
          <w:sz w:val="24"/>
          <w:highlight w:val="none"/>
          <w:lang w:val="en-US" w:eastAsia="zh-CN"/>
        </w:rPr>
        <w:t>个人投资者的风险承受能力评估以销售机构为准</w:t>
      </w:r>
      <w:r>
        <w:rPr>
          <w:rFonts w:hint="eastAsia" w:ascii="宋体" w:hAnsi="宋体" w:cs="宋体"/>
          <w:b/>
          <w:sz w:val="24"/>
          <w:highlight w:val="none"/>
        </w:rPr>
        <w:t>。</w:t>
      </w:r>
      <w:r>
        <w:rPr>
          <w:rFonts w:hint="eastAsia" w:ascii="宋体" w:hAnsi="宋体" w:cs="宋体"/>
          <w:bCs/>
          <w:sz w:val="24"/>
          <w:highlight w:val="none"/>
        </w:rPr>
        <w:t>本理财计划投资者适当性评估由销售机构负责，销售机构应确保个人投资者的风险承受能力不低于本理财计划风险评级。</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上述风险客观存在，敬请投资者予以充分关注！</w:t>
      </w: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特别提示：杭银理财有限责任公司作为本</w:t>
      </w:r>
      <w:r>
        <w:rPr>
          <w:rFonts w:hint="eastAsia" w:ascii="宋体" w:hAnsi="宋体" w:cs="宋体"/>
          <w:bCs/>
          <w:sz w:val="24"/>
          <w:highlight w:val="none"/>
          <w:lang w:eastAsia="zh-CN"/>
        </w:rPr>
        <w:t>理财计划</w:t>
      </w:r>
      <w:r>
        <w:rPr>
          <w:rFonts w:hint="eastAsia" w:ascii="宋体" w:hAnsi="宋体" w:cs="宋体"/>
          <w:bCs/>
          <w:sz w:val="24"/>
          <w:highlight w:val="none"/>
        </w:rPr>
        <w:t>管理人</w:t>
      </w:r>
      <w:r>
        <w:rPr>
          <w:rFonts w:hint="eastAsia" w:ascii="宋体" w:hAnsi="宋体" w:cs="宋体"/>
          <w:bCs/>
          <w:sz w:val="24"/>
          <w:szCs w:val="24"/>
          <w:highlight w:val="none"/>
        </w:rPr>
        <w:t>有权按照</w:t>
      </w:r>
      <w:r>
        <w:rPr>
          <w:rFonts w:hint="eastAsia" w:ascii="宋体" w:hAnsi="宋体" w:cs="宋体"/>
          <w:bCs/>
          <w:sz w:val="24"/>
          <w:highlight w:val="none"/>
        </w:rPr>
        <w:t>国内外反洗钱相关适用的</w:t>
      </w:r>
      <w:r>
        <w:rPr>
          <w:rFonts w:hint="eastAsia" w:ascii="宋体" w:hAnsi="宋体" w:cs="宋体"/>
          <w:bCs/>
          <w:sz w:val="24"/>
          <w:szCs w:val="24"/>
          <w:highlight w:val="none"/>
        </w:rPr>
        <w:t>法律法规和监管要求，从</w:t>
      </w:r>
      <w:r>
        <w:rPr>
          <w:rFonts w:hint="eastAsia" w:ascii="宋体" w:hAnsi="宋体" w:cs="宋体"/>
          <w:bCs/>
          <w:sz w:val="24"/>
          <w:szCs w:val="24"/>
          <w:highlight w:val="none"/>
          <w:lang w:eastAsia="zh-CN"/>
        </w:rPr>
        <w:t>销售机构</w:t>
      </w:r>
      <w:r>
        <w:rPr>
          <w:rFonts w:hint="eastAsia" w:ascii="宋体" w:hAnsi="宋体" w:cs="宋体"/>
          <w:bCs/>
          <w:sz w:val="24"/>
          <w:szCs w:val="24"/>
          <w:highlight w:val="none"/>
        </w:rPr>
        <w:t>获</w:t>
      </w:r>
      <w:r>
        <w:rPr>
          <w:rFonts w:hint="eastAsia" w:ascii="宋体" w:hAnsi="宋体" w:cs="宋体"/>
          <w:bCs/>
          <w:sz w:val="24"/>
          <w:highlight w:val="none"/>
        </w:rPr>
        <w:t>得相应必要的</w:t>
      </w:r>
      <w:r>
        <w:rPr>
          <w:rFonts w:hint="eastAsia" w:ascii="宋体" w:hAnsi="宋体" w:cs="宋体"/>
          <w:bCs/>
          <w:sz w:val="24"/>
          <w:szCs w:val="24"/>
          <w:highlight w:val="none"/>
        </w:rPr>
        <w:t>投资者身份信息并报送投资者身份信息及其持有理财产品信息。</w:t>
      </w:r>
      <w:r>
        <w:rPr>
          <w:rFonts w:hint="eastAsia" w:ascii="宋体" w:hAnsi="宋体" w:cs="宋体"/>
          <w:bCs/>
          <w:sz w:val="24"/>
          <w:szCs w:val="24"/>
          <w:highlight w:val="none"/>
          <w:lang w:eastAsia="zh-CN"/>
        </w:rPr>
        <w:t>销售机构</w:t>
      </w:r>
      <w:r>
        <w:rPr>
          <w:rFonts w:hint="eastAsia" w:ascii="宋体" w:hAnsi="宋体" w:cs="宋体"/>
          <w:bCs/>
          <w:sz w:val="24"/>
          <w:highlight w:val="none"/>
        </w:rPr>
        <w:t>将</w:t>
      </w:r>
      <w:r>
        <w:rPr>
          <w:rFonts w:hint="eastAsia" w:ascii="宋体" w:hAnsi="宋体" w:cs="宋体"/>
          <w:bCs/>
          <w:sz w:val="24"/>
          <w:szCs w:val="24"/>
          <w:highlight w:val="none"/>
        </w:rPr>
        <w:t>在</w:t>
      </w:r>
      <w:r>
        <w:rPr>
          <w:rFonts w:hint="eastAsia" w:ascii="宋体" w:hAnsi="宋体" w:cs="宋体"/>
          <w:bCs/>
          <w:sz w:val="24"/>
          <w:highlight w:val="none"/>
        </w:rPr>
        <w:t>合法、合理且必要时向管理人</w:t>
      </w:r>
      <w:r>
        <w:rPr>
          <w:rFonts w:hint="eastAsia" w:ascii="宋体" w:hAnsi="宋体" w:cs="宋体"/>
          <w:bCs/>
          <w:sz w:val="24"/>
          <w:szCs w:val="24"/>
          <w:highlight w:val="none"/>
        </w:rPr>
        <w:t>提供投资</w:t>
      </w:r>
      <w:r>
        <w:rPr>
          <w:rFonts w:hint="eastAsia" w:ascii="宋体" w:hAnsi="宋体" w:cs="宋体"/>
          <w:bCs/>
          <w:sz w:val="24"/>
          <w:highlight w:val="none"/>
        </w:rPr>
        <w:t>者身份识别</w:t>
      </w:r>
      <w:r>
        <w:rPr>
          <w:rFonts w:hint="eastAsia" w:ascii="宋体" w:hAnsi="宋体" w:cs="宋体"/>
          <w:bCs/>
          <w:sz w:val="24"/>
          <w:szCs w:val="24"/>
          <w:highlight w:val="none"/>
        </w:rPr>
        <w:t>信息（投资者身份</w:t>
      </w:r>
      <w:r>
        <w:rPr>
          <w:rFonts w:hint="eastAsia" w:ascii="宋体" w:hAnsi="宋体" w:cs="宋体"/>
          <w:bCs/>
          <w:sz w:val="24"/>
          <w:highlight w:val="none"/>
        </w:rPr>
        <w:t>识别</w:t>
      </w:r>
      <w:r>
        <w:rPr>
          <w:rFonts w:hint="eastAsia" w:ascii="宋体" w:hAnsi="宋体" w:cs="宋体"/>
          <w:bCs/>
          <w:sz w:val="24"/>
          <w:szCs w:val="24"/>
          <w:highlight w:val="none"/>
        </w:rPr>
        <w:t>信息包括</w:t>
      </w:r>
      <w:r>
        <w:rPr>
          <w:rFonts w:hint="eastAsia" w:ascii="宋体" w:hAnsi="宋体" w:cs="宋体"/>
          <w:bCs/>
          <w:sz w:val="24"/>
          <w:highlight w:val="none"/>
        </w:rPr>
        <w:t>但不限于</w:t>
      </w:r>
      <w:r>
        <w:rPr>
          <w:rFonts w:hint="eastAsia" w:ascii="宋体" w:hAnsi="宋体" w:cs="宋体"/>
          <w:bCs/>
          <w:sz w:val="24"/>
          <w:szCs w:val="24"/>
          <w:highlight w:val="none"/>
        </w:rPr>
        <w:t>：投资者的姓名、性别、国籍、职业、住所地或者工作单位地址、</w:t>
      </w:r>
      <w:r>
        <w:rPr>
          <w:rFonts w:hint="eastAsia" w:ascii="宋体" w:hAnsi="宋体" w:cs="宋体"/>
          <w:bCs/>
          <w:sz w:val="24"/>
          <w:highlight w:val="none"/>
        </w:rPr>
        <w:t>常居地地址、</w:t>
      </w:r>
      <w:r>
        <w:rPr>
          <w:rFonts w:hint="eastAsia" w:ascii="宋体" w:hAnsi="宋体" w:cs="宋体"/>
          <w:bCs/>
          <w:sz w:val="24"/>
          <w:szCs w:val="24"/>
          <w:highlight w:val="none"/>
        </w:rPr>
        <w:t>联系方式、身份证明文件的种类、号码和有效期限</w:t>
      </w:r>
      <w:r>
        <w:rPr>
          <w:rFonts w:hint="eastAsia" w:ascii="宋体" w:hAnsi="宋体" w:cs="宋体"/>
          <w:bCs/>
          <w:sz w:val="24"/>
          <w:highlight w:val="none"/>
        </w:rPr>
        <w:t>、代理人信息、受益所有人信息</w:t>
      </w:r>
      <w:r>
        <w:rPr>
          <w:rFonts w:hint="eastAsia" w:ascii="宋体" w:hAnsi="宋体" w:cs="宋体"/>
          <w:bCs/>
          <w:sz w:val="24"/>
          <w:szCs w:val="24"/>
          <w:highlight w:val="none"/>
        </w:rPr>
        <w:t>），以及</w:t>
      </w:r>
      <w:r>
        <w:rPr>
          <w:rFonts w:hint="eastAsia" w:ascii="宋体" w:hAnsi="宋体" w:cs="宋体"/>
          <w:bCs/>
          <w:sz w:val="24"/>
          <w:highlight w:val="none"/>
        </w:rPr>
        <w:t>在合法、合理且必要时进一步提供</w:t>
      </w:r>
      <w:r>
        <w:rPr>
          <w:rFonts w:hint="eastAsia" w:ascii="宋体" w:hAnsi="宋体" w:cs="宋体"/>
          <w:bCs/>
          <w:sz w:val="24"/>
          <w:szCs w:val="24"/>
          <w:highlight w:val="none"/>
        </w:rPr>
        <w:t>身份证明文件的复印件和影印件</w:t>
      </w:r>
      <w:r>
        <w:rPr>
          <w:rFonts w:hint="eastAsia" w:ascii="宋体" w:hAnsi="宋体" w:cs="宋体"/>
          <w:bCs/>
          <w:sz w:val="24"/>
          <w:highlight w:val="none"/>
        </w:rPr>
        <w:t>以及其他必要信息</w:t>
      </w:r>
      <w:r>
        <w:rPr>
          <w:rFonts w:hint="eastAsia" w:ascii="宋体" w:hAnsi="宋体" w:cs="宋体"/>
          <w:bCs/>
          <w:sz w:val="24"/>
          <w:szCs w:val="24"/>
          <w:highlight w:val="none"/>
        </w:rPr>
        <w:t>。投资者签署</w:t>
      </w:r>
      <w:r>
        <w:rPr>
          <w:rFonts w:hint="eastAsia" w:ascii="宋体" w:hAnsi="宋体" w:cs="宋体"/>
          <w:bCs/>
          <w:sz w:val="24"/>
          <w:highlight w:val="none"/>
        </w:rPr>
        <w:t>后</w:t>
      </w:r>
      <w:r>
        <w:rPr>
          <w:rFonts w:hint="eastAsia" w:ascii="宋体" w:hAnsi="宋体" w:cs="宋体"/>
          <w:bCs/>
          <w:sz w:val="24"/>
          <w:szCs w:val="24"/>
          <w:highlight w:val="none"/>
        </w:rPr>
        <w:t>即表示同意并配合提供前述信</w:t>
      </w:r>
      <w:r>
        <w:rPr>
          <w:rFonts w:hint="eastAsia" w:ascii="宋体" w:hAnsi="宋体" w:cs="宋体"/>
          <w:bCs/>
          <w:sz w:val="24"/>
          <w:highlight w:val="none"/>
        </w:rPr>
        <w:t>息。</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r>
        <w:rPr>
          <w:rFonts w:hint="eastAsia" w:ascii="宋体" w:hAnsi="宋体" w:cs="宋体"/>
          <w:bCs/>
          <w:sz w:val="24"/>
          <w:highlight w:val="none"/>
        </w:rPr>
        <w:t>风险提示方：杭银理财有限责任公司</w:t>
      </w:r>
    </w:p>
    <w:p>
      <w:pPr>
        <w:spacing w:line="360" w:lineRule="auto"/>
        <w:jc w:val="both"/>
        <w:rPr>
          <w:rFonts w:hint="eastAsia" w:ascii="宋体" w:hAnsi="宋体" w:cs="宋体"/>
          <w:bCs/>
          <w:sz w:val="24"/>
          <w:highlight w:val="none"/>
        </w:rPr>
      </w:pPr>
    </w:p>
    <w:p>
      <w:pPr>
        <w:pStyle w:val="18"/>
        <w:spacing w:line="360" w:lineRule="auto"/>
        <w:jc w:val="both"/>
        <w:rPr>
          <w:rFonts w:hint="eastAsia" w:ascii="宋体" w:hAnsi="宋体" w:cs="宋体"/>
          <w:b/>
          <w:color w:val="auto"/>
          <w:highlight w:val="none"/>
        </w:rPr>
      </w:pPr>
    </w:p>
    <w:p>
      <w:pPr>
        <w:pStyle w:val="18"/>
        <w:spacing w:line="360" w:lineRule="auto"/>
        <w:ind w:firstLine="482" w:firstLineChars="200"/>
        <w:jc w:val="center"/>
        <w:outlineLvl w:val="1"/>
        <w:rPr>
          <w:rFonts w:hint="eastAsia" w:ascii="宋体" w:hAnsi="宋体" w:cs="宋体"/>
          <w:b/>
          <w:color w:val="auto"/>
          <w:highlight w:val="none"/>
        </w:rPr>
      </w:pPr>
      <w:r>
        <w:rPr>
          <w:rFonts w:hint="eastAsia" w:ascii="宋体" w:hAnsi="宋体" w:cs="宋体"/>
          <w:b/>
          <w:color w:val="auto"/>
          <w:highlight w:val="none"/>
        </w:rPr>
        <w:t>投资者确认栏（个人投资者填写）</w:t>
      </w:r>
    </w:p>
    <w:p>
      <w:pPr>
        <w:pStyle w:val="18"/>
        <w:spacing w:line="360" w:lineRule="auto"/>
        <w:jc w:val="both"/>
        <w:rPr>
          <w:rFonts w:hint="eastAsia"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8"/>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8"/>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如超过一年未进行</w:t>
      </w:r>
      <w:r>
        <w:rPr>
          <w:rFonts w:hint="eastAsia" w:ascii="宋体" w:hAnsi="宋体" w:cs="宋体"/>
          <w:b w:val="0"/>
          <w:bCs w:val="0"/>
          <w:color w:val="auto"/>
          <w:highlight w:val="none"/>
          <w:u w:val="single"/>
        </w:rPr>
        <w:t>风险</w:t>
      </w:r>
      <w:r>
        <w:rPr>
          <w:rFonts w:hint="eastAsia" w:ascii="宋体" w:hAnsi="宋体" w:cs="宋体"/>
          <w:color w:val="auto"/>
          <w:highlight w:val="none"/>
          <w:u w:val="single"/>
        </w:rPr>
        <w:t>承受能力评估或影响本人风险承受能力的因素发生变化，本人将于再次购买理财</w:t>
      </w:r>
      <w:r>
        <w:rPr>
          <w:rFonts w:hint="eastAsia" w:ascii="宋体" w:hAnsi="宋体" w:cs="宋体"/>
          <w:color w:val="auto"/>
          <w:highlight w:val="none"/>
          <w:u w:val="single"/>
          <w:lang w:eastAsia="zh-CN"/>
        </w:rPr>
        <w:t>计划</w:t>
      </w:r>
      <w:r>
        <w:rPr>
          <w:rFonts w:hint="eastAsia" w:ascii="宋体" w:hAnsi="宋体" w:cs="宋体"/>
          <w:color w:val="auto"/>
          <w:highlight w:val="none"/>
          <w:u w:val="single"/>
        </w:rPr>
        <w:t>时及时完成风险承受能力评估。</w:t>
      </w:r>
    </w:p>
    <w:p>
      <w:pPr>
        <w:pStyle w:val="18"/>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声明：本人已经认真阅读本风险揭示书以及《理财计划产品说明书》《投资者权益须知》《理财计划投资协议书》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，已对其作全面、准确的理解，充分认识到投资本理财计划要求承担的风险，接受本风险揭示书及《理财计划产品说明书》《投资者权益须知》《理财计划投资协议书》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等本</w:t>
      </w:r>
      <w:r>
        <w:rPr>
          <w:rFonts w:hint="eastAsia" w:ascii="宋体" w:hAnsi="宋体" w:cs="宋体"/>
          <w:b/>
          <w:bCs/>
          <w:color w:val="auto"/>
          <w:highlight w:val="none"/>
          <w:u w:val="single"/>
          <w:lang w:eastAsia="zh-CN"/>
        </w:rPr>
        <w:t>理财计划</w:t>
      </w:r>
      <w:r>
        <w:rPr>
          <w:rFonts w:hint="eastAsia" w:ascii="宋体" w:hAnsi="宋体" w:cs="宋体"/>
          <w:b/>
          <w:bCs/>
          <w:color w:val="auto"/>
          <w:highlight w:val="none"/>
          <w:u w:val="single"/>
        </w:rPr>
        <w:t>合同全部内容，自愿且有能力承担投资本理财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的风险。</w:t>
      </w:r>
    </w:p>
    <w:p>
      <w:pPr>
        <w:pStyle w:val="18"/>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本人购买本理财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的资金为合法自有资金，不存在使用借款、贷款等非自有资金的情形；且系为合法目的投资本理财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，而非为洗钱等违法违规之目的，本人将配合管理人或销售机构开展客户身份识别及尽职调查、反恐怖融资以及非居民金融账户尽职调查等，及时、真实、准确提供身份信息及资金来源信息。</w:t>
      </w:r>
    </w:p>
    <w:p>
      <w:pPr>
        <w:pStyle w:val="18"/>
        <w:spacing w:line="360" w:lineRule="auto"/>
        <w:ind w:firstLine="480" w:firstLineChars="200"/>
        <w:jc w:val="both"/>
        <w:rPr>
          <w:rFonts w:hint="eastAsia"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“本人已经阅读上述风险揭示，愿意承担投资风险。”</w:t>
      </w:r>
      <w:r>
        <w:rPr>
          <w:rFonts w:hint="eastAsia" w:ascii="宋体" w:hAnsi="宋体" w:cs="宋体"/>
          <w:b/>
          <w:color w:val="auto"/>
          <w:highlight w:val="none"/>
          <w:lang w:eastAsia="zh-CN"/>
        </w:rPr>
        <w:t>如通过线上渠道购买，认</w:t>
      </w:r>
      <w:r>
        <w:rPr>
          <w:rFonts w:hint="eastAsia" w:ascii="宋体" w:hAnsi="宋体" w:cs="宋体"/>
          <w:b/>
          <w:color w:val="auto"/>
          <w:highlight w:val="none"/>
          <w:lang w:val="en-US" w:eastAsia="zh-CN"/>
        </w:rPr>
        <w:t>/申购交易确认即视为投资者同意自身风险承受能力等级并确认风险揭示内容，愿意承担投资风险，与书面签署具有同等效力。</w:t>
      </w:r>
      <w:r>
        <w:rPr>
          <w:rFonts w:hint="eastAsia" w:ascii="宋体" w:hAnsi="宋体" w:cs="宋体"/>
          <w:b/>
          <w:color w:val="auto"/>
          <w:highlight w:val="none"/>
        </w:rPr>
        <w:t xml:space="preserve">） </w:t>
      </w:r>
    </w:p>
    <w:p>
      <w:pPr>
        <w:pStyle w:val="18"/>
        <w:spacing w:line="360" w:lineRule="auto"/>
        <w:jc w:val="both"/>
        <w:rPr>
          <w:rFonts w:hint="eastAsia" w:ascii="宋体" w:hAnsi="宋体" w:cs="宋体"/>
          <w:color w:val="auto"/>
          <w:highlight w:val="none"/>
          <w:u w:val="single"/>
        </w:rPr>
      </w:pPr>
      <w:r>
        <w:rPr>
          <w:rFonts w:hint="eastAsia" w:ascii="宋体" w:hAnsi="宋体" w:cs="宋体"/>
          <w:color w:val="auto"/>
          <w:highlight w:val="none"/>
        </w:rPr>
        <w:t>本人同时确认如下：</w:t>
      </w:r>
      <w:r>
        <w:rPr>
          <w:rFonts w:hint="eastAsia" w:ascii="宋体" w:hAnsi="宋体" w:cs="宋体"/>
          <w:color w:val="auto"/>
          <w:highlight w:val="none"/>
          <w:u w:val="single"/>
        </w:rPr>
        <w:t xml:space="preserve">                                                          </w:t>
      </w:r>
    </w:p>
    <w:p>
      <w:pPr>
        <w:spacing w:line="360" w:lineRule="auto"/>
        <w:rPr>
          <w:rFonts w:hint="eastAsia" w:ascii="宋体" w:hAnsi="宋体" w:cs="宋体"/>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确认人（签字）：</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outlineLvl w:val="1"/>
        <w:rPr>
          <w:rFonts w:hint="eastAsia" w:ascii="宋体" w:hAnsi="宋体" w:eastAsia="宋体" w:cs="宋体"/>
          <w:b/>
          <w:bCs/>
          <w:color w:val="auto"/>
          <w:highlight w:val="none"/>
          <w:u w:val="none"/>
        </w:rPr>
      </w:pPr>
      <w:r>
        <w:rPr>
          <w:rFonts w:hint="eastAsia" w:ascii="宋体" w:hAnsi="宋体" w:eastAsia="宋体" w:cs="宋体"/>
          <w:b/>
          <w:bCs/>
          <w:color w:val="auto"/>
          <w:highlight w:val="none"/>
          <w:u w:val="none"/>
        </w:rPr>
        <w:t>投资者确认栏（机构投资者）</w:t>
      </w:r>
    </w:p>
    <w:p>
      <w:pPr>
        <w:pStyle w:val="18"/>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none"/>
          <w:lang w:val="en-US" w:eastAsia="zh-CN"/>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eastAsia="宋体" w:cs="宋体"/>
          <w:b/>
          <w:bCs/>
          <w:color w:val="auto"/>
          <w:highlight w:val="none"/>
          <w:u w:val="single"/>
          <w:lang w:val="en-US" w:eastAsia="zh-CN"/>
        </w:rPr>
        <w:t>接受本风险揭示书及《理财计划产品说明书》《投资者权益须知》《理财计划投资协议书》《理财计划销售协议书》等本理财计划合同全部内容，自愿且有能力承担投资本理财计划的风险。</w:t>
      </w:r>
    </w:p>
    <w:p>
      <w:pPr>
        <w:pStyle w:val="18"/>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single"/>
          <w:lang w:val="en-US" w:eastAsia="zh-CN"/>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jc w:val="both"/>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投资者（公章）                          法定代表人或授权代理人（签章）</w:t>
      </w: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日期：</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年</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月</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日</w:t>
      </w:r>
    </w:p>
    <w:p>
      <w:pPr>
        <w:pStyle w:val="18"/>
        <w:spacing w:line="360" w:lineRule="auto"/>
        <w:ind w:firstLine="482" w:firstLineChars="200"/>
        <w:jc w:val="both"/>
        <w:rPr>
          <w:rFonts w:hint="eastAsia" w:ascii="宋体" w:hAnsi="宋体" w:eastAsia="宋体" w:cs="宋体"/>
          <w:b/>
          <w:bCs/>
          <w:color w:val="auto"/>
          <w:highlight w:val="none"/>
          <w:u w:val="none"/>
          <w:lang w:val="en-US" w:eastAsia="zh-CN"/>
        </w:rPr>
      </w:pPr>
    </w:p>
    <w:p>
      <w:pPr>
        <w:pStyle w:val="18"/>
        <w:spacing w:line="360" w:lineRule="auto"/>
        <w:ind w:firstLine="482" w:firstLineChars="200"/>
        <w:jc w:val="both"/>
        <w:rPr>
          <w:rFonts w:hint="eastAsia" w:ascii="宋体" w:hAnsi="宋体" w:eastAsia="宋体" w:cs="宋体"/>
          <w:b/>
          <w:bCs/>
          <w:color w:val="auto"/>
          <w:highlight w:val="none"/>
          <w:u w:val="single"/>
          <w:lang w:val="en-US" w:eastAsia="zh-CN"/>
        </w:rPr>
      </w:pPr>
    </w:p>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br w:type="page"/>
      </w:r>
      <w:r>
        <w:rPr>
          <w:rFonts w:hint="eastAsia" w:ascii="宋体" w:hAnsi="宋体" w:cs="宋体"/>
          <w:b/>
          <w:bCs/>
          <w:sz w:val="44"/>
          <w:szCs w:val="44"/>
          <w:highlight w:val="none"/>
        </w:rPr>
        <w:t>杭银理财幸福99</w:t>
      </w:r>
      <w:r>
        <w:rPr>
          <w:rFonts w:hint="eastAsia" w:ascii="宋体" w:hAnsi="宋体" w:cs="宋体"/>
          <w:b/>
          <w:bCs/>
          <w:sz w:val="44"/>
          <w:szCs w:val="44"/>
          <w:highlight w:val="none"/>
          <w:lang w:eastAsia="zh-CN"/>
        </w:rPr>
        <w:t>季添益1910期理财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〖Z700222100028</w:t>
      </w:r>
      <w:r>
        <w:rPr>
          <w:rFonts w:hint="eastAsia" w:ascii="宋体" w:hAnsi="宋体" w:cs="宋体"/>
          <w:bCs/>
          <w:sz w:val="24"/>
          <w:highlight w:val="none"/>
          <w:lang w:val="en-US" w:eastAsia="zh-CN"/>
        </w:rPr>
        <w:t>1</w:t>
      </w:r>
      <w:r>
        <w:rPr>
          <w:rFonts w:hint="eastAsia" w:ascii="宋体" w:hAnsi="宋体" w:cs="宋体"/>
          <w:bCs/>
          <w:sz w:val="24"/>
          <w:highlight w:val="none"/>
        </w:rPr>
        <w:t>〗</w:t>
      </w:r>
    </w:p>
    <w:p>
      <w:pPr>
        <w:spacing w:line="360" w:lineRule="auto"/>
        <w:jc w:val="center"/>
        <w:rPr>
          <w:rFonts w:hint="eastAsia" w:ascii="宋体" w:hAnsi="宋体" w:cs="宋体"/>
          <w:bCs/>
          <w:sz w:val="24"/>
          <w:highlight w:val="none"/>
        </w:rPr>
      </w:pPr>
    </w:p>
    <w:p>
      <w:pPr>
        <w:numPr>
          <w:ilvl w:val="0"/>
          <w:numId w:val="9"/>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rPr>
        <w:t>《</w:t>
      </w:r>
      <w:r>
        <w:rPr>
          <w:rFonts w:hint="eastAsia" w:ascii="宋体" w:hAnsi="宋体" w:cs="宋体"/>
          <w:bCs/>
          <w:sz w:val="24"/>
          <w:highlight w:val="none"/>
          <w:lang w:eastAsia="zh-CN"/>
        </w:rPr>
        <w:t>理财计划</w:t>
      </w:r>
      <w:r>
        <w:rPr>
          <w:rFonts w:hint="eastAsia" w:ascii="宋体" w:hAnsi="宋体" w:cs="宋体"/>
          <w:bCs/>
          <w:sz w:val="24"/>
          <w:highlight w:val="none"/>
        </w:rPr>
        <w:t>风险揭示书》《投资者权益须知》</w:t>
      </w:r>
      <w:r>
        <w:rPr>
          <w:rFonts w:hint="eastAsia" w:ascii="宋体" w:hAnsi="宋体" w:cs="宋体"/>
          <w:bCs/>
          <w:sz w:val="24"/>
          <w:highlight w:val="none"/>
        </w:rPr>
        <w:t>《理财计划投资协议书》</w:t>
      </w:r>
      <w:r>
        <w:rPr>
          <w:rFonts w:hint="eastAsia" w:ascii="宋体" w:hAnsi="宋体" w:cs="宋体"/>
          <w:bCs/>
          <w:sz w:val="24"/>
          <w:highlight w:val="none"/>
          <w:lang w:eastAsia="zh-CN"/>
        </w:rPr>
        <w:t>《理财计划销售协议书》</w:t>
      </w:r>
      <w:r>
        <w:rPr>
          <w:rFonts w:hint="eastAsia" w:ascii="宋体" w:hAnsi="宋体" w:cs="宋体"/>
          <w:bCs/>
          <w:sz w:val="24"/>
          <w:highlight w:val="none"/>
        </w:rPr>
        <w:t>，将共同构成投资者与管理人之间的理财计划交易合同。</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numPr>
          <w:ilvl w:val="0"/>
          <w:numId w:val="0"/>
        </w:numPr>
        <w:spacing w:line="360" w:lineRule="auto"/>
        <w:jc w:val="left"/>
        <w:rPr>
          <w:rFonts w:hint="eastAsia" w:ascii="宋体" w:hAnsi="宋体" w:cs="宋体"/>
          <w:bCs/>
          <w:sz w:val="24"/>
          <w:highlight w:val="none"/>
        </w:rPr>
      </w:pPr>
    </w:p>
    <w:p>
      <w:pPr>
        <w:numPr>
          <w:ilvl w:val="0"/>
          <w:numId w:val="1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释义</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8"/>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w:t>
      </w:r>
      <w:r>
        <w:rPr>
          <w:rFonts w:hint="eastAsia" w:ascii="宋体" w:hAnsi="宋体" w:cs="宋体"/>
          <w:bCs/>
          <w:color w:val="auto"/>
          <w:kern w:val="2"/>
          <w:highlight w:val="none"/>
          <w:lang w:eastAsia="zh-CN"/>
        </w:rPr>
        <w:t>杭银理财有限责任公司简称杭银理财，官网网站为</w:t>
      </w:r>
      <w:r>
        <w:rPr>
          <w:rFonts w:hint="eastAsia" w:ascii="宋体" w:hAnsi="宋体" w:cs="宋体"/>
          <w:bCs/>
          <w:color w:val="auto"/>
          <w:kern w:val="2"/>
          <w:highlight w:val="none"/>
          <w:u w:val="none"/>
          <w:lang w:val="en-US" w:eastAsia="zh-CN"/>
        </w:rPr>
        <w:t>https://</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w:t>
      </w:r>
      <w:r>
        <w:rPr>
          <w:rFonts w:hint="eastAsia" w:ascii="宋体" w:hAnsi="宋体" w:cs="宋体"/>
          <w:bCs/>
          <w:color w:val="auto"/>
          <w:kern w:val="2"/>
          <w:highlight w:val="none"/>
          <w:u w:val="none"/>
          <w:lang w:val="en-US" w:eastAsia="zh-CN"/>
        </w:rPr>
        <w:t>wealth</w:t>
      </w:r>
      <w:r>
        <w:rPr>
          <w:rFonts w:hint="eastAsia" w:ascii="宋体" w:hAnsi="宋体" w:cs="宋体"/>
          <w:bCs/>
          <w:color w:val="auto"/>
          <w:kern w:val="2"/>
          <w:highlight w:val="none"/>
          <w:u w:val="none"/>
        </w:rPr>
        <w:t>.com.cn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u w:val="none"/>
        </w:rPr>
        <w:t>。</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rPr>
        <w:t>，客服热线为95398。</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sz w:val="24"/>
          <w:szCs w:val="24"/>
          <w:highlight w:val="none"/>
        </w:rPr>
        <w:t>〖</w:t>
      </w:r>
      <w:r>
        <w:rPr>
          <w:rFonts w:hint="eastAsia" w:ascii="宋体" w:hAnsi="宋体" w:cs="宋体"/>
          <w:bCs/>
          <w:color w:val="auto"/>
          <w:kern w:val="2"/>
          <w:highlight w:val="none"/>
        </w:rPr>
        <w:t>杭州银行股份有限公司</w:t>
      </w:r>
      <w:r>
        <w:rPr>
          <w:rFonts w:hint="eastAsia" w:ascii="宋体" w:hAnsi="宋体" w:cs="宋体"/>
          <w:sz w:val="24"/>
          <w:szCs w:val="24"/>
          <w:highlight w:val="none"/>
        </w:rPr>
        <w:t>〗</w:t>
      </w:r>
      <w:r>
        <w:rPr>
          <w:rFonts w:hint="eastAsia" w:ascii="宋体" w:hAnsi="宋体" w:cs="宋体"/>
          <w:bCs/>
          <w:color w:val="auto"/>
          <w:kern w:val="2"/>
          <w:highlight w:val="none"/>
        </w:rPr>
        <w:t>。</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w:t>
      </w:r>
      <w:r>
        <w:rPr>
          <w:rFonts w:hint="eastAsia" w:ascii="宋体" w:hAnsi="宋体" w:cs="宋体"/>
          <w:bCs/>
          <w:color w:val="auto"/>
          <w:kern w:val="2"/>
          <w:highlight w:val="none"/>
          <w:lang w:eastAsia="zh-CN"/>
        </w:rPr>
        <w:t>国家金融监督管理总局</w:t>
      </w:r>
      <w:r>
        <w:rPr>
          <w:rFonts w:hint="eastAsia" w:ascii="宋体" w:hAnsi="宋体" w:cs="宋体"/>
          <w:bCs/>
          <w:color w:val="auto"/>
          <w:kern w:val="2"/>
          <w:highlight w:val="none"/>
        </w:rPr>
        <w:t>、中国证券监督管理委员会、外汇管理局、银行业理财登记托管中心等。</w:t>
      </w:r>
    </w:p>
    <w:p>
      <w:pPr>
        <w:pStyle w:val="18"/>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季添益1910期理财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季添益1910期理财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季添益1910期理财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季添益1910期理财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理财计划销售协议书：</w:t>
      </w:r>
      <w:r>
        <w:rPr>
          <w:rFonts w:hint="eastAsia" w:ascii="宋体" w:hAnsi="宋体" w:cs="宋体"/>
          <w:bCs/>
          <w:color w:val="auto"/>
          <w:kern w:val="2"/>
          <w:highlight w:val="none"/>
          <w:lang w:eastAsia="zh-CN"/>
        </w:rPr>
        <w:t>指作为杭银理财幸福</w:t>
      </w:r>
      <w:r>
        <w:rPr>
          <w:rFonts w:hint="eastAsia" w:ascii="宋体" w:hAnsi="宋体" w:cs="宋体"/>
          <w:bCs/>
          <w:color w:val="auto"/>
          <w:kern w:val="2"/>
          <w:highlight w:val="none"/>
          <w:lang w:val="en-US" w:eastAsia="zh-CN"/>
        </w:rPr>
        <w:t>99</w:t>
      </w:r>
      <w:r>
        <w:rPr>
          <w:rFonts w:hint="eastAsia" w:ascii="宋体" w:hAnsi="宋体" w:cs="宋体"/>
          <w:bCs/>
          <w:highlight w:val="none"/>
          <w:lang w:eastAsia="zh-CN"/>
        </w:rPr>
        <w:t>季添益1910期理财</w:t>
      </w:r>
      <w:r>
        <w:rPr>
          <w:rFonts w:hint="eastAsia" w:ascii="宋体" w:hAnsi="宋体" w:cs="宋体"/>
          <w:bCs/>
          <w:color w:val="auto"/>
          <w:kern w:val="2"/>
          <w:highlight w:val="none"/>
          <w:lang w:val="en-US" w:eastAsia="zh-CN"/>
        </w:rPr>
        <w:t>合同不可分割组成部分的理财计划销售协议书，以及对该文件的有效修改与补充。</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w:t>
      </w:r>
      <w:r>
        <w:rPr>
          <w:rFonts w:hint="eastAsia" w:ascii="宋体" w:hAnsi="宋体" w:cs="宋体"/>
          <w:bCs/>
          <w:color w:val="auto"/>
          <w:kern w:val="2"/>
          <w:highlight w:val="none"/>
        </w:rPr>
        <w:t>《理财计划</w:t>
      </w:r>
      <w:r>
        <w:rPr>
          <w:rFonts w:hint="eastAsia" w:ascii="宋体" w:hAnsi="宋体" w:cs="宋体"/>
          <w:bCs/>
          <w:color w:val="auto"/>
          <w:kern w:val="2"/>
          <w:highlight w:val="none"/>
          <w:lang w:eastAsia="zh-CN"/>
        </w:rPr>
        <w:t>风险揭示书</w:t>
      </w:r>
      <w:r>
        <w:rPr>
          <w:rFonts w:hint="eastAsia" w:ascii="宋体" w:hAnsi="宋体" w:cs="宋体"/>
          <w:bCs/>
          <w:color w:val="auto"/>
          <w:kern w:val="2"/>
          <w:highlight w:val="none"/>
        </w:rPr>
        <w:t>》《</w:t>
      </w:r>
      <w:r>
        <w:rPr>
          <w:rFonts w:hint="eastAsia" w:ascii="宋体" w:hAnsi="宋体" w:cs="宋体"/>
          <w:bCs/>
          <w:color w:val="auto"/>
          <w:kern w:val="2"/>
          <w:highlight w:val="none"/>
          <w:lang w:eastAsia="zh-CN"/>
        </w:rPr>
        <w:t>理财计划产品说明书</w:t>
      </w:r>
      <w:r>
        <w:rPr>
          <w:rFonts w:hint="eastAsia" w:ascii="宋体" w:hAnsi="宋体" w:cs="宋体"/>
          <w:bCs/>
          <w:color w:val="auto"/>
          <w:kern w:val="2"/>
          <w:highlight w:val="none"/>
        </w:rPr>
        <w:t>》《投资者权益须知》《理财计划投资协议书》</w:t>
      </w:r>
      <w:r>
        <w:rPr>
          <w:rFonts w:hint="eastAsia" w:ascii="宋体" w:hAnsi="宋体" w:cs="宋体"/>
          <w:bCs/>
          <w:color w:val="auto"/>
          <w:kern w:val="2"/>
          <w:highlight w:val="none"/>
          <w:lang w:eastAsia="zh-CN"/>
        </w:rPr>
        <w:t>《理财计划</w:t>
      </w:r>
      <w:r>
        <w:rPr>
          <w:rFonts w:hint="eastAsia" w:ascii="宋体" w:hAnsi="宋体" w:cs="宋体"/>
          <w:bCs/>
          <w:color w:val="auto"/>
          <w:kern w:val="2"/>
          <w:highlight w:val="none"/>
          <w:lang w:eastAsia="zh-CN"/>
        </w:rPr>
        <w:t>销售协议书》五</w:t>
      </w:r>
      <w:r>
        <w:rPr>
          <w:rFonts w:hint="eastAsia" w:ascii="宋体" w:hAnsi="宋体" w:cs="宋体"/>
          <w:bCs/>
          <w:color w:val="auto"/>
          <w:kern w:val="2"/>
          <w:highlight w:val="none"/>
        </w:rPr>
        <w:t>个部分。</w:t>
      </w:r>
    </w:p>
    <w:p>
      <w:pPr>
        <w:pStyle w:val="18"/>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季添益1910期理财</w:t>
      </w:r>
      <w:r>
        <w:rPr>
          <w:rFonts w:hint="eastAsia" w:ascii="宋体" w:hAnsi="宋体" w:cs="宋体"/>
          <w:bCs/>
          <w:highlight w:val="none"/>
        </w:rPr>
        <w:t>。</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color w:val="auto"/>
          <w:highlight w:val="none"/>
        </w:rPr>
        <w:t>指理财计划份额的单位净值，即每1份理财计划份额以人民币或外币（以产品说明书交易币种为准）计价的价格。</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8"/>
        <w:numPr>
          <w:ilvl w:val="0"/>
          <w:numId w:val="15"/>
        </w:numPr>
        <w:adjustRightInd/>
        <w:spacing w:line="360" w:lineRule="auto"/>
        <w:ind w:left="-2" w:leftChars="0" w:firstLine="482" w:firstLineChars="0"/>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8"/>
        <w:numPr>
          <w:ilvl w:val="0"/>
          <w:numId w:val="15"/>
        </w:numPr>
        <w:adjustRightInd/>
        <w:spacing w:line="360" w:lineRule="auto"/>
        <w:ind w:left="-2" w:leftChars="0" w:firstLine="482" w:firstLineChars="0"/>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eastAsia="zh-CN"/>
        </w:rPr>
        <w:t>计划</w:t>
      </w:r>
      <w:r>
        <w:rPr>
          <w:rFonts w:hint="eastAsia" w:ascii="宋体" w:hAnsi="宋体" w:cs="宋体"/>
          <w:bCs/>
          <w:color w:val="auto"/>
          <w:kern w:val="2"/>
          <w:highlight w:val="none"/>
        </w:rPr>
        <w:t>成立后，理财计划不接受投资者申购赎回的时间。</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投资周期</w:t>
      </w:r>
      <w:r>
        <w:rPr>
          <w:rFonts w:hint="eastAsia" w:ascii="宋体" w:hAnsi="宋体" w:cs="宋体"/>
          <w:b/>
          <w:color w:val="auto"/>
          <w:kern w:val="2"/>
          <w:highlight w:val="none"/>
          <w:lang w:eastAsia="zh-CN"/>
        </w:rPr>
        <w:t>：</w:t>
      </w:r>
      <w:r>
        <w:rPr>
          <w:rFonts w:hint="eastAsia" w:ascii="宋体" w:hAnsi="宋体" w:cs="宋体"/>
          <w:b w:val="0"/>
          <w:bCs/>
          <w:color w:val="auto"/>
          <w:kern w:val="2"/>
          <w:highlight w:val="none"/>
          <w:lang w:eastAsia="zh-CN"/>
        </w:rPr>
        <w:t>指理财计划成立或申购</w:t>
      </w:r>
      <w:r>
        <w:rPr>
          <w:rFonts w:hint="eastAsia" w:ascii="宋体" w:hAnsi="宋体" w:cs="宋体"/>
          <w:b w:val="0"/>
          <w:bCs/>
          <w:color w:val="auto"/>
          <w:kern w:val="2"/>
          <w:highlight w:val="none"/>
          <w:lang w:val="en-US" w:eastAsia="zh-CN"/>
        </w:rPr>
        <w:t>/赎回</w:t>
      </w:r>
      <w:r>
        <w:rPr>
          <w:rFonts w:hint="eastAsia" w:ascii="宋体" w:hAnsi="宋体" w:cs="宋体"/>
          <w:b w:val="0"/>
          <w:bCs/>
          <w:color w:val="auto"/>
          <w:kern w:val="2"/>
          <w:highlight w:val="none"/>
          <w:lang w:eastAsia="zh-CN"/>
        </w:rPr>
        <w:t>开放期确认后，至下一个申购</w:t>
      </w:r>
      <w:r>
        <w:rPr>
          <w:rFonts w:hint="eastAsia" w:ascii="宋体" w:hAnsi="宋体" w:cs="宋体"/>
          <w:b w:val="0"/>
          <w:bCs/>
          <w:color w:val="auto"/>
          <w:kern w:val="2"/>
          <w:highlight w:val="none"/>
          <w:lang w:val="en-US" w:eastAsia="zh-CN"/>
        </w:rPr>
        <w:t>/赎回开放期确认前的时间。如申购和赎回开放期确认时间不一致，应明确以申购投资周期或赎回投资周期作为理财计划的投资周期。</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开放期：</w:t>
      </w:r>
      <w:r>
        <w:rPr>
          <w:rFonts w:hint="eastAsia" w:ascii="宋体" w:hAnsi="宋体" w:cs="宋体"/>
          <w:bCs/>
          <w:highlight w:val="none"/>
        </w:rPr>
        <w:t>指管理人向投资者提供申购</w:t>
      </w:r>
      <w:r>
        <w:rPr>
          <w:rFonts w:hint="eastAsia" w:ascii="宋体" w:hAnsi="宋体" w:cs="宋体"/>
          <w:bCs/>
          <w:highlight w:val="none"/>
          <w:lang w:eastAsia="zh-CN"/>
        </w:rPr>
        <w:t>、</w:t>
      </w:r>
      <w:r>
        <w:rPr>
          <w:rFonts w:hint="eastAsia" w:ascii="宋体" w:hAnsi="宋体" w:cs="宋体"/>
          <w:bCs/>
          <w:highlight w:val="none"/>
          <w:lang w:val="en-US" w:eastAsia="zh-CN"/>
        </w:rPr>
        <w:t>赎回</w:t>
      </w:r>
      <w:r>
        <w:rPr>
          <w:rFonts w:hint="eastAsia" w:ascii="宋体" w:hAnsi="宋体" w:cs="宋体"/>
          <w:bCs/>
          <w:highlight w:val="none"/>
        </w:rPr>
        <w:t>交易的时间。</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确认日：</w:t>
      </w:r>
      <w:r>
        <w:rPr>
          <w:rFonts w:hint="eastAsia" w:ascii="宋体" w:hAnsi="宋体" w:cs="宋体"/>
          <w:bCs/>
          <w:color w:val="auto"/>
          <w:kern w:val="2"/>
          <w:highlight w:val="none"/>
        </w:rPr>
        <w:t>指管理人确认投资者申购</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赎回</w:t>
      </w:r>
      <w:r>
        <w:rPr>
          <w:rFonts w:hint="eastAsia" w:ascii="宋体" w:hAnsi="宋体" w:cs="宋体"/>
          <w:bCs/>
          <w:color w:val="auto"/>
          <w:kern w:val="2"/>
          <w:highlight w:val="none"/>
        </w:rPr>
        <w:t>交易是否有效的日期。</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赎回</w:t>
      </w:r>
      <w:r>
        <w:rPr>
          <w:rFonts w:hint="eastAsia" w:ascii="宋体" w:hAnsi="宋体" w:cs="宋体"/>
          <w:bCs/>
          <w:color w:val="auto"/>
          <w:kern w:val="2"/>
          <w:highlight w:val="none"/>
        </w:rPr>
        <w:t>开放期内，投资者向管理人进行理财计划份额卖出的行为。</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w:t>
      </w:r>
      <w:r>
        <w:rPr>
          <w:rFonts w:hint="eastAsia" w:ascii="宋体" w:hAnsi="宋体" w:cs="宋体"/>
          <w:bCs/>
          <w:highlight w:val="none"/>
          <w:lang w:eastAsia="zh-CN"/>
        </w:rPr>
        <w:t>销售服务费</w:t>
      </w:r>
      <w:r>
        <w:rPr>
          <w:rFonts w:hint="eastAsia" w:ascii="宋体" w:hAnsi="宋体" w:cs="宋体"/>
          <w:bCs/>
          <w:highlight w:val="none"/>
        </w:rPr>
        <w:t>、托管人收取的托管费、交易费用、执行费用等相关费用，具体以</w:t>
      </w:r>
      <w:r>
        <w:rPr>
          <w:rFonts w:hint="eastAsia" w:ascii="宋体" w:hAnsi="宋体" w:cs="宋体"/>
          <w:bCs/>
          <w:highlight w:val="none"/>
          <w:lang w:eastAsia="zh-CN"/>
        </w:rPr>
        <w:t>实际发生</w:t>
      </w:r>
      <w:r>
        <w:rPr>
          <w:rFonts w:hint="eastAsia" w:ascii="宋体" w:hAnsi="宋体" w:cs="宋体"/>
          <w:bCs/>
          <w:highlight w:val="none"/>
        </w:rPr>
        <w:t>为准。</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bCs w:val="0"/>
          <w:highlight w:val="none"/>
          <w:lang w:eastAsia="zh-CN"/>
        </w:rPr>
        <w:t>其他费用：</w:t>
      </w:r>
      <w:r>
        <w:rPr>
          <w:rFonts w:hint="eastAsia" w:ascii="宋体" w:hAnsi="宋体" w:cs="宋体"/>
          <w:b w:val="0"/>
          <w:bCs/>
          <w:highlight w:val="none"/>
          <w:lang w:eastAsia="zh-CN"/>
        </w:rPr>
        <w:t>指除理财计划费用以外，理财计划涉及的其他相关费用，包括但不限于认购费、申购费、赎回费、投顾费等，具体以</w:t>
      </w:r>
      <w:r>
        <w:rPr>
          <w:rFonts w:hint="eastAsia" w:ascii="宋体" w:hAnsi="宋体" w:cs="宋体"/>
          <w:bCs/>
          <w:highlight w:val="none"/>
        </w:rPr>
        <w:t>本说明书第八条约定</w:t>
      </w:r>
      <w:r>
        <w:rPr>
          <w:rFonts w:hint="eastAsia" w:ascii="宋体" w:hAnsi="宋体" w:cs="宋体"/>
          <w:b w:val="0"/>
          <w:bCs/>
          <w:highlight w:val="none"/>
          <w:lang w:eastAsia="zh-CN"/>
        </w:rPr>
        <w:t>为准。</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流</w:t>
      </w:r>
      <w:r>
        <w:rPr>
          <w:rFonts w:hint="eastAsia"/>
          <w:b/>
          <w:bCs w:val="0"/>
          <w:highlight w:val="none"/>
          <w:lang w:val="en-US" w:eastAsia="zh-CN"/>
        </w:rPr>
        <w:t>动性受限资产：</w:t>
      </w:r>
      <w:r>
        <w:rPr>
          <w:rFonts w:hint="eastAsia"/>
          <w:highlight w:val="none"/>
          <w:lang w:val="en-US" w:eastAsia="zh-CN"/>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b/>
          <w:bCs/>
          <w:highlight w:val="none"/>
          <w:lang w:val="en-US" w:eastAsia="zh-CN"/>
        </w:rPr>
        <w:t>7个工作日可变现资产：</w:t>
      </w:r>
      <w:r>
        <w:rPr>
          <w:rFonts w:hint="eastAsia"/>
          <w:highlight w:val="none"/>
          <w:lang w:val="en-US" w:eastAsia="zh-CN"/>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8"/>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8"/>
        <w:numPr>
          <w:ilvl w:val="0"/>
          <w:numId w:val="16"/>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8"/>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8"/>
        <w:numPr>
          <w:ilvl w:val="0"/>
          <w:numId w:val="1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8"/>
        <w:numPr>
          <w:ilvl w:val="0"/>
          <w:numId w:val="0"/>
        </w:numPr>
        <w:adjustRightInd/>
        <w:spacing w:line="360" w:lineRule="auto"/>
        <w:rPr>
          <w:rFonts w:hint="eastAsia" w:ascii="宋体" w:hAnsi="宋体" w:cs="宋体"/>
          <w:b/>
          <w:color w:val="auto"/>
          <w:kern w:val="2"/>
          <w:highlight w:val="none"/>
        </w:rPr>
      </w:pPr>
    </w:p>
    <w:p>
      <w:pPr>
        <w:pStyle w:val="18"/>
        <w:numPr>
          <w:ilvl w:val="0"/>
          <w:numId w:val="18"/>
        </w:numPr>
        <w:adjustRightInd/>
        <w:spacing w:line="360" w:lineRule="auto"/>
        <w:ind w:firstLine="482" w:firstLineChars="200"/>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w:t>
      </w:r>
      <w:r>
        <w:rPr>
          <w:rFonts w:hint="eastAsia" w:ascii="宋体" w:hAnsi="宋体" w:cs="宋体"/>
          <w:b/>
          <w:color w:val="auto"/>
          <w:kern w:val="2"/>
          <w:highlight w:val="none"/>
          <w:lang w:val="en-US" w:eastAsia="zh-CN"/>
        </w:rPr>
        <w:t>2</w:t>
      </w:r>
      <w:r>
        <w:rPr>
          <w:rFonts w:hint="eastAsia" w:ascii="宋体" w:hAnsi="宋体" w:cs="宋体"/>
          <w:b/>
          <w:color w:val="auto"/>
          <w:kern w:val="2"/>
          <w:highlight w:val="none"/>
        </w:rPr>
        <w:t>〗，〖</w:t>
      </w:r>
      <w:r>
        <w:rPr>
          <w:rFonts w:hint="eastAsia" w:ascii="宋体" w:hAnsi="宋体" w:cs="宋体"/>
          <w:b/>
          <w:color w:val="auto"/>
          <w:kern w:val="2"/>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R1</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低</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保守型、</w:t>
            </w:r>
            <w:r>
              <w:rPr>
                <w:rFonts w:hint="eastAsia" w:ascii="宋体" w:hAnsi="宋体" w:cs="宋体"/>
                <w:bCs/>
                <w:color w:val="auto"/>
                <w:kern w:val="2"/>
                <w:highlight w:val="none"/>
              </w:rPr>
              <w:t>稳健型</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w:t>
            </w:r>
            <w:r>
              <w:rPr>
                <w:rFonts w:hint="eastAsia" w:ascii="宋体" w:hAnsi="宋体" w:cs="宋体"/>
                <w:bCs/>
                <w:color w:val="auto"/>
                <w:kern w:val="2"/>
                <w:highlight w:val="none"/>
              </w:rPr>
              <w:t>型</w:t>
            </w:r>
            <w:r>
              <w:rPr>
                <w:rFonts w:hint="eastAsia" w:ascii="宋体" w:hAnsi="宋体" w:cs="宋体"/>
                <w:bCs/>
                <w:color w:val="auto"/>
                <w:kern w:val="2"/>
                <w:highlight w:val="none"/>
                <w:lang w:eastAsia="zh-CN"/>
              </w:rPr>
              <w:t>、进取</w:t>
            </w:r>
            <w:r>
              <w:rPr>
                <w:rFonts w:hint="eastAsia" w:ascii="宋体" w:hAnsi="宋体" w:cs="宋体"/>
                <w:bCs/>
                <w:color w:val="auto"/>
                <w:kern w:val="2"/>
                <w:highlight w:val="none"/>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R2</w:t>
            </w:r>
          </w:p>
        </w:tc>
        <w:tc>
          <w:tcPr>
            <w:tcW w:w="1382" w:type="dxa"/>
            <w:noWrap w:val="0"/>
            <w:vAlign w:val="top"/>
          </w:tcPr>
          <w:p>
            <w:pPr>
              <w:pStyle w:val="18"/>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中低</w:t>
            </w:r>
          </w:p>
        </w:tc>
        <w:tc>
          <w:tcPr>
            <w:tcW w:w="4755" w:type="dxa"/>
            <w:noWrap w:val="0"/>
            <w:vAlign w:val="top"/>
          </w:tcPr>
          <w:p>
            <w:pPr>
              <w:pStyle w:val="18"/>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R3</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进取型</w:t>
            </w:r>
          </w:p>
        </w:tc>
      </w:tr>
    </w:tbl>
    <w:p>
      <w:pPr>
        <w:pStyle w:val="18"/>
        <w:adjustRightInd/>
        <w:spacing w:line="360" w:lineRule="auto"/>
        <w:ind w:firstLine="480" w:firstLineChars="200"/>
        <w:rPr>
          <w:rFonts w:hint="default" w:ascii="宋体" w:hAnsi="宋体" w:cs="宋体"/>
          <w:bCs/>
          <w:color w:val="auto"/>
          <w:kern w:val="2"/>
          <w:highlight w:val="none"/>
          <w:lang w:val="en-US" w:eastAsia="zh-CN"/>
        </w:rPr>
      </w:pPr>
      <w:r>
        <w:rPr>
          <w:rFonts w:hint="eastAsia" w:ascii="宋体" w:hAnsi="宋体" w:cs="宋体"/>
          <w:bCs/>
          <w:color w:val="auto"/>
          <w:kern w:val="2"/>
          <w:highlight w:val="none"/>
          <w:lang w:eastAsia="zh-CN"/>
        </w:rPr>
        <w:t>投资者风险承受能力评级水平以销售机构评估为准。</w:t>
      </w:r>
    </w:p>
    <w:p>
      <w:pPr>
        <w:pStyle w:val="18"/>
        <w:adjustRightInd/>
        <w:spacing w:line="360" w:lineRule="auto"/>
        <w:rPr>
          <w:rFonts w:hint="eastAsia" w:ascii="宋体" w:hAnsi="宋体" w:cs="宋体"/>
          <w:b/>
          <w:color w:val="auto"/>
          <w:kern w:val="2"/>
          <w:highlight w:val="none"/>
        </w:rPr>
      </w:pPr>
    </w:p>
    <w:p>
      <w:pPr>
        <w:pStyle w:val="18"/>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杭银理财幸福99</w:t>
            </w:r>
            <w:r>
              <w:rPr>
                <w:rFonts w:hint="eastAsia" w:ascii="宋体" w:hAnsi="宋体" w:cs="宋体"/>
                <w:bCs/>
                <w:sz w:val="21"/>
                <w:szCs w:val="21"/>
                <w:highlight w:val="none"/>
                <w:lang w:eastAsia="zh-CN"/>
              </w:rPr>
              <w:t>季添益1910期</w:t>
            </w:r>
            <w:r>
              <w:rPr>
                <w:rFonts w:hint="eastAsia" w:ascii="宋体" w:hAnsi="宋体" w:cs="宋体"/>
                <w:sz w:val="21"/>
                <w:szCs w:val="21"/>
                <w:highlight w:val="none"/>
              </w:rPr>
              <w:t>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产品简称</w:t>
            </w:r>
          </w:p>
        </w:tc>
        <w:tc>
          <w:tcPr>
            <w:tcW w:w="7185" w:type="dxa"/>
            <w:noWrap w:val="0"/>
            <w:vAlign w:val="center"/>
          </w:tcPr>
          <w:p>
            <w:pPr>
              <w:widowControl/>
              <w:spacing w:line="360" w:lineRule="auto"/>
              <w:contextualSpacing/>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季添益1910期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sz w:val="21"/>
                <w:szCs w:val="21"/>
                <w:highlight w:val="none"/>
              </w:rPr>
            </w:pPr>
            <w:r>
              <w:rPr>
                <w:rFonts w:hint="eastAsia" w:ascii="宋体" w:hAnsi="宋体" w:cs="宋体"/>
                <w:sz w:val="21"/>
                <w:szCs w:val="21"/>
                <w:highlight w:val="none"/>
              </w:rPr>
              <w:t>产品编号</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TYG3M1910</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登记编码</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本理财计划在全国银行业理财信息登记系统的原登记编码是〖C1092019000996〗</w:t>
            </w:r>
            <w:r>
              <w:rPr>
                <w:rFonts w:hint="eastAsia" w:ascii="宋体" w:hAnsi="宋体" w:cs="宋体"/>
                <w:color w:val="auto"/>
                <w:kern w:val="0"/>
                <w:highlight w:val="none"/>
              </w:rPr>
              <w:t>，</w:t>
            </w:r>
            <w:r>
              <w:rPr>
                <w:rFonts w:hint="eastAsia" w:ascii="宋体" w:hAnsi="宋体" w:cs="宋体"/>
                <w:color w:val="auto"/>
                <w:sz w:val="21"/>
                <w:szCs w:val="21"/>
                <w:highlight w:val="none"/>
              </w:rPr>
              <w:t>变更登记后为〖Z7002221000281〗，投资者可依据该编码在“中国理财网（www.chinawealth.com.cn）”查询本理财计划信息。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发行对象</w:t>
            </w:r>
          </w:p>
        </w:tc>
        <w:tc>
          <w:tcPr>
            <w:tcW w:w="7185" w:type="dxa"/>
            <w:noWrap w:val="0"/>
            <w:vAlign w:val="center"/>
          </w:tcPr>
          <w:p>
            <w:pPr>
              <w:widowControl/>
              <w:spacing w:line="360" w:lineRule="auto"/>
              <w:contextualSpacing/>
              <w:rPr>
                <w:rFonts w:hint="eastAsia" w:ascii="宋体" w:hAnsi="宋体" w:cs="宋体"/>
                <w:b/>
                <w:color w:val="auto"/>
                <w:sz w:val="21"/>
                <w:szCs w:val="21"/>
                <w:highlight w:val="none"/>
              </w:rPr>
            </w:pPr>
            <w:r>
              <w:rPr>
                <w:rFonts w:hint="eastAsia" w:ascii="宋体" w:hAnsi="宋体" w:cs="宋体"/>
                <w:color w:val="auto"/>
                <w:sz w:val="21"/>
                <w:szCs w:val="21"/>
                <w:highlight w:val="none"/>
              </w:rPr>
              <w:t>本理财计划适合</w:t>
            </w:r>
            <w:r>
              <w:rPr>
                <w:rFonts w:hint="eastAsia" w:ascii="宋体" w:hAnsi="宋体" w:cs="宋体"/>
                <w:b/>
                <w:color w:val="auto"/>
                <w:sz w:val="21"/>
                <w:szCs w:val="21"/>
                <w:highlight w:val="none"/>
              </w:rPr>
              <w:t>〖机构投资者〗以及〖稳健型、平衡型、成长型、进取型〗的个人投资者。</w:t>
            </w:r>
            <w:r>
              <w:rPr>
                <w:rFonts w:hint="eastAsia" w:ascii="宋体" w:hAnsi="宋体" w:cs="宋体"/>
                <w:bCs/>
                <w:color w:val="auto"/>
                <w:kern w:val="2"/>
                <w:sz w:val="21"/>
                <w:szCs w:val="21"/>
                <w:highlight w:val="none"/>
                <w:lang w:eastAsia="zh-CN"/>
              </w:rPr>
              <w:t>投资者风险承受能力评级水平以销售机构评估为准。</w:t>
            </w:r>
          </w:p>
          <w:p>
            <w:pPr>
              <w:widowControl/>
              <w:spacing w:line="360" w:lineRule="auto"/>
              <w:contextualSpacing/>
              <w:rPr>
                <w:rFonts w:hint="eastAsia" w:ascii="宋体" w:hAnsi="宋体" w:cs="宋体"/>
                <w:b w:val="0"/>
                <w:bCs/>
                <w:color w:val="auto"/>
                <w:sz w:val="21"/>
                <w:szCs w:val="21"/>
                <w:highlight w:val="none"/>
                <w:lang w:eastAsia="zh-CN"/>
              </w:rPr>
            </w:pPr>
            <w:r>
              <w:rPr>
                <w:rFonts w:hint="eastAsia" w:ascii="宋体" w:hAnsi="宋体" w:cs="宋体"/>
                <w:b w:val="0"/>
                <w:bCs/>
                <w:color w:val="auto"/>
                <w:sz w:val="21"/>
                <w:szCs w:val="21"/>
                <w:highlight w:val="none"/>
                <w:lang w:eastAsia="zh-CN"/>
              </w:rPr>
              <w:t>其中：</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b w:val="0"/>
                <w:bCs/>
                <w:color w:val="auto"/>
                <w:sz w:val="21"/>
                <w:szCs w:val="21"/>
                <w:highlight w:val="none"/>
                <w:lang w:val="en-US" w:eastAsia="zh-CN"/>
              </w:rPr>
              <w:t>A份额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TYG3M1910</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〖普通个人投资者和机构客户〗发售</w:t>
            </w:r>
            <w:r>
              <w:rPr>
                <w:rFonts w:hint="eastAsia" w:ascii="宋体" w:hAnsi="宋体" w:cs="宋体"/>
                <w:color w:val="auto"/>
                <w:sz w:val="21"/>
                <w:szCs w:val="21"/>
                <w:highlight w:val="none"/>
                <w:lang w:eastAsia="zh-CN"/>
              </w:rPr>
              <w:t>。</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B份额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TYG3M1910B</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〖高净值等特邀客户专属〗发售</w:t>
            </w:r>
            <w:r>
              <w:rPr>
                <w:rFonts w:hint="eastAsia" w:ascii="宋体" w:hAnsi="宋体" w:cs="宋体"/>
                <w:color w:val="auto"/>
                <w:sz w:val="21"/>
                <w:szCs w:val="21"/>
                <w:highlight w:val="none"/>
                <w:lang w:eastAsia="zh-CN"/>
              </w:rPr>
              <w:t>。</w:t>
            </w:r>
          </w:p>
          <w:p>
            <w:pPr>
              <w:widowControl/>
              <w:spacing w:line="360" w:lineRule="auto"/>
              <w:contextualSpacing/>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C份额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TYG3M1910C</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〖特定客群专属〗发售</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发行方式</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产品类型</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固定收益类</w:t>
            </w:r>
            <w:r>
              <w:rPr>
                <w:rFonts w:hint="eastAsia" w:ascii="宋体" w:hAnsi="宋体" w:cs="宋体"/>
                <w:color w:val="auto"/>
                <w:sz w:val="21"/>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运作模式</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分级产品</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否</w:t>
            </w:r>
            <w:r>
              <w:rPr>
                <w:rFonts w:hint="eastAsia" w:ascii="宋体" w:hAnsi="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销售范围</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销售渠道</w:t>
            </w:r>
          </w:p>
        </w:tc>
        <w:tc>
          <w:tcPr>
            <w:tcW w:w="7185" w:type="dxa"/>
            <w:noWrap w:val="0"/>
            <w:vAlign w:val="center"/>
          </w:tcPr>
          <w:p>
            <w:pPr>
              <w:widowControl/>
              <w:spacing w:line="360" w:lineRule="auto"/>
              <w:contextualSpacing/>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可通过</w:t>
            </w:r>
            <w:r>
              <w:rPr>
                <w:rFonts w:hint="eastAsia" w:ascii="宋体" w:hAnsi="宋体" w:cs="宋体"/>
                <w:color w:val="auto"/>
                <w:sz w:val="21"/>
                <w:szCs w:val="21"/>
                <w:highlight w:val="none"/>
                <w:lang w:eastAsia="zh-CN"/>
              </w:rPr>
              <w:t>杭银理财直销渠道和代理</w:t>
            </w:r>
            <w:r>
              <w:rPr>
                <w:rFonts w:hint="eastAsia" w:ascii="宋体" w:hAnsi="宋体" w:cs="宋体"/>
                <w:color w:val="auto"/>
                <w:sz w:val="21"/>
                <w:szCs w:val="21"/>
                <w:highlight w:val="none"/>
              </w:rPr>
              <w:t>销售机构的〖营业网点、网上银行、手机银行〗等渠道购买</w:t>
            </w:r>
            <w:r>
              <w:rPr>
                <w:rFonts w:hint="eastAsia" w:ascii="宋体" w:hAnsi="宋体" w:cs="宋体"/>
                <w:color w:val="auto"/>
                <w:sz w:val="21"/>
                <w:szCs w:val="21"/>
                <w:highlight w:val="none"/>
                <w:lang w:eastAsia="zh-CN"/>
              </w:rPr>
              <w:t>，通过</w:t>
            </w:r>
            <w:r>
              <w:rPr>
                <w:rFonts w:hint="eastAsia" w:ascii="宋体" w:hAnsi="宋体" w:cs="宋体"/>
                <w:color w:val="auto"/>
                <w:sz w:val="21"/>
                <w:szCs w:val="21"/>
                <w:highlight w:val="none"/>
                <w:lang w:val="en-US" w:eastAsia="zh-CN"/>
              </w:rPr>
              <w:t>代理销售机构购买的，具体销售渠道以代理销售机构披露为准</w:t>
            </w:r>
            <w:r>
              <w:rPr>
                <w:rFonts w:hint="eastAsia" w:ascii="宋体" w:hAnsi="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交易币种</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发行规模上限</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100</w:t>
            </w:r>
            <w:r>
              <w:rPr>
                <w:rFonts w:hint="eastAsia" w:ascii="宋体" w:hAnsi="宋体" w:cs="宋体"/>
                <w:color w:val="auto"/>
                <w:sz w:val="21"/>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〖2019〗年〖</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〗月〖</w:t>
            </w:r>
            <w:r>
              <w:rPr>
                <w:rFonts w:hint="eastAsia" w:ascii="宋体" w:hAnsi="宋体" w:cs="宋体"/>
                <w:color w:val="auto"/>
                <w:kern w:val="2"/>
                <w:sz w:val="21"/>
                <w:szCs w:val="21"/>
                <w:highlight w:val="none"/>
                <w:lang w:val="en-US" w:eastAsia="zh-CN"/>
              </w:rPr>
              <w:t>24</w:t>
            </w:r>
            <w:r>
              <w:rPr>
                <w:rFonts w:hint="eastAsia" w:ascii="宋体" w:hAnsi="宋体" w:cs="宋体"/>
                <w:color w:val="auto"/>
                <w:sz w:val="21"/>
                <w:szCs w:val="21"/>
                <w:highlight w:val="none"/>
              </w:rPr>
              <w:t>〗日-〖2019〗年〖</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30</w:t>
            </w:r>
            <w:r>
              <w:rPr>
                <w:rFonts w:hint="eastAsia" w:ascii="宋体" w:hAnsi="宋体" w:cs="宋体"/>
                <w:color w:val="auto"/>
                <w:sz w:val="21"/>
                <w:szCs w:val="21"/>
                <w:highlight w:val="none"/>
              </w:rPr>
              <w:t>〗日</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认购时间</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认购期首日〖9：00〗至认购结束日〖17：00〗</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成立日</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2019</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31</w:t>
            </w:r>
            <w:r>
              <w:rPr>
                <w:rFonts w:hint="eastAsia" w:ascii="宋体" w:hAnsi="宋体" w:cs="宋体"/>
                <w:color w:val="auto"/>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理财期限</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无固定期限（实际理财期限受制于管理人提前终止权等条款）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认购/申购</w:t>
            </w:r>
          </w:p>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起点金额</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r>
              <w:rPr>
                <w:rFonts w:hint="eastAsia" w:ascii="宋体" w:hAnsi="宋体" w:cs="宋体"/>
                <w:color w:val="auto"/>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20万</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p>
          <w:p>
            <w:pPr>
              <w:widowControl/>
              <w:spacing w:line="360" w:lineRule="auto"/>
              <w:contextualSpacing/>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kern w:val="0"/>
                <w:sz w:val="21"/>
                <w:szCs w:val="21"/>
                <w:highlight w:val="none"/>
                <w:lang w:val="en-US" w:eastAsia="zh-CN"/>
              </w:rPr>
            </w:pPr>
            <w:r>
              <w:rPr>
                <w:rFonts w:hint="eastAsia" w:ascii="宋体" w:hAnsi="宋体" w:cs="宋体"/>
                <w:color w:val="auto"/>
                <w:kern w:val="2"/>
                <w:sz w:val="21"/>
                <w:szCs w:val="21"/>
                <w:highlight w:val="none"/>
              </w:rPr>
              <w:t>投资者全额赎回不再持有本产品份额后再次申购，视同首次申购处理。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认购份额</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产品成立</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color w:val="auto"/>
                <w:sz w:val="21"/>
                <w:szCs w:val="21"/>
                <w:highlight w:val="none"/>
                <w:lang w:val="en-US" w:eastAsia="zh-CN"/>
              </w:rPr>
              <w:t>2000</w:t>
            </w:r>
            <w:r>
              <w:rPr>
                <w:rFonts w:hint="eastAsia" w:ascii="宋体" w:hAnsi="宋体" w:cs="宋体"/>
                <w:color w:val="auto"/>
                <w:sz w:val="21"/>
                <w:szCs w:val="21"/>
                <w:highlight w:val="none"/>
              </w:rPr>
              <w:t>〗万元，则管理人可宣布本理财计划不成立并在原定理财计划成立日</w:t>
            </w:r>
            <w:r>
              <w:rPr>
                <w:rFonts w:hint="eastAsia" w:ascii="宋体" w:hAnsi="宋体" w:cs="宋体"/>
                <w:color w:val="auto"/>
                <w:sz w:val="21"/>
                <w:szCs w:val="21"/>
                <w:highlight w:val="none"/>
                <w:lang w:val="en-US" w:eastAsia="zh-CN"/>
              </w:rPr>
              <w:t>当日</w:t>
            </w:r>
            <w:r>
              <w:rPr>
                <w:rFonts w:hint="eastAsia" w:ascii="宋体" w:hAnsi="宋体" w:cs="宋体"/>
                <w:color w:val="auto"/>
                <w:sz w:val="21"/>
                <w:szCs w:val="21"/>
                <w:highlight w:val="none"/>
              </w:rPr>
              <w:t>通过管理人或销售机构发布不成立信息，投资者购买的理财资金将在原定成立日后2个工作日内划转至投资者指定理财账户，</w:t>
            </w:r>
            <w:r>
              <w:rPr>
                <w:rFonts w:hint="eastAsia" w:ascii="宋体" w:hAnsi="宋体" w:cs="宋体"/>
                <w:b/>
                <w:color w:val="auto"/>
                <w:sz w:val="21"/>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开放期</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理财计划</w:t>
            </w:r>
            <w:r>
              <w:rPr>
                <w:rFonts w:hint="eastAsia" w:ascii="宋体" w:hAnsi="宋体" w:cs="宋体"/>
                <w:color w:val="auto"/>
                <w:sz w:val="21"/>
                <w:szCs w:val="21"/>
                <w:highlight w:val="none"/>
                <w:lang w:val="en-US" w:eastAsia="zh-CN"/>
              </w:rPr>
              <w:t>〖每三个月〗开放一次,开放期为〖产品确认日前5-7个工作日〗，具体开放期将以管理人公告为准。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auto"/>
                <w:sz w:val="21"/>
                <w:szCs w:val="21"/>
                <w:highlight w:val="none"/>
              </w:rPr>
            </w:pPr>
            <w:r>
              <w:rPr>
                <w:rFonts w:hint="eastAsia" w:ascii="宋体" w:hAnsi="宋体" w:cs="宋体"/>
                <w:color w:val="auto"/>
                <w:sz w:val="21"/>
                <w:szCs w:val="21"/>
                <w:highlight w:val="none"/>
              </w:rPr>
              <w:t>交易时间</w:t>
            </w:r>
          </w:p>
        </w:tc>
        <w:tc>
          <w:tcPr>
            <w:tcW w:w="7185" w:type="dxa"/>
            <w:noWrap w:val="0"/>
            <w:vAlign w:val="center"/>
          </w:tcPr>
          <w:p>
            <w:pPr>
              <w:widowControl/>
              <w:spacing w:line="360" w:lineRule="auto"/>
              <w:contextualSpacing/>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1.本理财计划在每个开放期的开放日工作时间均可进行申购</w:t>
            </w:r>
            <w:r>
              <w:rPr>
                <w:rFonts w:hint="eastAsia" w:ascii="宋体" w:hAnsi="宋体" w:cs="宋体"/>
                <w:color w:val="auto"/>
                <w:sz w:val="21"/>
                <w:szCs w:val="21"/>
                <w:highlight w:val="none"/>
                <w:lang w:val="en-US" w:eastAsia="zh-CN"/>
              </w:rPr>
              <w:t>和赎回</w:t>
            </w:r>
            <w:r>
              <w:rPr>
                <w:rFonts w:hint="eastAsia" w:ascii="宋体" w:hAnsi="宋体" w:cs="宋体"/>
                <w:color w:val="auto"/>
                <w:sz w:val="21"/>
                <w:szCs w:val="21"/>
                <w:highlight w:val="none"/>
              </w:rPr>
              <w:t>，申购</w:t>
            </w:r>
            <w:r>
              <w:rPr>
                <w:rFonts w:hint="eastAsia" w:ascii="宋体" w:hAnsi="宋体" w:cs="宋体"/>
                <w:color w:val="auto"/>
                <w:sz w:val="21"/>
                <w:szCs w:val="21"/>
                <w:highlight w:val="none"/>
                <w:lang w:val="en-US" w:eastAsia="zh-CN"/>
              </w:rPr>
              <w:t>和赎回</w:t>
            </w:r>
            <w:r>
              <w:rPr>
                <w:rFonts w:hint="eastAsia" w:ascii="宋体" w:hAnsi="宋体" w:cs="宋体"/>
                <w:color w:val="auto"/>
                <w:sz w:val="21"/>
                <w:szCs w:val="21"/>
                <w:highlight w:val="none"/>
              </w:rPr>
              <w:t>申请将在确认日，即开放期后的第〖1〗个</w:t>
            </w:r>
            <w:r>
              <w:rPr>
                <w:rFonts w:hint="eastAsia" w:ascii="宋体" w:hAnsi="宋体" w:cs="宋体"/>
                <w:bCs/>
                <w:color w:val="auto"/>
                <w:sz w:val="21"/>
                <w:szCs w:val="21"/>
                <w:highlight w:val="none"/>
              </w:rPr>
              <w:t>工作日进行确认。</w:t>
            </w:r>
            <w:r>
              <w:rPr>
                <w:rFonts w:hint="eastAsia" w:ascii="宋体" w:hAnsi="宋体" w:cs="宋体"/>
                <w:color w:val="auto"/>
                <w:sz w:val="21"/>
                <w:szCs w:val="21"/>
                <w:highlight w:val="none"/>
              </w:rPr>
              <w:t>确认日如遇非工作日，则顺延至〖下一工作日〗。</w:t>
            </w:r>
          </w:p>
          <w:p>
            <w:pPr>
              <w:widowControl/>
              <w:spacing w:line="360" w:lineRule="auto"/>
              <w:contextualSpacing/>
              <w:rPr>
                <w:rFonts w:hint="eastAsia" w:ascii="宋体" w:hAnsi="宋体" w:cs="宋体"/>
                <w:color w:val="auto"/>
                <w:kern w:val="0"/>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.工作时间为每个工作日上午〖9:00〗至下午〖17:00〗。确认日如遇非工作日，则顺延至〖下一工作日〗。</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认购/开放期内提交的交易申请，在产品成立日/确认日前一日下午17:00之前可以撤单。</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4.上述交易安排如有调整，请以管理人公告为准。</w:t>
            </w:r>
          </w:p>
          <w:p>
            <w:pPr>
              <w:widowControl/>
              <w:spacing w:line="360" w:lineRule="auto"/>
              <w:contextualSpacing/>
              <w:rPr>
                <w:rFonts w:hint="default" w:ascii="宋体" w:hAnsi="宋体" w:cs="宋体"/>
                <w:bCs/>
                <w:color w:val="auto"/>
                <w:sz w:val="21"/>
                <w:szCs w:val="21"/>
                <w:highlight w:val="none"/>
                <w:lang w:val="en-US" w:eastAsia="zh-CN"/>
              </w:rPr>
            </w:pPr>
            <w:r>
              <w:rPr>
                <w:rFonts w:hint="eastAsia" w:ascii="宋体" w:hAnsi="宋体" w:cs="宋体"/>
                <w:bCs/>
                <w:sz w:val="21"/>
                <w:szCs w:val="21"/>
              </w:rPr>
              <w:t>5.</w:t>
            </w:r>
            <w:r>
              <w:rPr>
                <w:rFonts w:hint="eastAsia" w:ascii="宋体" w:hAnsi="宋体" w:cs="宋体"/>
                <w:bCs/>
                <w:color w:val="auto"/>
                <w:kern w:val="2"/>
                <w:sz w:val="21"/>
                <w:szCs w:val="21"/>
              </w:rPr>
              <w:t>如果投资者在一个投资周期开放期内未提出赎回申请，则该投资周期终止后，投资者的理财资金继续进入下一个投资周期进行理财运作。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巨额赎回</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理财计划存续期内，若理财计划开放日净赎回申请份额超过上一日日终理财计划总份额</w:t>
            </w:r>
            <w:r>
              <w:rPr>
                <w:rFonts w:hint="eastAsia" w:ascii="宋体" w:hAnsi="宋体" w:cs="宋体"/>
                <w:sz w:val="21"/>
                <w:szCs w:val="21"/>
                <w:highlight w:val="none"/>
              </w:rPr>
              <w:t>〖</w:t>
            </w:r>
            <w:r>
              <w:rPr>
                <w:rFonts w:hint="eastAsia" w:ascii="宋体" w:hAnsi="宋体" w:cs="宋体"/>
                <w:color w:val="000000"/>
                <w:sz w:val="21"/>
                <w:szCs w:val="21"/>
                <w:highlight w:val="none"/>
              </w:rPr>
              <w:t>10%</w:t>
            </w:r>
            <w:r>
              <w:rPr>
                <w:rFonts w:hint="eastAsia" w:ascii="宋体" w:hAnsi="宋体" w:cs="宋体"/>
                <w:sz w:val="21"/>
                <w:szCs w:val="21"/>
                <w:highlight w:val="none"/>
              </w:rPr>
              <w:t>〗</w:t>
            </w:r>
            <w:r>
              <w:rPr>
                <w:rFonts w:hint="eastAsia" w:ascii="宋体" w:hAnsi="宋体" w:cs="宋体"/>
                <w:color w:val="000000"/>
                <w:sz w:val="21"/>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单户限额</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val="en-US" w:eastAsia="zh-CN"/>
              </w:rPr>
            </w:pPr>
            <w:r>
              <w:rPr>
                <w:rFonts w:hint="eastAsia" w:ascii="宋体" w:hAnsi="宋体" w:cs="宋体"/>
                <w:sz w:val="21"/>
                <w:szCs w:val="21"/>
                <w:highlight w:val="none"/>
              </w:rPr>
              <w:t>单户最高存续份额为〖</w:t>
            </w:r>
            <w:r>
              <w:rPr>
                <w:rFonts w:hint="eastAsia" w:ascii="宋体" w:hAnsi="宋体" w:cs="宋体"/>
                <w:sz w:val="21"/>
                <w:szCs w:val="21"/>
                <w:highlight w:val="none"/>
                <w:lang w:val="en-US" w:eastAsia="zh-CN"/>
              </w:rPr>
              <w:t>1</w:t>
            </w:r>
            <w:r>
              <w:rPr>
                <w:rFonts w:hint="eastAsia" w:ascii="宋体" w:hAnsi="宋体" w:cs="宋体"/>
                <w:sz w:val="21"/>
                <w:szCs w:val="21"/>
                <w:highlight w:val="none"/>
              </w:rPr>
              <w:t>亿份〗</w:t>
            </w:r>
            <w:r>
              <w:rPr>
                <w:rFonts w:hint="eastAsia" w:ascii="宋体" w:hAnsi="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申购份额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申购份额=申购金额/确认日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的单位净值。申购</w:t>
            </w:r>
            <w:r>
              <w:rPr>
                <w:rFonts w:hint="eastAsia" w:ascii="宋体" w:hAnsi="宋体" w:cs="宋体"/>
                <w:color w:val="000000"/>
                <w:sz w:val="21"/>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赎回金额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赎回金额=赎</w:t>
            </w:r>
            <w:r>
              <w:rPr>
                <w:rFonts w:hint="eastAsia" w:ascii="宋体" w:hAnsi="宋体" w:cs="宋体"/>
                <w:bCs/>
                <w:sz w:val="21"/>
                <w:szCs w:val="21"/>
                <w:highlight w:val="none"/>
              </w:rPr>
              <w:t>回份额×确认日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单位净值</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单位净值=理财计划估值日理财计划总净值/理财计划总份额，单位净值〖保留小数点后</w:t>
            </w:r>
            <w:r>
              <w:rPr>
                <w:rFonts w:hint="eastAsia" w:ascii="宋体" w:hAnsi="宋体" w:cs="宋体"/>
                <w:color w:val="auto"/>
                <w:sz w:val="21"/>
                <w:szCs w:val="21"/>
                <w:highlight w:val="none"/>
                <w:lang w:val="en-US" w:eastAsia="zh-CN"/>
              </w:rPr>
              <w:t>四</w:t>
            </w:r>
            <w:r>
              <w:rPr>
                <w:rFonts w:hint="eastAsia" w:ascii="宋体" w:hAnsi="宋体" w:cs="宋体"/>
                <w:color w:val="auto"/>
                <w:sz w:val="21"/>
                <w:szCs w:val="21"/>
                <w:highlight w:val="none"/>
              </w:rPr>
              <w:t>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四位后去尾</w:t>
            </w:r>
            <w:r>
              <w:rPr>
                <w:rFonts w:hint="eastAsia" w:ascii="宋体" w:hAnsi="宋体" w:cs="宋体"/>
                <w:color w:val="auto"/>
                <w:sz w:val="21"/>
                <w:szCs w:val="21"/>
                <w:highlight w:val="none"/>
              </w:rPr>
              <w:t>。</w:t>
            </w:r>
          </w:p>
          <w:p>
            <w:pPr>
              <w:widowControl/>
              <w:spacing w:line="360" w:lineRule="auto"/>
              <w:contextualSpacing/>
              <w:rPr>
                <w:rFonts w:hint="eastAsia" w:ascii="宋体" w:hAnsi="宋体" w:cs="宋体"/>
                <w:b/>
                <w:color w:val="auto"/>
                <w:sz w:val="21"/>
                <w:szCs w:val="21"/>
                <w:highlight w:val="none"/>
              </w:rPr>
            </w:pPr>
            <w:r>
              <w:rPr>
                <w:rFonts w:hint="eastAsia" w:ascii="宋体" w:hAnsi="宋体" w:cs="宋体"/>
                <w:color w:val="auto"/>
                <w:sz w:val="21"/>
                <w:szCs w:val="21"/>
                <w:highlight w:val="none"/>
              </w:rPr>
              <w:t>理财计划总净值=理财计划认购总额+理财计划所获总收益-理财计划总费用（包括但不限于</w:t>
            </w:r>
            <w:r>
              <w:rPr>
                <w:rFonts w:hint="eastAsia" w:ascii="宋体" w:hAnsi="宋体" w:cs="宋体"/>
                <w:color w:val="auto"/>
                <w:sz w:val="21"/>
                <w:szCs w:val="21"/>
                <w:highlight w:val="none"/>
                <w:lang w:val="en-US" w:eastAsia="zh-CN"/>
              </w:rPr>
              <w:t>固定</w:t>
            </w:r>
            <w:r>
              <w:rPr>
                <w:rFonts w:hint="eastAsia" w:ascii="宋体" w:hAnsi="宋体" w:cs="宋体"/>
                <w:color w:val="auto"/>
                <w:sz w:val="21"/>
                <w:szCs w:val="21"/>
                <w:highlight w:val="none"/>
              </w:rPr>
              <w:t>管理费、托管费、</w:t>
            </w:r>
            <w:r>
              <w:rPr>
                <w:rFonts w:hint="eastAsia" w:ascii="宋体" w:hAnsi="宋体" w:cs="宋体"/>
                <w:color w:val="auto"/>
                <w:sz w:val="21"/>
                <w:szCs w:val="21"/>
                <w:highlight w:val="none"/>
                <w:lang w:eastAsia="zh-CN"/>
              </w:rPr>
              <w:t>销售服务费、</w:t>
            </w:r>
            <w:r>
              <w:rPr>
                <w:rFonts w:hint="eastAsia" w:ascii="宋体" w:hAnsi="宋体" w:cs="宋体"/>
                <w:color w:val="auto"/>
                <w:sz w:val="21"/>
                <w:szCs w:val="21"/>
                <w:highlight w:val="none"/>
                <w:lang w:val="en-US" w:eastAsia="zh-CN"/>
              </w:rPr>
              <w:t>浮动管理费（如有）</w:t>
            </w:r>
            <w:r>
              <w:rPr>
                <w:rFonts w:hint="eastAsia" w:ascii="宋体" w:hAnsi="宋体" w:cs="宋体"/>
                <w:color w:val="auto"/>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资金与收益支付方式</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1.赎回资金确认后，最快〖</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〗个工作日，最晚〖</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2.理财计划到期后，最快〖</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〗个工作日，最晚〖</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收益分配</w:t>
            </w:r>
          </w:p>
        </w:tc>
        <w:tc>
          <w:tcPr>
            <w:tcW w:w="7185" w:type="dxa"/>
            <w:noWrap w:val="0"/>
            <w:vAlign w:val="center"/>
          </w:tcPr>
          <w:p>
            <w:pPr>
              <w:widowControl/>
              <w:spacing w:line="360" w:lineRule="auto"/>
              <w:contextualSpacing/>
              <w:rPr>
                <w:rFonts w:ascii="宋体" w:hAnsi="宋体" w:cs="宋体"/>
                <w:b/>
                <w:sz w:val="21"/>
                <w:szCs w:val="21"/>
                <w:highlight w:val="none"/>
              </w:rPr>
            </w:pPr>
            <w:r>
              <w:rPr>
                <w:rFonts w:hint="eastAsia" w:ascii="宋体" w:hAnsi="宋体" w:cs="宋体"/>
                <w:color w:val="000000"/>
                <w:sz w:val="21"/>
                <w:szCs w:val="21"/>
                <w:highlight w:val="none"/>
              </w:rPr>
              <w:t>在满足收益分配基准日理财计划份额净值大于1元的情况下，管理人</w:t>
            </w:r>
            <w:r>
              <w:rPr>
                <w:rFonts w:hint="eastAsia" w:ascii="宋体" w:hAnsi="宋体" w:cs="宋体"/>
                <w:sz w:val="21"/>
                <w:szCs w:val="21"/>
                <w:highlight w:val="none"/>
              </w:rPr>
              <w:t>〖</w:t>
            </w:r>
            <w:r>
              <w:rPr>
                <w:rFonts w:hint="eastAsia" w:ascii="宋体" w:hAnsi="宋体" w:cs="宋体"/>
                <w:sz w:val="21"/>
                <w:szCs w:val="21"/>
                <w:highlight w:val="none"/>
                <w:lang w:val="en-US" w:eastAsia="zh-CN"/>
              </w:rPr>
              <w:t>不</w:t>
            </w:r>
            <w:r>
              <w:rPr>
                <w:rFonts w:hint="eastAsia" w:ascii="宋体" w:hAnsi="宋体" w:cs="宋体"/>
                <w:color w:val="000000"/>
                <w:sz w:val="21"/>
                <w:szCs w:val="21"/>
                <w:highlight w:val="none"/>
              </w:rPr>
              <w:t>定期</w:t>
            </w:r>
            <w:r>
              <w:rPr>
                <w:rFonts w:hint="eastAsia" w:ascii="宋体" w:hAnsi="宋体" w:cs="宋体"/>
                <w:sz w:val="21"/>
                <w:szCs w:val="21"/>
                <w:highlight w:val="none"/>
              </w:rPr>
              <w:t>〗</w:t>
            </w:r>
            <w:r>
              <w:rPr>
                <w:rFonts w:hint="eastAsia" w:ascii="宋体" w:hAnsi="宋体" w:cs="宋体"/>
                <w:color w:val="000000"/>
                <w:sz w:val="21"/>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业绩比较基准</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1.95%-2.95%</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B份额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2.00%-3.00%</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C份额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2.05%-3.05%</w:t>
            </w:r>
            <w:r>
              <w:rPr>
                <w:rFonts w:hint="eastAsia" w:ascii="宋体" w:hAnsi="宋体" w:cs="宋体"/>
                <w:sz w:val="21"/>
                <w:szCs w:val="21"/>
                <w:highlight w:val="none"/>
              </w:rPr>
              <w:t>〗（年化）。</w:t>
            </w:r>
          </w:p>
          <w:p>
            <w:pPr>
              <w:widowControl/>
              <w:spacing w:line="360" w:lineRule="auto"/>
              <w:jc w:val="left"/>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rPr>
              <w:t>业绩基准测算依据：</w:t>
            </w:r>
            <w:r>
              <w:rPr>
                <w:rFonts w:hint="eastAsia" w:ascii="宋体" w:hAnsi="宋体" w:cs="宋体"/>
                <w:b/>
                <w:bCs/>
                <w:sz w:val="21"/>
                <w:szCs w:val="21"/>
                <w:highlight w:val="none"/>
                <w:lang w:val="en-US" w:eastAsia="zh-CN"/>
              </w:rPr>
              <w:t>本理财计划主要投资于固定收益类资产，权益类等其他资产配置比例不超过20%。本理财计划将通过积极的主动管理，根据大类资产研究、固定收益市场及权益市场等的历史波动情况确定合理的投资比例，争取为投资人提供合理的投资回报。管理人根据固定收益市场及权益市场等的历史表现，结合当前利率水平、资产配比及市场同类型产品情况，经综合测算得出本期业绩比较基准。</w:t>
            </w:r>
          </w:p>
          <w:p>
            <w:pPr>
              <w:widowControl/>
              <w:spacing w:line="360" w:lineRule="auto"/>
              <w:jc w:val="left"/>
              <w:rPr>
                <w:rFonts w:hint="eastAsia" w:ascii="宋体" w:hAnsi="宋体" w:cs="宋体"/>
                <w:b/>
                <w:bCs/>
                <w:sz w:val="21"/>
                <w:szCs w:val="21"/>
                <w:highlight w:val="none"/>
              </w:rPr>
            </w:pPr>
            <w:r>
              <w:rPr>
                <w:rFonts w:hint="eastAsia" w:ascii="宋体" w:hAnsi="宋体" w:cs="宋体"/>
                <w:sz w:val="21"/>
                <w:szCs w:val="21"/>
                <w:highlight w:val="none"/>
              </w:rPr>
              <w:t>管理人有权根据市场情况及</w:t>
            </w:r>
            <w:r>
              <w:rPr>
                <w:rFonts w:hint="eastAsia" w:ascii="宋体" w:hAnsi="宋体" w:cs="宋体"/>
                <w:sz w:val="21"/>
                <w:szCs w:val="21"/>
                <w:highlight w:val="none"/>
                <w:lang w:eastAsia="zh-CN"/>
              </w:rPr>
              <w:t>理财计划</w:t>
            </w:r>
            <w:r>
              <w:rPr>
                <w:rFonts w:hint="eastAsia" w:ascii="宋体" w:hAnsi="宋体" w:cs="宋体"/>
                <w:sz w:val="21"/>
                <w:szCs w:val="21"/>
                <w:highlight w:val="none"/>
              </w:rPr>
              <w:t>运作情况调整业绩基准，并至少于新业绩基准启用前</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3</w:t>
            </w:r>
            <w:r>
              <w:rPr>
                <w:rFonts w:hint="eastAsia" w:ascii="宋体" w:hAnsi="宋体" w:cs="宋体"/>
                <w:kern w:val="0"/>
                <w:sz w:val="21"/>
                <w:szCs w:val="21"/>
                <w:highlight w:val="none"/>
              </w:rPr>
              <w:t>〗</w:t>
            </w:r>
            <w:r>
              <w:rPr>
                <w:rFonts w:hint="eastAsia" w:ascii="宋体" w:hAnsi="宋体" w:cs="宋体"/>
                <w:sz w:val="21"/>
                <w:szCs w:val="21"/>
                <w:highlight w:val="none"/>
              </w:rPr>
              <w:t>个工作日公告。</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
                <w:sz w:val="21"/>
                <w:szCs w:val="21"/>
                <w:highlight w:val="none"/>
              </w:rPr>
              <w:t>本理财计划为净值型理财产品，其业绩表现将随市场波动具有不确定性。</w:t>
            </w:r>
            <w:r>
              <w:rPr>
                <w:rFonts w:hint="eastAsia" w:ascii="宋体" w:hAnsi="宋体" w:cs="宋体"/>
                <w:b/>
                <w:sz w:val="21"/>
                <w:szCs w:val="21"/>
                <w:highlight w:val="none"/>
              </w:rPr>
              <w:t>本理财计划业绩比较基准由管理人根据投资范围及投资策略，结合市场环境因素进行测算而得出。业绩比较基准是管理人基于理财计划收益风险特征、投资策略、过往经验等因素对理财计划业绩设定的投资目标。</w:t>
            </w:r>
            <w:r>
              <w:rPr>
                <w:rFonts w:hint="eastAsia" w:ascii="宋体" w:hAnsi="宋体" w:cs="宋体"/>
                <w:b/>
                <w:sz w:val="21"/>
                <w:szCs w:val="21"/>
                <w:highlight w:val="none"/>
              </w:rPr>
              <w:t>本公司提醒投资者关注，业绩比较基准</w:t>
            </w:r>
            <w:r>
              <w:rPr>
                <w:rFonts w:hint="eastAsia" w:ascii="宋体" w:hAnsi="宋体" w:cs="宋体"/>
                <w:b/>
                <w:sz w:val="21"/>
                <w:szCs w:val="21"/>
                <w:highlight w:val="none"/>
              </w:rPr>
              <w:t>并不代表</w:t>
            </w:r>
            <w:r>
              <w:rPr>
                <w:rFonts w:hint="eastAsia" w:ascii="宋体" w:hAnsi="宋体" w:cs="宋体"/>
                <w:b/>
                <w:sz w:val="21"/>
                <w:szCs w:val="21"/>
                <w:highlight w:val="none"/>
                <w:lang w:eastAsia="zh-CN"/>
              </w:rPr>
              <w:t>理财计划的未来表现和</w:t>
            </w:r>
            <w:r>
              <w:rPr>
                <w:rFonts w:hint="eastAsia" w:ascii="宋体" w:hAnsi="宋体" w:cs="宋体"/>
                <w:b/>
                <w:sz w:val="21"/>
                <w:szCs w:val="21"/>
                <w:highlight w:val="none"/>
              </w:rPr>
              <w:t>实际收益率</w:t>
            </w:r>
            <w:r>
              <w:rPr>
                <w:rFonts w:hint="eastAsia" w:ascii="宋体" w:hAnsi="宋体" w:cs="宋体"/>
                <w:b/>
                <w:sz w:val="21"/>
                <w:szCs w:val="21"/>
                <w:highlight w:val="none"/>
                <w:lang w:eastAsia="zh-CN"/>
              </w:rPr>
              <w:t>，不构成对理财计划收益的承诺</w:t>
            </w:r>
            <w:r>
              <w:rPr>
                <w:rFonts w:hint="eastAsia" w:ascii="宋体" w:hAnsi="宋体" w:cs="宋体"/>
                <w:b/>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产品费用</w:t>
            </w:r>
          </w:p>
        </w:tc>
        <w:tc>
          <w:tcPr>
            <w:tcW w:w="7185" w:type="dxa"/>
            <w:noWrap w:val="0"/>
            <w:vAlign w:val="center"/>
          </w:tcPr>
          <w:p>
            <w:pPr>
              <w:widowControl/>
              <w:numPr>
                <w:ilvl w:val="0"/>
                <w:numId w:val="19"/>
              </w:numPr>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0.25</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2.托管费：收取年化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0.025</w:t>
            </w:r>
            <w:r>
              <w:rPr>
                <w:rFonts w:hint="eastAsia" w:ascii="宋体" w:hAnsi="宋体" w:cs="宋体"/>
                <w:sz w:val="21"/>
                <w:szCs w:val="21"/>
                <w:highlight w:val="none"/>
              </w:rPr>
              <w:t>%〗</w:t>
            </w:r>
            <w:r>
              <w:rPr>
                <w:rFonts w:hint="eastAsia" w:ascii="宋体" w:hAnsi="宋体" w:cs="宋体"/>
                <w:color w:val="000000"/>
                <w:sz w:val="21"/>
                <w:szCs w:val="21"/>
                <w:highlight w:val="none"/>
              </w:rPr>
              <w:t>的托管费。</w:t>
            </w:r>
          </w:p>
          <w:p>
            <w:pPr>
              <w:widowControl/>
              <w:spacing w:line="360" w:lineRule="auto"/>
              <w:contextualSpacing/>
              <w:rPr>
                <w:rFonts w:hint="eastAsia" w:ascii="宋体" w:hAnsi="宋体" w:eastAsia="宋体" w:cs="宋体"/>
                <w:bCs/>
                <w:color w:val="FF0000"/>
                <w:sz w:val="21"/>
                <w:szCs w:val="21"/>
                <w:highlight w:val="none"/>
                <w:lang w:eastAsia="zh-CN"/>
              </w:rPr>
            </w:pPr>
            <w:r>
              <w:rPr>
                <w:rFonts w:hint="eastAsia" w:ascii="宋体" w:hAnsi="宋体" w:cs="宋体"/>
                <w:color w:val="auto"/>
                <w:sz w:val="21"/>
                <w:szCs w:val="21"/>
                <w:highlight w:val="none"/>
              </w:rPr>
              <w:t>3.固定管理费：〖</w:t>
            </w:r>
            <w:r>
              <w:rPr>
                <w:rFonts w:hint="eastAsia" w:ascii="宋体" w:hAnsi="宋体" w:cs="宋体"/>
                <w:bCs/>
                <w:color w:val="auto"/>
                <w:sz w:val="21"/>
                <w:szCs w:val="21"/>
                <w:highlight w:val="none"/>
                <w:lang w:val="en-US" w:eastAsia="zh-CN"/>
              </w:rPr>
              <w:t>A份额</w:t>
            </w:r>
            <w:r>
              <w:rPr>
                <w:rFonts w:hint="eastAsia" w:ascii="宋体" w:hAnsi="宋体" w:cs="宋体"/>
                <w:color w:val="auto"/>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4.认购费：本理财计划免除认购费。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5.申购费：</w:t>
            </w:r>
            <w:r>
              <w:rPr>
                <w:rFonts w:hint="eastAsia" w:ascii="宋体" w:hAnsi="宋体" w:cs="宋体"/>
                <w:color w:val="000000"/>
                <w:sz w:val="21"/>
                <w:szCs w:val="21"/>
                <w:highlight w:val="none"/>
              </w:rPr>
              <w:t>本理财计划免除申购费。</w:t>
            </w:r>
          </w:p>
          <w:p>
            <w:pPr>
              <w:widowControl/>
              <w:spacing w:line="360" w:lineRule="auto"/>
              <w:contextualSpacing/>
              <w:rPr>
                <w:rFonts w:ascii="宋体" w:hAnsi="宋体" w:cs="宋体"/>
                <w:bCs/>
                <w:sz w:val="21"/>
                <w:szCs w:val="21"/>
                <w:highlight w:val="none"/>
              </w:rPr>
            </w:pPr>
            <w:r>
              <w:rPr>
                <w:rFonts w:hint="eastAsia" w:ascii="宋体" w:hAnsi="宋体" w:cs="宋体"/>
                <w:bCs/>
                <w:sz w:val="21"/>
                <w:szCs w:val="21"/>
                <w:highlight w:val="none"/>
              </w:rPr>
              <w:t>6.赎回费：</w:t>
            </w:r>
            <w:r>
              <w:rPr>
                <w:rFonts w:hint="eastAsia" w:ascii="宋体" w:hAnsi="宋体" w:cs="宋体"/>
                <w:color w:val="000000"/>
                <w:sz w:val="21"/>
                <w:szCs w:val="21"/>
                <w:highlight w:val="none"/>
              </w:rPr>
              <w:t>本理财计划免除赎回费。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7.浮动管理费。管理人根据理财计划投资情况计算浮动管理费，本理财计划</w:t>
            </w:r>
            <w:r>
              <w:rPr>
                <w:rFonts w:hint="eastAsia" w:ascii="宋体" w:hAnsi="宋体" w:cs="宋体"/>
                <w:color w:val="000000"/>
                <w:sz w:val="21"/>
                <w:szCs w:val="21"/>
                <w:highlight w:val="none"/>
                <w:lang w:val="en-US" w:eastAsia="zh-CN"/>
              </w:rPr>
              <w:t>份额</w:t>
            </w:r>
            <w:r>
              <w:rPr>
                <w:rFonts w:hint="eastAsia" w:ascii="宋体" w:hAnsi="宋体" w:cs="宋体"/>
                <w:color w:val="000000"/>
                <w:sz w:val="21"/>
                <w:szCs w:val="21"/>
                <w:highlight w:val="none"/>
              </w:rPr>
              <w:t>投资周期的</w:t>
            </w:r>
            <w:r>
              <w:rPr>
                <w:rFonts w:hint="eastAsia" w:ascii="宋体" w:hAnsi="宋体" w:cs="宋体"/>
                <w:sz w:val="21"/>
                <w:szCs w:val="21"/>
                <w:highlight w:val="none"/>
              </w:rPr>
              <w:t>〖</w:t>
            </w:r>
            <w:r>
              <w:rPr>
                <w:rFonts w:hint="eastAsia" w:ascii="宋体" w:hAnsi="宋体" w:cs="宋体"/>
                <w:color w:val="000000"/>
                <w:sz w:val="21"/>
                <w:szCs w:val="21"/>
                <w:highlight w:val="none"/>
              </w:rPr>
              <w:t>折合年化收益率超过</w:t>
            </w:r>
            <w:r>
              <w:rPr>
                <w:rFonts w:hint="eastAsia" w:ascii="宋体" w:hAnsi="宋体" w:cs="宋体"/>
                <w:color w:val="000000"/>
                <w:sz w:val="21"/>
                <w:szCs w:val="21"/>
                <w:highlight w:val="none"/>
                <w:lang w:val="en-US" w:eastAsia="zh-CN"/>
              </w:rPr>
              <w:t>业绩比较基准上限</w:t>
            </w:r>
            <w:r>
              <w:rPr>
                <w:rFonts w:hint="eastAsia" w:ascii="宋体" w:hAnsi="宋体" w:cs="宋体"/>
                <w:sz w:val="21"/>
                <w:szCs w:val="21"/>
                <w:highlight w:val="none"/>
              </w:rPr>
              <w:t>〗</w:t>
            </w:r>
            <w:r>
              <w:rPr>
                <w:rFonts w:hint="eastAsia" w:ascii="宋体" w:hAnsi="宋体" w:cs="宋体"/>
                <w:color w:val="000000"/>
                <w:sz w:val="21"/>
                <w:szCs w:val="21"/>
                <w:highlight w:val="none"/>
              </w:rPr>
              <w:t>的部分,</w:t>
            </w:r>
            <w:r>
              <w:rPr>
                <w:rFonts w:hint="eastAsia" w:ascii="宋体" w:hAnsi="宋体" w:cs="宋体"/>
                <w:b/>
                <w:color w:val="000000"/>
                <w:sz w:val="21"/>
                <w:szCs w:val="21"/>
                <w:highlight w:val="none"/>
              </w:rPr>
              <w:t>管理人提取</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5</w:t>
            </w:r>
            <w:r>
              <w:rPr>
                <w:rFonts w:hint="eastAsia" w:ascii="宋体" w:hAnsi="宋体" w:cs="宋体"/>
                <w:b/>
                <w:bCs/>
                <w:sz w:val="21"/>
                <w:szCs w:val="21"/>
                <w:highlight w:val="none"/>
                <w:lang w:val="en-US" w:eastAsia="zh-CN"/>
              </w:rPr>
              <w:t>0</w:t>
            </w:r>
            <w:r>
              <w:rPr>
                <w:rFonts w:hint="eastAsia" w:ascii="宋体" w:hAnsi="宋体" w:cs="宋体"/>
                <w:b/>
                <w:bCs/>
                <w:sz w:val="21"/>
                <w:szCs w:val="21"/>
                <w:highlight w:val="none"/>
              </w:rPr>
              <w:t>%〗</w:t>
            </w:r>
            <w:r>
              <w:rPr>
                <w:rFonts w:hint="eastAsia" w:ascii="宋体" w:hAnsi="宋体" w:cs="宋体"/>
                <w:b/>
                <w:color w:val="000000"/>
                <w:sz w:val="21"/>
                <w:szCs w:val="21"/>
                <w:highlight w:val="none"/>
              </w:rPr>
              <w:t>作为浮动管理费。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提前终止</w:t>
            </w:r>
          </w:p>
        </w:tc>
        <w:tc>
          <w:tcPr>
            <w:tcW w:w="7185" w:type="dxa"/>
            <w:noWrap w:val="0"/>
            <w:vAlign w:val="center"/>
          </w:tcPr>
          <w:p>
            <w:pPr>
              <w:widowControl/>
              <w:spacing w:line="360" w:lineRule="auto"/>
              <w:contextualSpacing/>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 w:val="21"/>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税费规定</w:t>
            </w:r>
          </w:p>
        </w:tc>
        <w:tc>
          <w:tcPr>
            <w:tcW w:w="7185" w:type="dxa"/>
            <w:noWrap w:val="0"/>
            <w:vAlign w:val="center"/>
          </w:tcPr>
          <w:p>
            <w:pPr>
              <w:spacing w:line="360" w:lineRule="auto"/>
              <w:outlineLvl w:val="0"/>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融资服务</w:t>
            </w:r>
          </w:p>
        </w:tc>
        <w:tc>
          <w:tcPr>
            <w:tcW w:w="7185" w:type="dxa"/>
            <w:noWrap w:val="0"/>
            <w:vAlign w:val="bottom"/>
          </w:tcPr>
          <w:p>
            <w:pPr>
              <w:spacing w:line="360" w:lineRule="auto"/>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投资者在理财期限内不能提前</w:t>
            </w:r>
            <w:r>
              <w:rPr>
                <w:rFonts w:hint="eastAsia" w:ascii="宋体" w:hAnsi="宋体" w:cs="宋体"/>
                <w:b/>
                <w:color w:val="000000"/>
                <w:kern w:val="0"/>
                <w:sz w:val="21"/>
                <w:szCs w:val="21"/>
                <w:highlight w:val="none"/>
                <w:lang w:eastAsia="zh-CN"/>
              </w:rPr>
              <w:t>赎回</w:t>
            </w:r>
            <w:r>
              <w:rPr>
                <w:rFonts w:hint="eastAsia" w:ascii="宋体" w:hAnsi="宋体" w:cs="宋体"/>
                <w:b/>
                <w:color w:val="000000"/>
                <w:kern w:val="0"/>
                <w:sz w:val="21"/>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FF"/>
                <w:kern w:val="0"/>
                <w:sz w:val="21"/>
                <w:szCs w:val="21"/>
                <w:highlight w:val="none"/>
              </w:rPr>
            </w:pPr>
            <w:r>
              <w:rPr>
                <w:rFonts w:hint="eastAsia" w:ascii="宋体" w:hAnsi="宋体" w:cs="宋体"/>
                <w:color w:val="000000"/>
                <w:sz w:val="21"/>
                <w:szCs w:val="21"/>
                <w:highlight w:val="none"/>
              </w:rPr>
              <w:t>认购期内按照活期存款利率计息，认购期内的利息不计入认购本金份额。到期日（或理</w:t>
            </w:r>
            <w:r>
              <w:rPr>
                <w:rFonts w:hint="eastAsia" w:ascii="宋体" w:hAnsi="宋体" w:cs="宋体"/>
                <w:color w:val="auto"/>
                <w:sz w:val="21"/>
                <w:szCs w:val="21"/>
                <w:highlight w:val="none"/>
              </w:rPr>
              <w:t>财计划实际终止日）到理财资金返还到账日为还本清算期，还本清算期内不计付利息。</w:t>
            </w:r>
            <w:r>
              <w:rPr>
                <w:rFonts w:hint="eastAsia" w:ascii="宋体" w:hAnsi="宋体" w:cs="宋体"/>
                <w:color w:val="auto"/>
                <w:kern w:val="0"/>
                <w:sz w:val="21"/>
                <w:szCs w:val="21"/>
                <w:highlight w:val="none"/>
              </w:rPr>
              <w:t>（具体以销售机构规定为准）</w:t>
            </w:r>
          </w:p>
          <w:p>
            <w:pPr>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20"/>
        </w:numPr>
        <w:spacing w:line="360" w:lineRule="auto"/>
        <w:ind w:firstLine="482" w:firstLineChars="200"/>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22"/>
        </w:numPr>
        <w:spacing w:line="360" w:lineRule="auto"/>
        <w:ind w:firstLine="480" w:firstLineChars="200"/>
        <w:jc w:val="left"/>
        <w:rPr>
          <w:rFonts w:ascii="宋体" w:hAnsi="宋体" w:cs="宋体"/>
          <w:bCs/>
          <w:color w:val="auto"/>
          <w:sz w:val="24"/>
          <w:highlight w:val="none"/>
        </w:rPr>
      </w:pPr>
      <w:r>
        <w:rPr>
          <w:rFonts w:hint="eastAsia" w:ascii="宋体" w:hAnsi="宋体" w:cs="宋体"/>
          <w:bCs/>
          <w:sz w:val="24"/>
          <w:highlight w:val="none"/>
        </w:rPr>
        <w:t>固定收益类资产：包括但不限于各类债券、存款、货币市场金融工具、债券</w:t>
      </w:r>
      <w:r>
        <w:rPr>
          <w:rFonts w:hint="eastAsia" w:ascii="宋体" w:hAnsi="宋体" w:cs="宋体"/>
          <w:bCs/>
          <w:color w:val="auto"/>
          <w:sz w:val="24"/>
          <w:highlight w:val="none"/>
        </w:rPr>
        <w:t>基金、质押式及买断式回购，其他符合监管要求的固定收益类资产及资产管理产品。</w:t>
      </w:r>
    </w:p>
    <w:p>
      <w:pPr>
        <w:numPr>
          <w:ilvl w:val="0"/>
          <w:numId w:val="22"/>
        </w:num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权益类资产：包括国内发行上市优先股、上市公司股票、定向增发、员工持股计划、以及其他符合监管要求的权益类资产及资产管理产品（不包括未上市企业股权）。</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color w:val="000000"/>
          <w:lang w:val="en-US" w:eastAsia="zh-CN"/>
        </w:rPr>
        <w:t>总</w:t>
      </w:r>
      <w:r>
        <w:rPr>
          <w:rFonts w:hint="eastAsia" w:ascii="宋体" w:hAnsi="宋体" w:cs="宋体"/>
          <w:bCs/>
          <w:sz w:val="24"/>
          <w:highlight w:val="none"/>
        </w:rPr>
        <w:t>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spacing w:line="360" w:lineRule="auto"/>
              <w:rPr>
                <w:rFonts w:hint="eastAsia" w:ascii="宋体" w:hAnsi="宋体" w:eastAsia="宋体" w:cs="宋体"/>
                <w:bCs/>
                <w:szCs w:val="21"/>
                <w:highlight w:val="none"/>
                <w:lang w:val="en-US" w:eastAsia="zh-CN"/>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0%-20%</w:t>
            </w:r>
          </w:p>
        </w:tc>
      </w:tr>
    </w:tbl>
    <w:p>
      <w:pPr>
        <w:pStyle w:val="18"/>
        <w:adjustRightInd/>
        <w:spacing w:line="360" w:lineRule="auto"/>
        <w:ind w:firstLine="480" w:firstLineChars="200"/>
        <w:rPr>
          <w:rFonts w:hint="eastAsia" w:ascii="宋体" w:hAnsi="宋体" w:cs="宋体"/>
          <w:bCs/>
          <w:color w:val="auto"/>
          <w:kern w:val="2"/>
          <w:highlight w:val="none"/>
          <w:lang w:val="en-US" w:eastAsia="zh-CN"/>
        </w:rPr>
      </w:pPr>
      <w:r>
        <w:rPr>
          <w:rFonts w:hint="eastAsia" w:ascii="宋体" w:hAnsi="宋体" w:cs="宋体"/>
          <w:bCs/>
          <w:color w:val="auto"/>
          <w:kern w:val="2"/>
          <w:highlight w:val="none"/>
          <w:lang w:val="en-US" w:eastAsia="zh-CN"/>
        </w:rPr>
        <w:t>本理财计划可以投资不存在活跃交易市场并且需要采用估值技术确定公允价值的资产，上述资产比例可以达到理财计划净资产的50%以上。</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8"/>
        <w:spacing w:line="360" w:lineRule="auto"/>
        <w:ind w:firstLine="480" w:firstLineChars="200"/>
        <w:rPr>
          <w:rFonts w:hint="eastAsia" w:ascii="宋体" w:hAnsi="宋体" w:cs="宋体"/>
          <w:b/>
          <w:sz w:val="24"/>
          <w:highlight w:val="none"/>
        </w:rPr>
      </w:pPr>
      <w:r>
        <w:rPr>
          <w:rFonts w:hint="eastAsia" w:ascii="宋体" w:cs="宋体"/>
          <w:sz w:val="24"/>
          <w:szCs w:val="24"/>
          <w:highlight w:val="none"/>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r>
        <w:rPr>
          <w:rFonts w:hint="eastAsia" w:ascii="宋体" w:cs="宋体"/>
          <w:b/>
          <w:sz w:val="24"/>
          <w:szCs w:val="24"/>
          <w:highlight w:val="none"/>
        </w:rPr>
        <w:t>本产品还可能根据市场行情，在监管政策允许的范围内，在适当的时机投资不高于理财产品总资产的20%的资金于其他资产。</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0"/>
        </w:numPr>
        <w:spacing w:line="360" w:lineRule="auto"/>
        <w:ind w:leftChars="0" w:firstLine="480" w:firstLineChars="200"/>
        <w:jc w:val="left"/>
        <w:outlineLvl w:val="2"/>
        <w:rPr>
          <w:rFonts w:hint="eastAsia" w:ascii="宋体" w:hAnsi="宋体" w:cs="宋体"/>
          <w:b/>
          <w:sz w:val="24"/>
          <w:highlight w:val="none"/>
        </w:rPr>
      </w:pPr>
      <w:r>
        <w:rPr>
          <w:rFonts w:hint="eastAsia" w:ascii="宋体" w:hAnsi="宋体" w:cs="宋体"/>
          <w:b w:val="0"/>
          <w:bCs/>
          <w:sz w:val="24"/>
          <w:highlight w:val="none"/>
          <w:lang w:val="en-US" w:eastAsia="zh-CN"/>
        </w:rPr>
        <w:t>投资限制中列示的资产品种不代表管理人的实际投向，本理财计划投资范围以“投资范围”章节表述为准。</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管理人</w:t>
      </w:r>
      <w:r>
        <w:rPr>
          <w:rFonts w:hint="eastAsia" w:ascii="宋体" w:hAnsi="宋体" w:cs="宋体"/>
          <w:bCs/>
          <w:sz w:val="24"/>
          <w:highlight w:val="none"/>
        </w:rPr>
        <w:t>发行的全部</w:t>
      </w:r>
      <w:r>
        <w:rPr>
          <w:rFonts w:hint="eastAsia" w:ascii="宋体" w:hAnsi="宋体"/>
          <w:sz w:val="24"/>
          <w:highlight w:val="none"/>
        </w:rPr>
        <w:t>开放式公募</w:t>
      </w:r>
      <w:r>
        <w:rPr>
          <w:rFonts w:hint="eastAsia" w:ascii="宋体" w:hAnsi="宋体" w:cs="宋体"/>
          <w:bCs/>
          <w:sz w:val="24"/>
          <w:highlight w:val="none"/>
        </w:rPr>
        <w:t>理财计划</w:t>
      </w:r>
      <w:r>
        <w:rPr>
          <w:rFonts w:hint="eastAsia" w:ascii="宋体" w:hAnsi="宋体"/>
          <w:sz w:val="24"/>
          <w:highlight w:val="none"/>
        </w:rPr>
        <w:t>投资单一上市公司发行的股票,不得超过该上市公司可流通股票的15%。</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本理财计划投资的非标准化债权类资产到期日不得晚于理财计划最近一次开放日。</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25"/>
        </w:num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流动性限制</w:t>
      </w:r>
    </w:p>
    <w:p>
      <w:pPr>
        <w:numPr>
          <w:ilvl w:val="0"/>
          <w:numId w:val="26"/>
        </w:num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本理财计划直接投资于流动性受限资产的市值在开放日不得超过该理财计划资产净值的15%。</w:t>
      </w:r>
    </w:p>
    <w:p>
      <w:pPr>
        <w:numPr>
          <w:ilvl w:val="0"/>
          <w:numId w:val="26"/>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本理财计划如定期开放周期不低于90天，应当在开放日及开放日前7个工作日内持有不低于该理财计划资产净值5%的现金或者到期日在一年以内的国债、中央银行票据和政策性金融债券；如定期开放周期低于90天，</w:t>
      </w:r>
      <w:r>
        <w:rPr>
          <w:rFonts w:hint="eastAsia" w:ascii="宋体" w:hAnsi="宋体" w:cs="宋体"/>
          <w:bCs/>
          <w:sz w:val="24"/>
          <w:highlight w:val="none"/>
        </w:rPr>
        <w:t>应当持有不低于该理财</w:t>
      </w:r>
      <w:r>
        <w:rPr>
          <w:rFonts w:hint="eastAsia" w:ascii="宋体" w:hAnsi="宋体" w:cs="宋体"/>
          <w:bCs/>
          <w:sz w:val="24"/>
          <w:highlight w:val="none"/>
          <w:lang w:eastAsia="zh-CN"/>
        </w:rPr>
        <w:t>计划</w:t>
      </w:r>
      <w:r>
        <w:rPr>
          <w:rFonts w:hint="eastAsia" w:ascii="宋体" w:hAnsi="宋体" w:cs="宋体"/>
          <w:bCs/>
          <w:sz w:val="24"/>
          <w:highlight w:val="none"/>
        </w:rPr>
        <w:t>资产净值5%的现金或者到期日在一年以内的国债、中央银行票据和政策性金融债券。</w:t>
      </w:r>
    </w:p>
    <w:p>
      <w:pPr>
        <w:numPr>
          <w:ilvl w:val="0"/>
          <w:numId w:val="26"/>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在开放日前一工作日内，本理财计划7个工作日可变现资产的可变现价值应当不低于该理财计划资产净值的10%。</w:t>
      </w:r>
    </w:p>
    <w:p>
      <w:pPr>
        <w:numPr>
          <w:ilvl w:val="0"/>
          <w:numId w:val="26"/>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本理财计划如定期开放周期低于90天，计划投资不存在活跃交易市场，并且需要采用估值技术确定公允价值的资产比例不得超过理财产品净资产50%以上。</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numPr>
          <w:ilvl w:val="0"/>
          <w:numId w:val="21"/>
        </w:numPr>
        <w:spacing w:line="360" w:lineRule="auto"/>
        <w:ind w:left="0" w:leftChars="0" w:firstLine="482" w:firstLineChars="200"/>
        <w:jc w:val="left"/>
        <w:outlineLvl w:val="2"/>
        <w:rPr>
          <w:rFonts w:hint="eastAsia" w:ascii="宋体" w:hAnsi="宋体" w:cs="宋体"/>
          <w:b/>
          <w:bCs w:val="0"/>
          <w:sz w:val="24"/>
          <w:highlight w:val="none"/>
        </w:rPr>
      </w:pPr>
      <w:r>
        <w:rPr>
          <w:rFonts w:hint="eastAsia" w:ascii="宋体" w:hAnsi="宋体" w:cs="宋体"/>
          <w:b/>
          <w:bCs w:val="0"/>
          <w:sz w:val="24"/>
          <w:highlight w:val="none"/>
          <w:lang w:eastAsia="zh-CN"/>
        </w:rPr>
        <w:t>拟投资市场、资产的流动性风险评估</w:t>
      </w:r>
    </w:p>
    <w:p>
      <w:pPr>
        <w:numPr>
          <w:ilvl w:val="0"/>
          <w:numId w:val="0"/>
        </w:num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eastAsia="zh-CN"/>
        </w:rPr>
        <w:t>本理财计划</w:t>
      </w:r>
      <w:r>
        <w:rPr>
          <w:rFonts w:hint="eastAsia" w:ascii="宋体" w:hAnsi="宋体" w:cs="宋体"/>
          <w:b w:val="0"/>
          <w:bCs/>
          <w:sz w:val="24"/>
          <w:highlight w:val="none"/>
          <w:lang w:val="en-US" w:eastAsia="zh-CN"/>
        </w:rPr>
        <w:t>拟投资市场可能面临的流动性风险如下：</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投资于</w:t>
      </w:r>
      <w:r>
        <w:rPr>
          <w:rFonts w:hint="eastAsia" w:ascii="宋体" w:hAnsi="宋体" w:cs="宋体"/>
          <w:bCs/>
          <w:sz w:val="24"/>
          <w:highlight w:val="none"/>
          <w:lang w:val="en-US" w:eastAsia="zh-CN"/>
        </w:rPr>
        <w:t>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投资于权益类</w:t>
      </w:r>
      <w:r>
        <w:rPr>
          <w:rFonts w:hint="eastAsia" w:ascii="宋体" w:hAnsi="宋体" w:cs="宋体"/>
          <w:bCs/>
          <w:lang w:eastAsia="zh-CN"/>
        </w:rPr>
        <w:t>、</w:t>
      </w:r>
      <w:r>
        <w:rPr>
          <w:rFonts w:hint="eastAsia" w:ascii="宋体" w:hAnsi="宋体" w:cs="宋体"/>
          <w:bCs/>
          <w:lang w:val="en-US" w:eastAsia="zh-CN"/>
        </w:rPr>
        <w:t>其他类</w:t>
      </w:r>
      <w:r>
        <w:rPr>
          <w:rFonts w:hint="eastAsia" w:ascii="宋体" w:hAnsi="宋体" w:cs="宋体"/>
          <w:bCs/>
          <w:sz w:val="24"/>
          <w:highlight w:val="none"/>
          <w:lang w:val="en-US" w:eastAsia="zh-CN"/>
        </w:rPr>
        <w:t>资产的可能流动性风险（如有）：权益类</w:t>
      </w:r>
      <w:r>
        <w:rPr>
          <w:rFonts w:hint="eastAsia" w:ascii="宋体" w:hAnsi="宋体" w:cs="宋体"/>
          <w:bCs/>
          <w:lang w:eastAsia="zh-CN"/>
        </w:rPr>
        <w:t>、</w:t>
      </w:r>
      <w:r>
        <w:rPr>
          <w:rFonts w:hint="eastAsia" w:ascii="宋体" w:hAnsi="宋体" w:cs="宋体"/>
          <w:bCs/>
          <w:lang w:val="en-US" w:eastAsia="zh-CN"/>
        </w:rPr>
        <w:t>其他类</w:t>
      </w:r>
      <w:r>
        <w:rPr>
          <w:rFonts w:hint="eastAsia" w:ascii="宋体" w:hAnsi="宋体" w:cs="宋体"/>
          <w:bCs/>
          <w:sz w:val="24"/>
          <w:highlight w:val="none"/>
          <w:lang w:val="en-US" w:eastAsia="zh-CN"/>
        </w:rPr>
        <w:t>资产包括但不限于上市公司普通股、上市公司优先股、股票基金、股票定向增发等，受国家政策、经济周期、利率、汇率、股票发行人经营情况</w:t>
      </w:r>
      <w:r>
        <w:rPr>
          <w:rFonts w:hint="eastAsia" w:ascii="宋体" w:hAnsi="宋体" w:cs="宋体"/>
          <w:bCs/>
          <w:lang w:eastAsia="zh-CN"/>
        </w:rPr>
        <w:t>、</w:t>
      </w:r>
      <w:r>
        <w:rPr>
          <w:rFonts w:hint="eastAsia" w:ascii="宋体" w:hAnsi="宋体" w:cs="宋体"/>
          <w:bCs/>
          <w:lang w:val="en-US" w:eastAsia="zh-CN"/>
        </w:rPr>
        <w:t>大宗商品</w:t>
      </w:r>
      <w:r>
        <w:rPr>
          <w:rFonts w:hint="eastAsia" w:ascii="宋体" w:hAnsi="宋体" w:cs="宋体"/>
          <w:bCs/>
          <w:sz w:val="24"/>
          <w:highlight w:val="none"/>
          <w:lang w:val="en-US" w:eastAsia="zh-CN"/>
        </w:rPr>
        <w:t>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以上风险仅为列举性质，未能详尽列明拟投资市场和资产面临的全部流动性风险</w:t>
      </w:r>
      <w:r>
        <w:rPr>
          <w:rFonts w:hint="default" w:ascii="宋体" w:hAnsi="宋体" w:cs="宋体"/>
          <w:bCs/>
          <w:sz w:val="24"/>
          <w:highlight w:val="none"/>
          <w:lang w:val="en-US" w:eastAsia="zh-CN"/>
        </w:rPr>
        <w:t>可能导致投资者投资本金及收益损失</w:t>
      </w:r>
      <w:r>
        <w:rPr>
          <w:rFonts w:hint="eastAsia" w:ascii="宋体" w:hAnsi="宋体" w:cs="宋体"/>
          <w:bCs/>
          <w:sz w:val="24"/>
          <w:highlight w:val="none"/>
          <w:lang w:val="en-US" w:eastAsia="zh-CN"/>
        </w:rPr>
        <w:t>或延期兑付</w:t>
      </w:r>
      <w:r>
        <w:rPr>
          <w:rFonts w:hint="default" w:ascii="宋体" w:hAnsi="宋体" w:cs="宋体"/>
          <w:bCs/>
          <w:sz w:val="24"/>
          <w:highlight w:val="none"/>
          <w:lang w:val="en-US" w:eastAsia="zh-CN"/>
        </w:rPr>
        <w:t>的所有因素</w:t>
      </w:r>
      <w:r>
        <w:rPr>
          <w:rFonts w:hint="eastAsia" w:ascii="宋体" w:hAnsi="宋体" w:cs="宋体"/>
          <w:bCs/>
          <w:sz w:val="24"/>
          <w:highlight w:val="none"/>
          <w:lang w:val="en-US" w:eastAsia="zh-CN"/>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3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11"/>
        <w:tblW w:w="8263"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6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托管人名称</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托管人住所</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托管人职责</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主要提供包括账户开立、资金保管、资金结算、估值核对等理财产品托管服务。</w:t>
            </w:r>
          </w:p>
        </w:tc>
      </w:tr>
    </w:tbl>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销售机构</w:t>
      </w:r>
    </w:p>
    <w:tbl>
      <w:tblPr>
        <w:tblStyle w:val="11"/>
        <w:tblW w:w="8306"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688"/>
        <w:gridCol w:w="1325"/>
        <w:gridCol w:w="3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restart"/>
            <w:noWrap w:val="0"/>
            <w:vAlign w:val="center"/>
          </w:tcPr>
          <w:p>
            <w:pPr>
              <w:spacing w:line="24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销售机构</w:t>
            </w:r>
            <w:r>
              <w:rPr>
                <w:rFonts w:hint="eastAsia" w:ascii="宋体" w:hAnsi="宋体" w:eastAsia="宋体" w:cs="宋体"/>
                <w:bCs/>
                <w:sz w:val="21"/>
                <w:szCs w:val="21"/>
                <w:highlight w:val="none"/>
                <w:lang w:val="en-US" w:eastAsia="zh-CN"/>
              </w:rPr>
              <w:t>信息</w:t>
            </w: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cs="宋体"/>
                <w:bCs/>
                <w:sz w:val="21"/>
                <w:szCs w:val="18"/>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兴业银行股份有限公司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福建省福州市台江区江滨中大道398号兴业银行大厦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江苏省南京市中华路26号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厦门市思明区湖滨北路101号商业银行大厦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400-858-8888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厦门国际银行股份有限公司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厦门市思明区鹭江道8-10号国际银行大厦1-6层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400-1623-623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富邦华一银行有限公司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中国(上海)自由贸易试验区世纪大道1168号A座101室、18楼、19楼及20楼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8621—962811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宁波鄞州农村商业银行股份有限公司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浙江省宁波市鄞州区民惠西路88号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深圳前海微众银行股份有限公司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广东省深圳市南山区沙河西路1819号深圳湾科技生态园7栋A座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吉林亿联银行股份有限公司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吉林省长春市南关区人民大街10606号东北亚国际金融中心一期北楼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重庆富民银行股份有限公司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重庆市渝北区财富东路2号涉外商务区一期B1栋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4008－108－999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中信百信银行股份有限公司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北京市朝阳区安定路5号院3号楼8层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aps w:val="0"/>
                <w:color w:val="000000"/>
                <w:spacing w:val="0"/>
                <w:kern w:val="0"/>
                <w:sz w:val="21"/>
                <w:szCs w:val="21"/>
                <w:lang w:bidi="ar"/>
              </w:rPr>
              <w:t>江苏苏商银行股份有限公司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南京市建邺区庐山路248号4号楼7、8、9、27、28、29层，4号楼裙楼第1、2层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aps w:val="0"/>
                <w:color w:val="000000"/>
                <w:spacing w:val="0"/>
                <w:kern w:val="0"/>
                <w:sz w:val="21"/>
                <w:szCs w:val="21"/>
                <w:lang w:bidi="ar"/>
              </w:rPr>
              <w:t>956101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石嘴山银行股份有限公司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宁夏回族自治区石嘴山市大武口区朝阳西街39号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0951-96789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北京市朝阳区光华路10号院1号楼6-30层、32-42层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齐鲁银行股份有限公司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山东省济南市历下区经十路10817号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400-609-6588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广东南粤银行股份有限公司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湛江经济技术开发区乐山路27号财富汇金融中心1层01、02号商铺、2层01号商铺、3层01号商铺、39-45层办公室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4000-961818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东莞银行股份有限公司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东莞市莞城区体育路21号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日照银行股份有限公司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日照市烟台路197号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400-68-96588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苏州银行股份有限公司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江苏省苏州工业园区钟园路728号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杭银理财有限责任公司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澳门国际银行股份有限公司广州分行</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广州市天河区珠江新城华夏路8号合景国际金融广场1层104房、34层3401房、35层3501房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020-28089999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江苏常熟农村商业银行股份有限公司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江苏省常熟市新世纪大道58号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浙商银行股份有限公司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浙江省杭州市萧山区鸿宁路1788号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九江银行股份有限公司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江西省九江市濂溪区长虹大道619号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北京市西城区月坛南街1号院2号楼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浙江舟山定海海洋农村商业银行股份有限公司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浙江省舟山市定海区环城东路81号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0580-2030956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浙江临安农村商业银行股份有限公司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浙江省杭州市临安区钱王街821号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0571-61105831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浙江青田农村商业银行股份有限公司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浙江省丽水市青田县鹤城街道鹤城东路180号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0578-6833720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南洋商业银行（中国）有限公司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上海市浦明路898号13层至16层、18层至20层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中邮邮惠万家银行有限责任公司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上海市虹口区东大名路1080号25层、26层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40011-88888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温州银行股份有限公司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浙江省温州市鹿城区会展路1316号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0577-96699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浙江新昌农村商业银行股份有限公司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浙江省新昌县七星街道七星路18号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浙江省永嘉县瓯北镇阳光大道3918号永嘉农商银行总行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4008057705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浙江永康农村商业银行股份有限公司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浙江省永康市九铃东路3259号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绍兴银行股份有限公司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浙江省绍兴市越城区中兴南路1号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4000896528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浙江衢州衢江农村商业银行股份有限公司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浙江省衢州市衢江区信安东路37号衢江农商银行6楼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0570-3026608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新韩银行（中国）有限公司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北京市朝阳区工体北路甲6号中宇大厦12层，11层1101，1102及1109单元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400 6688 600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浙江开化县芹阳办事处永吉二路8号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0570-6025125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秦皇岛银行股份有限公司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河北省秦皇岛市海港区河北大街西段560号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0335-96336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潍坊银行股份有限公司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山东省潍坊市胜利东街5139号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400-61-96588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浙江江山农村商业银行股份有限公司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浙江省江山市江滨路188号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浙江常山农村商业银行股份有限公司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浙江省衢州市常山县紫港街道文教东路258号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浙江武义农村商业银行股份有限公司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浙江省金华市武义县武阳中路37号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0579-87663486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noWrap w:val="0"/>
            <w:vAlign w:val="center"/>
          </w:tcPr>
          <w:p>
            <w:pPr>
              <w:spacing w:line="240" w:lineRule="auto"/>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销售机构职责</w:t>
            </w:r>
          </w:p>
        </w:tc>
        <w:tc>
          <w:tcPr>
            <w:tcW w:w="6888" w:type="dxa"/>
            <w:gridSpan w:val="3"/>
            <w:noWrap w:val="0"/>
            <w:vAlign w:val="center"/>
          </w:tcPr>
          <w:p>
            <w:pPr>
              <w:spacing w:line="240" w:lineRule="auto"/>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主要负责理财计划推广、投资者风险承受能力评估、投资者适当性管理、理财计划份额认购、申购及赎回办理。</w:t>
            </w:r>
            <w:r>
              <w:rPr>
                <w:rFonts w:hint="eastAsia" w:ascii="宋体" w:hAnsi="宋体" w:eastAsia="宋体" w:cs="宋体"/>
                <w:bCs/>
                <w:sz w:val="21"/>
                <w:szCs w:val="21"/>
                <w:highlight w:val="none"/>
              </w:rPr>
              <w:br w:type="textWrapping"/>
            </w:r>
            <w:r>
              <w:rPr>
                <w:rFonts w:hint="eastAsia" w:ascii="宋体" w:hAnsi="宋体" w:eastAsia="宋体" w:cs="宋体"/>
                <w:bCs/>
                <w:sz w:val="21"/>
                <w:szCs w:val="21"/>
                <w:highlight w:val="none"/>
              </w:rPr>
              <w:t>协助管理人负责与投资者签订理财计划合同、与投资者沟通及进行信息披露、接受投资者咨询和客户维护等销售服务。</w:t>
            </w:r>
          </w:p>
        </w:tc>
      </w:tr>
    </w:tbl>
    <w:p>
      <w:pPr>
        <w:spacing w:line="360" w:lineRule="auto"/>
        <w:ind w:firstLine="480" w:firstLineChars="200"/>
        <w:rPr>
          <w:rFonts w:hint="eastAsia" w:ascii="宋体" w:hAnsi="宋体" w:cs="宋体"/>
          <w:b/>
          <w:color w:val="auto"/>
          <w:sz w:val="24"/>
          <w:highlight w:val="none"/>
        </w:rPr>
      </w:pPr>
      <w:r>
        <w:rPr>
          <w:rFonts w:hint="eastAsia" w:ascii="宋体" w:hAnsi="宋体" w:cs="宋体"/>
          <w:bCs/>
          <w:color w:val="000000"/>
          <w:sz w:val="24"/>
          <w:highlight w:val="none"/>
        </w:rPr>
        <w:t>本理财计划后续如新增/减少销售机构或销售机构信息变更，请以管理人最新公告或官方网站展示为准</w:t>
      </w:r>
      <w:r>
        <w:rPr>
          <w:rFonts w:hint="eastAsia" w:ascii="宋体" w:hAnsi="宋体" w:cs="宋体"/>
          <w:bCs/>
          <w:color w:val="auto"/>
          <w:sz w:val="24"/>
          <w:highlight w:val="none"/>
        </w:rPr>
        <w:t>。</w:t>
      </w:r>
    </w:p>
    <w:p>
      <w:pPr>
        <w:spacing w:line="360" w:lineRule="auto"/>
        <w:jc w:val="left"/>
        <w:rPr>
          <w:rFonts w:ascii="宋体" w:hAnsi="宋体" w:cs="宋体"/>
          <w:bCs/>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eastAsia="zh-CN"/>
        </w:rPr>
        <w:t>工作日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货币市场工具类资产</w:t>
      </w:r>
    </w:p>
    <w:p>
      <w:pPr>
        <w:pStyle w:val="18"/>
        <w:adjustRightInd/>
        <w:spacing w:line="360" w:lineRule="auto"/>
        <w:ind w:firstLine="480" w:firstLineChars="200"/>
        <w:rPr>
          <w:rFonts w:hint="eastAsia" w:ascii="宋体" w:hAnsi="宋体" w:eastAsia="宋体" w:cs="宋体"/>
          <w:bCs/>
          <w:kern w:val="2"/>
          <w:highlight w:val="none"/>
          <w:lang w:eastAsia="zh-CN"/>
        </w:rPr>
      </w:pPr>
      <w:r>
        <w:rPr>
          <w:rFonts w:hint="eastAsia" w:ascii="宋体" w:hAnsi="宋体" w:cs="宋体"/>
          <w:bCs/>
          <w:kern w:val="2"/>
          <w:highlight w:val="none"/>
          <w:lang w:eastAsia="zh-CN"/>
        </w:rPr>
        <w:t>银行存款</w:t>
      </w:r>
      <w:r>
        <w:rPr>
          <w:rFonts w:hint="eastAsia" w:ascii="宋体" w:hAnsi="宋体" w:cs="宋体"/>
          <w:bCs/>
          <w:kern w:val="2"/>
          <w:highlight w:val="none"/>
        </w:rPr>
        <w:t>及回购，以本金列示，按商定利率在实际持有期间内逐日计提利息。</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债券</w:t>
      </w:r>
      <w:r>
        <w:rPr>
          <w:rFonts w:hint="eastAsia" w:ascii="宋体" w:hAnsi="宋体" w:cs="宋体"/>
          <w:bCs/>
          <w:color w:val="000000"/>
          <w:sz w:val="24"/>
          <w:highlight w:val="none"/>
          <w:lang w:eastAsia="zh-CN"/>
        </w:rPr>
        <w:t>及同业存单类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rPr>
        <w:t>债券及同业存单类资产，按市价法估值。市价法不能确定公允价值的，采用估值技术进行估值。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债权类</w:t>
      </w:r>
      <w:r>
        <w:rPr>
          <w:rFonts w:hint="eastAsia" w:ascii="宋体" w:hAnsi="宋体" w:cs="宋体"/>
          <w:bCs/>
          <w:color w:val="000000"/>
          <w:sz w:val="24"/>
          <w:highlight w:val="none"/>
        </w:rPr>
        <w:t>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债权类资产，按市价法估值。市价法不能确定其公允价值的，采用估值技术进行估值。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股权类</w:t>
      </w:r>
      <w:r>
        <w:rPr>
          <w:rFonts w:hint="eastAsia" w:ascii="宋体" w:hAnsi="宋体" w:cs="宋体"/>
          <w:bCs/>
          <w:color w:val="000000"/>
          <w:sz w:val="24"/>
          <w:highlight w:val="none"/>
        </w:rPr>
        <w:t>资产</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上</w:t>
      </w:r>
      <w:r>
        <w:rPr>
          <w:rFonts w:hint="eastAsia" w:ascii="宋体" w:hAnsi="宋体" w:cs="宋体"/>
          <w:bCs/>
          <w:color w:val="000000"/>
          <w:sz w:val="24"/>
          <w:highlight w:val="none"/>
        </w:rPr>
        <w:t>市流通股票按估值日其所在证券交易所的收盘价估值；估值日无交易，且最近交易日后未发生影响公允价值计量的重大事件的，以最近交易日的收盘价估值。</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未上市股票的估值：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lang w:val="en-US" w:eastAsia="zh-CN"/>
        </w:rPr>
        <w:t>1）</w:t>
      </w:r>
      <w:r>
        <w:rPr>
          <w:rFonts w:hint="eastAsia" w:ascii="宋体" w:hAnsi="宋体"/>
          <w:sz w:val="24"/>
          <w:highlight w:val="none"/>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首次发行未上市的股票，按发行价格进行估值；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因持有股票而享有的配股权，采用估值技术确定公允价值。</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非上市股权的估值：</w:t>
      </w:r>
    </w:p>
    <w:p>
      <w:pPr>
        <w:numPr>
          <w:ilvl w:val="0"/>
          <w:numId w:val="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基金、资产管理计划类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8"/>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8"/>
        <w:spacing w:line="360" w:lineRule="auto"/>
        <w:ind w:firstLine="480" w:firstLineChars="200"/>
        <w:rPr>
          <w:rFonts w:hint="eastAsia" w:ascii="宋体" w:hAnsi="宋体" w:cs="宋体"/>
          <w:bCs/>
          <w:color w:val="000000"/>
          <w:sz w:val="24"/>
          <w:highlight w:val="none"/>
        </w:rPr>
      </w:pPr>
      <w:r>
        <w:rPr>
          <w:rFonts w:hint="eastAsia" w:ascii="宋体" w:hAnsi="宋体" w:cs="宋体"/>
          <w:bCs/>
          <w:kern w:val="2"/>
          <w:highlight w:val="none"/>
          <w:lang w:eastAsia="zh-CN"/>
        </w:rPr>
        <w:t>以</w:t>
      </w:r>
      <w:r>
        <w:rPr>
          <w:rFonts w:hint="eastAsia" w:ascii="宋体" w:hAnsi="宋体" w:cs="宋体"/>
          <w:bCs/>
          <w:color w:val="000000"/>
          <w:sz w:val="24"/>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8"/>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w:t>
      </w:r>
      <w:r>
        <w:rPr>
          <w:rFonts w:hint="eastAsia" w:ascii="宋体" w:hAnsi="宋体" w:cs="宋体"/>
          <w:bCs/>
          <w:kern w:val="2"/>
          <w:highlight w:val="none"/>
          <w:lang w:eastAsia="zh-CN"/>
        </w:rPr>
        <w:t>按最能反映公允价值的价格估值，</w:t>
      </w:r>
      <w:r>
        <w:rPr>
          <w:rFonts w:hint="eastAsia" w:ascii="宋体" w:hAnsi="宋体" w:cs="宋体"/>
          <w:bCs/>
          <w:kern w:val="2"/>
          <w:highlight w:val="none"/>
        </w:rPr>
        <w:t>并自协商一致日后执行。</w:t>
      </w:r>
    </w:p>
    <w:p>
      <w:pPr>
        <w:pStyle w:val="18"/>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w:t>
      </w:r>
      <w:r>
        <w:rPr>
          <w:rFonts w:hint="eastAsia" w:ascii="宋体" w:hAnsi="宋体" w:cs="宋体"/>
          <w:bCs/>
          <w:color w:val="000000"/>
          <w:sz w:val="24"/>
          <w:highlight w:val="none"/>
          <w:lang w:eastAsia="zh-CN"/>
        </w:rPr>
        <w:t>提前到上</w:t>
      </w:r>
      <w:r>
        <w:rPr>
          <w:rFonts w:hint="eastAsia" w:ascii="宋体" w:hAnsi="宋体" w:cs="宋体"/>
          <w:bCs/>
          <w:color w:val="000000"/>
          <w:sz w:val="24"/>
          <w:highlight w:val="none"/>
        </w:rPr>
        <w:t>一交易日。</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当</w:t>
      </w:r>
      <w:r>
        <w:rPr>
          <w:rFonts w:hint="eastAsia" w:ascii="宋体" w:hAnsi="宋体" w:cs="宋体"/>
          <w:bCs/>
          <w:color w:val="000000"/>
          <w:sz w:val="24"/>
          <w:highlight w:val="none"/>
          <w:lang w:val="en-US" w:eastAsia="zh-CN"/>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sz w:val="24"/>
          <w:highlight w:val="none"/>
        </w:rPr>
        <w:t>延缓支付赎回款项或暂停接受理财</w:t>
      </w:r>
      <w:r>
        <w:rPr>
          <w:rFonts w:hint="eastAsia" w:ascii="宋体" w:hAnsi="宋体" w:cs="宋体"/>
          <w:bCs/>
          <w:color w:val="000000"/>
          <w:sz w:val="24"/>
          <w:highlight w:val="none"/>
          <w:lang w:eastAsia="zh-CN"/>
        </w:rPr>
        <w:t>计划</w:t>
      </w:r>
      <w:r>
        <w:rPr>
          <w:rFonts w:hint="eastAsia" w:ascii="宋体" w:hAnsi="宋体" w:cs="宋体"/>
          <w:bCs/>
          <w:color w:val="000000"/>
          <w:sz w:val="24"/>
          <w:highlight w:val="none"/>
        </w:rPr>
        <w:t>认购、赎回申请等</w:t>
      </w:r>
      <w:r>
        <w:rPr>
          <w:rFonts w:hint="eastAsia" w:ascii="宋体" w:hAnsi="宋体" w:cs="宋体"/>
          <w:bCs/>
          <w:color w:val="000000"/>
          <w:sz w:val="24"/>
          <w:highlight w:val="none"/>
          <w:lang w:val="en-US" w:eastAsia="zh-CN"/>
        </w:rPr>
        <w:t>措施。</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3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涉及</w:t>
      </w:r>
      <w:r>
        <w:rPr>
          <w:rFonts w:hint="eastAsia" w:ascii="宋体" w:hAnsi="宋体" w:cs="宋体"/>
          <w:bCs/>
          <w:color w:val="000000"/>
          <w:sz w:val="24"/>
          <w:highlight w:val="none"/>
        </w:rPr>
        <w:t>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3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default" w:ascii="宋体" w:hAnsi="宋体" w:cs="宋体"/>
          <w:bCs/>
          <w:color w:val="000000"/>
          <w:sz w:val="24"/>
          <w:highlight w:val="none"/>
          <w:lang w:val="en-US"/>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B份额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0.25</w:t>
      </w:r>
      <w:r>
        <w:rPr>
          <w:rFonts w:hint="eastAsia" w:ascii="宋体" w:hAnsi="宋体" w:cs="宋体"/>
          <w:bCs/>
          <w:color w:val="000000"/>
          <w:sz w:val="24"/>
          <w:highlight w:val="none"/>
        </w:rPr>
        <w:t>%</w:t>
      </w:r>
      <w:r>
        <w:rPr>
          <w:rFonts w:hint="eastAsia" w:ascii="宋体" w:hAnsi="宋体" w:cs="宋体"/>
          <w:szCs w:val="21"/>
          <w:highlight w:val="none"/>
        </w:rPr>
        <w:t>〗</w:t>
      </w:r>
      <w:r>
        <w:rPr>
          <w:rFonts w:hint="default" w:ascii="宋体" w:hAnsi="宋体" w:cs="宋体"/>
          <w:szCs w:val="21"/>
          <w:highlight w:val="none"/>
          <w:lang w:val="en-US"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C份额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lang w:eastAsia="zh-CN"/>
        </w:rPr>
        <w:t>销售服务费</w:t>
      </w:r>
      <w:r>
        <w:rPr>
          <w:rFonts w:hint="eastAsia" w:ascii="宋体" w:hAnsi="宋体" w:cs="宋体"/>
          <w:bCs/>
          <w:color w:val="auto"/>
          <w:sz w:val="24"/>
          <w:highlight w:val="none"/>
        </w:rPr>
        <w:t>原则上按日计提。</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托管费原则上按日计提。</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B份额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C份额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val="en-US" w:eastAsia="zh-CN"/>
        </w:rPr>
        <w:t>固定</w:t>
      </w:r>
      <w:r>
        <w:rPr>
          <w:rFonts w:hint="eastAsia" w:ascii="宋体" w:hAnsi="宋体" w:cs="宋体"/>
          <w:bCs/>
          <w:color w:val="000000"/>
          <w:sz w:val="24"/>
          <w:highlight w:val="none"/>
        </w:rPr>
        <w:t>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固定管理费原则上按日计提</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eastAsia="zh-CN"/>
        </w:rPr>
        <w:t>如理财计划实际运作结果不达业绩比较基准下限时，管理人有权减免固定管理费。</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3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3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3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理财管理人根据理财计划投资情况计算浮动管理费，本理财计划</w:t>
      </w:r>
      <w:r>
        <w:rPr>
          <w:rFonts w:hint="eastAsia" w:ascii="宋体" w:hAnsi="宋体" w:cs="宋体"/>
          <w:bCs/>
          <w:color w:val="000000"/>
          <w:sz w:val="24"/>
          <w:highlight w:val="none"/>
          <w:lang w:val="en-US" w:eastAsia="zh-CN"/>
        </w:rPr>
        <w:t>份额</w:t>
      </w:r>
      <w:r>
        <w:rPr>
          <w:rFonts w:hint="eastAsia" w:ascii="宋体" w:hAnsi="宋体" w:cs="宋体"/>
          <w:bCs/>
          <w:color w:val="000000"/>
          <w:sz w:val="24"/>
          <w:highlight w:val="none"/>
        </w:rPr>
        <w:t>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折合年化收益率超过</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的部分管理人提取</w:t>
      </w:r>
      <w:r>
        <w:rPr>
          <w:rFonts w:hint="eastAsia" w:ascii="宋体" w:hAnsi="宋体" w:cs="宋体"/>
          <w:szCs w:val="21"/>
          <w:highlight w:val="none"/>
        </w:rPr>
        <w:t>〖</w:t>
      </w:r>
      <w:r>
        <w:rPr>
          <w:rFonts w:hint="eastAsia" w:ascii="宋体" w:hAnsi="宋体" w:cs="宋体"/>
          <w:szCs w:val="21"/>
          <w:highlight w:val="none"/>
          <w:lang w:val="en-US" w:eastAsia="zh-CN"/>
        </w:rPr>
        <w:t>50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作为浮动管理费，每个投资周期结束后收取。本理财计划</w:t>
      </w:r>
      <w:r>
        <w:rPr>
          <w:rFonts w:hint="eastAsia" w:ascii="宋体" w:hAnsi="宋体" w:cs="宋体"/>
          <w:bCs/>
          <w:color w:val="000000"/>
          <w:sz w:val="24"/>
          <w:highlight w:val="none"/>
          <w:lang w:val="en-US" w:eastAsia="zh-CN"/>
        </w:rPr>
        <w:t>份额</w:t>
      </w:r>
      <w:r>
        <w:rPr>
          <w:rFonts w:hint="eastAsia" w:ascii="宋体" w:hAnsi="宋体" w:cs="宋体"/>
          <w:bCs/>
          <w:color w:val="000000"/>
          <w:sz w:val="24"/>
          <w:highlight w:val="none"/>
        </w:rPr>
        <w:t>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折合年化收益率若小于或等于</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则不收取浮动管理费。</w:t>
      </w:r>
      <w:r>
        <w:rPr>
          <w:rFonts w:hint="eastAsia" w:ascii="宋体" w:hAnsi="宋体" w:cs="宋体"/>
          <w:bCs/>
          <w:color w:val="000000"/>
          <w:sz w:val="24"/>
          <w:highlight w:val="none"/>
          <w:lang w:eastAsia="zh-CN"/>
        </w:rPr>
        <w:t>浮动管理费原则上按估值日计提，</w:t>
      </w:r>
      <w:r>
        <w:rPr>
          <w:rFonts w:hint="eastAsia" w:ascii="宋体" w:hAnsi="宋体" w:cs="宋体"/>
          <w:bCs/>
          <w:color w:val="000000"/>
          <w:sz w:val="24"/>
          <w:highlight w:val="none"/>
          <w:lang w:val="en-US" w:eastAsia="zh-CN"/>
        </w:rPr>
        <w:t>每个投资周期结束后</w:t>
      </w:r>
      <w:r>
        <w:rPr>
          <w:rFonts w:hint="eastAsia" w:ascii="宋体" w:hAnsi="宋体" w:cs="宋体"/>
          <w:bCs/>
          <w:color w:val="000000"/>
          <w:sz w:val="24"/>
          <w:highlight w:val="none"/>
          <w:lang w:eastAsia="zh-CN"/>
        </w:rPr>
        <w:t>收取。以</w:t>
      </w:r>
      <w:r>
        <w:rPr>
          <w:rFonts w:hint="eastAsia" w:ascii="宋体" w:hAnsi="宋体" w:cs="宋体"/>
          <w:sz w:val="24"/>
          <w:szCs w:val="24"/>
          <w:highlight w:val="none"/>
        </w:rPr>
        <w:t>〖</w:t>
      </w:r>
      <w:r>
        <w:rPr>
          <w:rFonts w:hint="eastAsia" w:ascii="宋体" w:hAnsi="宋体" w:cs="宋体"/>
          <w:sz w:val="24"/>
          <w:szCs w:val="24"/>
          <w:highlight w:val="none"/>
          <w:lang w:val="en-US" w:eastAsia="zh-CN"/>
        </w:rPr>
        <w:t>A</w:t>
      </w:r>
      <w:r>
        <w:rPr>
          <w:rFonts w:hint="eastAsia" w:ascii="宋体" w:hAnsi="宋体" w:cs="宋体"/>
          <w:color w:val="000000"/>
          <w:sz w:val="24"/>
          <w:szCs w:val="24"/>
          <w:highlight w:val="none"/>
          <w:lang w:val="en-US" w:eastAsia="zh-CN"/>
        </w:rPr>
        <w:t>份额</w:t>
      </w:r>
      <w:r>
        <w:rPr>
          <w:rFonts w:hint="eastAsia" w:ascii="宋体" w:hAnsi="宋体" w:cs="宋体"/>
          <w:sz w:val="24"/>
          <w:szCs w:val="24"/>
          <w:highlight w:val="none"/>
        </w:rPr>
        <w:t>〗</w:t>
      </w:r>
      <w:r>
        <w:rPr>
          <w:rFonts w:hint="eastAsia" w:ascii="宋体" w:hAnsi="宋体" w:cs="宋体"/>
          <w:sz w:val="24"/>
          <w:szCs w:val="24"/>
          <w:highlight w:val="none"/>
          <w:lang w:eastAsia="zh-CN"/>
        </w:rPr>
        <w:t>为例，</w:t>
      </w:r>
      <w:r>
        <w:rPr>
          <w:rFonts w:hint="eastAsia" w:ascii="宋体" w:hAnsi="宋体" w:cs="宋体"/>
          <w:bCs/>
          <w:color w:val="000000"/>
          <w:sz w:val="24"/>
          <w:highlight w:val="none"/>
        </w:rPr>
        <w:t>具体计算方法如下：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H＝E×NAV0×(K-R)×〖</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当前确认日应收取浮动管理费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上一个确认日的存续份额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NAV0为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上一个确认日前一日费后单位净值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NAV1为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当前确认日前一日未扣除浮动管理费前的单位净值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R为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本次投资周期的业绩比较</w:t>
      </w:r>
      <w:r>
        <w:rPr>
          <w:rFonts w:hint="eastAsia" w:ascii="宋体" w:hAnsi="宋体" w:cs="宋体"/>
          <w:bCs/>
          <w:color w:val="000000"/>
          <w:sz w:val="24"/>
          <w:highlight w:val="none"/>
          <w:lang w:val="en-US" w:eastAsia="zh-CN"/>
        </w:rPr>
        <w:t>基准</w:t>
      </w:r>
      <w:r>
        <w:rPr>
          <w:rFonts w:hint="eastAsia" w:ascii="宋体" w:hAnsi="宋体" w:cs="宋体"/>
          <w:bCs/>
          <w:color w:val="000000"/>
          <w:sz w:val="24"/>
          <w:highlight w:val="none"/>
        </w:rPr>
        <w:t>上限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上一个确认日（含）至当前确认日（不含）的实际理财天数</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auto"/>
          <w:sz w:val="24"/>
          <w:highlight w:val="none"/>
        </w:rPr>
        <w:t>T为</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A份额</w:t>
      </w:r>
      <w:r>
        <w:rPr>
          <w:rFonts w:hint="eastAsia" w:ascii="宋体" w:hAnsi="宋体" w:cs="宋体"/>
          <w:bCs/>
          <w:color w:val="auto"/>
          <w:sz w:val="24"/>
          <w:highlight w:val="none"/>
        </w:rPr>
        <w:t>〗</w:t>
      </w:r>
      <w:r>
        <w:rPr>
          <w:rFonts w:hint="eastAsia" w:ascii="宋体" w:hAnsi="宋体" w:cs="宋体"/>
          <w:bCs/>
          <w:color w:val="auto"/>
          <w:sz w:val="24"/>
          <w:highlight w:val="none"/>
        </w:rPr>
        <w:t>当</w:t>
      </w:r>
      <w:r>
        <w:rPr>
          <w:rFonts w:hint="eastAsia" w:ascii="宋体" w:hAnsi="宋体" w:cs="宋体"/>
          <w:bCs/>
          <w:color w:val="000000"/>
          <w:sz w:val="24"/>
          <w:highlight w:val="none"/>
        </w:rPr>
        <w:t>前投资周期内每单位份额的实际分红金额的合计（如有）</w:t>
      </w:r>
    </w:p>
    <w:p>
      <w:pPr>
        <w:numPr>
          <w:ilvl w:val="0"/>
          <w:numId w:val="40"/>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4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43"/>
        </w:numPr>
        <w:spacing w:line="360" w:lineRule="auto"/>
        <w:ind w:firstLine="480" w:firstLineChars="200"/>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43"/>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43"/>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4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投资者理财收益＝赎回份额×赎回确认日（提前终止日）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单位净值-认购或申购金额+</w:t>
      </w:r>
      <w:r>
        <w:rPr>
          <w:rFonts w:hint="eastAsia" w:ascii="宋体" w:hAnsi="宋体" w:cs="宋体"/>
          <w:bCs/>
          <w:sz w:val="24"/>
          <w:highlight w:val="none"/>
        </w:rPr>
        <w:t>份额持有期间累计分红（如有）</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份额=认购或申购金额/认购或申购确认日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赎回确认日（提前终止日）</w:t>
      </w:r>
      <w:r>
        <w:rPr>
          <w:rFonts w:hint="eastAsia" w:ascii="宋体" w:hAnsi="宋体" w:cs="宋体"/>
          <w:bCs/>
          <w:color w:val="000000"/>
          <w:sz w:val="24"/>
          <w:highlight w:val="none"/>
          <w:lang w:val="en-US" w:eastAsia="zh-CN"/>
        </w:rPr>
        <w:t>前一日的</w:t>
      </w:r>
      <w:r>
        <w:rPr>
          <w:rFonts w:hint="eastAsia" w:ascii="宋体" w:hAnsi="宋体" w:cs="宋体"/>
          <w:bCs/>
          <w:color w:val="000000"/>
          <w:sz w:val="24"/>
          <w:highlight w:val="none"/>
        </w:rPr>
        <w:t>单位净值</w:t>
      </w:r>
      <w:r>
        <w:rPr>
          <w:rFonts w:hint="eastAsia" w:ascii="宋体" w:hAnsi="宋体" w:cs="宋体"/>
          <w:bCs/>
          <w:color w:val="000000"/>
          <w:sz w:val="24"/>
          <w:highlight w:val="none"/>
        </w:rPr>
        <w:t>为提取相关费用及税费后的单位理财计划份额净值。</w:t>
      </w:r>
    </w:p>
    <w:p>
      <w:pPr>
        <w:numPr>
          <w:ilvl w:val="0"/>
          <w:numId w:val="44"/>
        </w:numPr>
        <w:spacing w:line="360" w:lineRule="auto"/>
        <w:jc w:val="left"/>
        <w:outlineLvl w:val="2"/>
        <w:rPr>
          <w:rFonts w:hint="eastAsia" w:ascii="宋体" w:hAnsi="宋体" w:cs="宋体"/>
          <w:bCs/>
          <w:color w:val="000000"/>
          <w:sz w:val="24"/>
          <w:highlight w:val="none"/>
        </w:rPr>
      </w:pPr>
      <w:r>
        <w:rPr>
          <w:rFonts w:hint="eastAsia" w:ascii="宋体" w:hAnsi="宋体" w:cs="宋体"/>
          <w:b/>
          <w:sz w:val="24"/>
          <w:highlight w:val="none"/>
        </w:rPr>
        <w:t>示例说明</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eastAsia="zh-CN"/>
        </w:rPr>
        <w:t>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（如有）后，投资收益率超过〖</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。假设管理人提取超过〖业绩比较基准上限〗的50%作为浮动管理费，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（如有）后，如理财计划净值为1.0615，此时，(1.0615/1.00-1)×365/362=6.20%&gt;5.00%，即投资收益超过〖5.00%〗，则投资管理人对超过〖5.00%〗部分收益收取浮动管理费，浮动管理费为：</w:t>
      </w:r>
    </w:p>
    <w:p>
      <w:pPr>
        <w:spacing w:line="360" w:lineRule="auto"/>
        <w:ind w:firstLine="480" w:firstLineChars="200"/>
        <w:jc w:val="left"/>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100,000.00×1.0615-100,000.00×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362/365）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100,000.00×（1.0615-1.00）-</w:t>
      </w:r>
      <w:r>
        <w:rPr>
          <w:rFonts w:hint="eastAsia" w:ascii="宋体" w:hAnsi="宋体" w:cs="宋体"/>
          <w:bCs/>
          <w:color w:val="000000"/>
          <w:sz w:val="24"/>
          <w:highlight w:val="none"/>
          <w:lang w:val="en-US" w:eastAsia="zh-CN"/>
        </w:rPr>
        <w:t>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 xml:space="preserve"> =5,55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（元），理财计划</w:t>
      </w:r>
      <w:r>
        <w:rPr>
          <w:rFonts w:hint="eastAsia" w:ascii="宋体" w:hAnsi="宋体" w:cs="宋体"/>
          <w:bCs/>
          <w:color w:val="000000"/>
          <w:sz w:val="24"/>
          <w:highlight w:val="none"/>
          <w:lang w:val="en-US" w:eastAsia="zh-CN"/>
        </w:rPr>
        <w:t>赎回</w:t>
      </w:r>
      <w:r>
        <w:rPr>
          <w:rFonts w:hint="eastAsia" w:ascii="宋体" w:hAnsi="宋体" w:cs="宋体"/>
          <w:bCs/>
          <w:color w:val="000000"/>
          <w:sz w:val="24"/>
          <w:highlight w:val="none"/>
        </w:rPr>
        <w:t>时，投资者获得的实际收益相当于达到年化收益率水平为：</w:t>
      </w:r>
      <w:r>
        <w:rPr>
          <w:rFonts w:hint="eastAsia" w:ascii="宋体" w:hAnsi="宋体" w:cs="宋体"/>
          <w:bCs/>
          <w:color w:val="000000"/>
          <w:sz w:val="24"/>
          <w:highlight w:val="none"/>
        </w:rPr>
        <w:t>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/100,000.00×365/362=5.60%。</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示例二</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（如有）后，投资收益率未达到〖</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（如有）后，如理财计划净值为1.0426，此时，(1.0426/1.00-1)×365/362=4.30%&lt;5.00%，即投资收益未达到〖5.00%〗，则投资管理人不收取浮动管理费，投资者最终收益为：100,000.00×(1.0426-1.00）=4,260.00（元）</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示例三</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（如有）后，如理财计划净值为0.9975，则投资管理人不收取浮动管理费，投资者最终收益为：100,000.00×（0.9975-1.00）=-250.00（元）。</w:t>
      </w:r>
    </w:p>
    <w:p>
      <w:pPr>
        <w:numPr>
          <w:ilvl w:val="0"/>
          <w:numId w:val="4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w:t>
      </w:r>
      <w:r>
        <w:rPr>
          <w:rFonts w:hint="eastAsia" w:ascii="宋体" w:hAnsi="宋体" w:cs="宋体"/>
          <w:bCs/>
          <w:color w:val="000000"/>
          <w:sz w:val="24"/>
          <w:highlight w:val="none"/>
          <w:lang w:val="en-US" w:eastAsia="zh-CN"/>
        </w:rPr>
        <w:t>赎回或</w:t>
      </w:r>
      <w:r>
        <w:rPr>
          <w:rFonts w:hint="eastAsia" w:ascii="宋体" w:hAnsi="宋体" w:cs="宋体"/>
          <w:bCs/>
          <w:color w:val="000000"/>
          <w:sz w:val="24"/>
          <w:highlight w:val="none"/>
        </w:rPr>
        <w:t>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如新增认</w:t>
      </w:r>
      <w:r>
        <w:rPr>
          <w:rFonts w:hint="eastAsia" w:ascii="宋体" w:hAnsi="宋体" w:cs="宋体"/>
          <w:bCs/>
          <w:color w:val="000000"/>
          <w:sz w:val="24"/>
          <w:highlight w:val="none"/>
          <w:lang w:val="en-US" w:eastAsia="zh-CN"/>
        </w:rPr>
        <w:t>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48"/>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8"/>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申购及赎回</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5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本理财计划在每个开放期的开放日工作时间可进行申购</w:t>
      </w:r>
      <w:r>
        <w:rPr>
          <w:rFonts w:hint="eastAsia" w:ascii="宋体" w:hAnsi="宋体" w:cs="宋体"/>
          <w:bCs/>
          <w:sz w:val="24"/>
          <w:highlight w:val="none"/>
          <w:lang w:val="en-US" w:eastAsia="zh-CN"/>
        </w:rPr>
        <w:t>和赎回</w:t>
      </w:r>
      <w:r>
        <w:rPr>
          <w:rFonts w:hint="eastAsia" w:ascii="宋体" w:hAnsi="宋体" w:cs="宋体"/>
          <w:bCs/>
          <w:sz w:val="24"/>
          <w:highlight w:val="none"/>
        </w:rPr>
        <w:t>，申购</w:t>
      </w:r>
      <w:r>
        <w:rPr>
          <w:rFonts w:hint="eastAsia" w:ascii="宋体" w:hAnsi="宋体" w:cs="宋体"/>
          <w:bCs/>
          <w:sz w:val="24"/>
          <w:highlight w:val="none"/>
          <w:lang w:val="en-US" w:eastAsia="zh-CN"/>
        </w:rPr>
        <w:t>和赎回</w:t>
      </w:r>
      <w:r>
        <w:rPr>
          <w:rFonts w:hint="eastAsia" w:ascii="宋体" w:hAnsi="宋体" w:cs="宋体"/>
          <w:bCs/>
          <w:sz w:val="24"/>
          <w:highlight w:val="none"/>
        </w:rPr>
        <w:t>申请将在确认日进行确认，即开放期后的第〖1〗个工作日进行确认。</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工作时间为每个工作日上午〖9:00〗至下午〖17:00〗。</w:t>
      </w:r>
      <w:r>
        <w:rPr>
          <w:rFonts w:hint="eastAsia" w:ascii="宋体" w:hAnsi="宋体" w:cs="宋体"/>
          <w:color w:val="000000"/>
          <w:kern w:val="0"/>
          <w:sz w:val="24"/>
          <w:szCs w:val="24"/>
          <w:highlight w:val="none"/>
        </w:rPr>
        <w:t>（具体以销售机构规定为准）</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如</w:t>
      </w:r>
      <w:r>
        <w:rPr>
          <w:rFonts w:hint="eastAsia" w:ascii="宋体" w:hAnsi="宋体" w:cs="宋体"/>
          <w:bCs/>
          <w:color w:val="000000"/>
          <w:sz w:val="24"/>
          <w:highlight w:val="none"/>
          <w:lang w:eastAsia="zh-CN"/>
        </w:rPr>
        <w:t>新增申</w:t>
      </w:r>
      <w:r>
        <w:rPr>
          <w:rFonts w:hint="eastAsia" w:ascii="宋体" w:hAnsi="宋体" w:cs="宋体"/>
          <w:bCs/>
          <w:color w:val="000000"/>
          <w:sz w:val="24"/>
          <w:highlight w:val="none"/>
          <w:lang w:val="en-US" w:eastAsia="zh-CN"/>
        </w:rPr>
        <w:t>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赎回资金确认后，最快〖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51"/>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r>
        <w:rPr>
          <w:rFonts w:hint="eastAsia" w:ascii="宋体" w:hAnsi="宋体" w:cs="宋体"/>
          <w:bCs/>
          <w:sz w:val="24"/>
          <w:highlight w:val="none"/>
          <w:lang w:val="en-US" w:eastAsia="zh-CN"/>
        </w:rPr>
        <w:t>如连续2日（含）以上开放日发生巨额赎回，对于已经接受的赎回申请，管理人可以延缓支付赎回款项，但延缓期限不得超过5个工作日。</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在</w:t>
      </w:r>
      <w:r>
        <w:rPr>
          <w:rFonts w:hint="eastAsia" w:ascii="宋体" w:hAnsi="宋体" w:cs="宋体"/>
          <w:bCs/>
          <w:sz w:val="24"/>
          <w:highlight w:val="none"/>
        </w:rPr>
        <w:t>理财计划存续期内，管理人有权根据市场情况调整巨额赎回金额比例，并及时进行对外公告。</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暂停申购、赎回及延期支付赎回的情形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发生以下情形，管理人可暂停接受全部或部分投资者的申购申请：</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w:t>
      </w:r>
      <w:r>
        <w:rPr>
          <w:rFonts w:hint="eastAsia" w:ascii="宋体" w:hAnsi="宋体" w:cs="宋体"/>
          <w:bCs/>
          <w:sz w:val="24"/>
          <w:highlight w:val="none"/>
          <w:lang w:val="en-US" w:eastAsia="zh-CN"/>
        </w:rPr>
        <w:t>资产规模过大，继续接受申购可能对理财计划业绩产生负面影响，从而损害现有份额持有人利益的情形时</w:t>
      </w:r>
      <w:r>
        <w:rPr>
          <w:rFonts w:hint="eastAsia" w:ascii="宋体" w:hAnsi="宋体" w:cs="宋体"/>
          <w:bCs/>
          <w:sz w:val="24"/>
          <w:highlight w:val="none"/>
        </w:rPr>
        <w:t>。</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当</w:t>
      </w:r>
      <w:r>
        <w:rPr>
          <w:rFonts w:hint="eastAsia" w:ascii="宋体" w:hAnsi="宋体" w:cs="宋体"/>
          <w:bCs/>
          <w:sz w:val="24"/>
          <w:highlight w:val="none"/>
          <w:lang w:val="en-US" w:eastAsia="zh-CN"/>
        </w:rPr>
        <w:t>管理人认为某笔申购申请会有损于其他份额持有人利益的情形时。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发生产品说明书约定的暂停估值的情形时。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发生以下情形，对超出前一日终理财产品总份额10%的赎回申请，管理人可暂停接受全部或部分、延期办理投资者的赎回申请：</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理财计划发生巨额赎回情形时。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当继续</w:t>
      </w:r>
      <w:r>
        <w:rPr>
          <w:rFonts w:hint="default" w:ascii="宋体" w:hAnsi="宋体" w:cs="宋体"/>
          <w:bCs/>
          <w:sz w:val="24"/>
          <w:highlight w:val="none"/>
          <w:lang w:val="en-US" w:eastAsia="zh-CN"/>
        </w:rPr>
        <w:t>接受赎回申请将损害存量投资者利益的情形</w:t>
      </w:r>
      <w:r>
        <w:rPr>
          <w:rFonts w:hint="eastAsia" w:ascii="宋体" w:hAnsi="宋体" w:cs="宋体"/>
          <w:bCs/>
          <w:sz w:val="24"/>
          <w:highlight w:val="none"/>
          <w:lang w:val="en-US" w:eastAsia="zh-CN"/>
        </w:rPr>
        <w:t>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w:t>
      </w:r>
      <w:r>
        <w:rPr>
          <w:rFonts w:hint="default" w:ascii="宋体" w:hAnsi="宋体" w:cs="宋体"/>
          <w:bCs/>
          <w:sz w:val="24"/>
          <w:highlight w:val="none"/>
          <w:lang w:val="en-US" w:eastAsia="zh-CN"/>
        </w:rPr>
        <w:t>前一估值日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发生</w:t>
      </w:r>
      <w:r>
        <w:rPr>
          <w:rFonts w:hint="eastAsia" w:ascii="宋体" w:hAnsi="宋体" w:cs="宋体"/>
          <w:bCs/>
          <w:sz w:val="24"/>
          <w:highlight w:val="none"/>
          <w:lang w:eastAsia="zh-CN"/>
        </w:rPr>
        <w:t>产品说明书约定的暂停估值的情形时。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发生以下情形，管理人对已接受的赎回申请，可延期支付赎回款项：</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因</w:t>
      </w:r>
      <w:r>
        <w:rPr>
          <w:rFonts w:hint="eastAsia" w:ascii="宋体" w:hAnsi="宋体" w:cs="宋体"/>
          <w:bCs/>
          <w:sz w:val="24"/>
          <w:highlight w:val="none"/>
          <w:lang w:val="en-US" w:eastAsia="zh-CN"/>
        </w:rPr>
        <w:t>不可抗力等原因，导致管理人接受赎回申请后无法及时兑付的情形时。</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连续</w:t>
      </w:r>
      <w:r>
        <w:rPr>
          <w:rFonts w:hint="default" w:ascii="宋体" w:hAnsi="宋体" w:cs="宋体"/>
          <w:bCs/>
          <w:sz w:val="24"/>
          <w:highlight w:val="none"/>
          <w:lang w:val="en-US" w:eastAsia="zh-CN"/>
        </w:rPr>
        <w:t>2</w:t>
      </w:r>
      <w:r>
        <w:rPr>
          <w:rFonts w:hint="eastAsia" w:ascii="宋体" w:hAnsi="宋体" w:cs="宋体"/>
          <w:bCs/>
          <w:sz w:val="24"/>
          <w:highlight w:val="none"/>
          <w:lang w:val="en-US" w:eastAsia="zh-CN"/>
        </w:rPr>
        <w:t>日</w:t>
      </w:r>
      <w:r>
        <w:rPr>
          <w:rFonts w:hint="default" w:ascii="宋体" w:hAnsi="宋体" w:cs="宋体"/>
          <w:bCs/>
          <w:sz w:val="24"/>
          <w:highlight w:val="none"/>
          <w:lang w:val="en-US" w:eastAsia="zh-CN"/>
        </w:rPr>
        <w:t>（含）以上开放日发生巨额赎回的</w:t>
      </w:r>
      <w:r>
        <w:rPr>
          <w:rFonts w:hint="eastAsia" w:ascii="宋体" w:hAnsi="宋体" w:cs="宋体"/>
          <w:bCs/>
          <w:sz w:val="24"/>
          <w:highlight w:val="none"/>
          <w:lang w:val="en-US" w:eastAsia="zh-CN"/>
        </w:rPr>
        <w:t>情形时。</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当前</w:t>
      </w:r>
      <w:r>
        <w:rPr>
          <w:rFonts w:hint="default" w:ascii="宋体" w:hAnsi="宋体" w:cs="宋体"/>
          <w:bCs/>
          <w:sz w:val="24"/>
          <w:highlight w:val="none"/>
          <w:lang w:val="en-US" w:eastAsia="zh-CN"/>
        </w:rPr>
        <w:t>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法律法规规定或监管机构认定的其他情形。</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szCs w:val="24"/>
          <w:highlight w:val="none"/>
        </w:rPr>
        <w:t>〖</w:t>
      </w:r>
      <w:r>
        <w:rPr>
          <w:rFonts w:hint="eastAsia" w:ascii="宋体" w:hAnsi="宋体" w:cs="宋体"/>
          <w:sz w:val="24"/>
          <w:szCs w:val="24"/>
          <w:highlight w:val="none"/>
          <w:lang w:val="en-US" w:eastAsia="zh-CN"/>
        </w:rPr>
        <w:t>1</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szCs w:val="24"/>
          <w:highlight w:val="none"/>
        </w:rPr>
        <w:t>〖</w:t>
      </w:r>
      <w:r>
        <w:rPr>
          <w:rFonts w:hint="eastAsia" w:ascii="宋体" w:hAnsi="宋体" w:cs="宋体"/>
          <w:szCs w:val="21"/>
          <w:highlight w:val="none"/>
          <w:lang w:val="en-US" w:eastAsia="zh-CN"/>
        </w:rPr>
        <w:t>3</w:t>
      </w:r>
      <w:r>
        <w:rPr>
          <w:rFonts w:hint="eastAsia" w:ascii="宋体" w:hAnsi="宋体" w:cs="宋体"/>
          <w:bCs/>
          <w:color w:val="000000"/>
          <w:sz w:val="24"/>
          <w:highlight w:val="none"/>
        </w:rPr>
        <w:t>〗</w:t>
      </w:r>
      <w:r>
        <w:rPr>
          <w:rFonts w:hint="eastAsia" w:ascii="宋体" w:hAnsi="宋体" w:cs="宋体"/>
          <w:bCs/>
          <w:sz w:val="24"/>
          <w:highlight w:val="none"/>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市场收益率大幅波动，可能或实质影响理财计划投资收益的。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5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59"/>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风险揭示书、</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w:t>
      </w:r>
      <w:r>
        <w:rPr>
          <w:rFonts w:hint="eastAsia" w:ascii="宋体" w:hAnsi="宋体" w:cs="宋体"/>
          <w:bCs/>
          <w:color w:val="000000"/>
          <w:sz w:val="24"/>
          <w:highlight w:val="none"/>
          <w:lang w:eastAsia="zh-CN"/>
        </w:rPr>
        <w:t>以及理财计划销售协议书</w:t>
      </w:r>
      <w:r>
        <w:rPr>
          <w:rFonts w:hint="eastAsia" w:ascii="宋体" w:hAnsi="宋体" w:cs="宋体"/>
          <w:bCs/>
          <w:color w:val="000000"/>
          <w:sz w:val="24"/>
          <w:highlight w:val="none"/>
        </w:rPr>
        <w:t>。</w:t>
      </w:r>
    </w:p>
    <w:p>
      <w:pPr>
        <w:numPr>
          <w:ilvl w:val="0"/>
          <w:numId w:val="59"/>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个工作日内披露，包括成立日期、募集规模等信息。</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6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个工作日内披露本理财计划净值。</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r>
        <w:rPr>
          <w:rFonts w:hint="eastAsia" w:ascii="宋体" w:hAnsi="宋体" w:cs="宋体"/>
          <w:bCs/>
          <w:color w:val="000000"/>
          <w:highlight w:val="none"/>
        </w:rPr>
        <w:t>理财产品成立不足90个工作日或者存续期不超过90个工作日的，不编制理财产品当期的季度、半年和年度报告。</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61"/>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w:t>
      </w:r>
      <w:r>
        <w:rPr>
          <w:rFonts w:hint="eastAsia" w:ascii="宋体" w:hAnsi="宋体" w:cs="宋体"/>
          <w:bCs/>
          <w:color w:val="000000"/>
          <w:sz w:val="24"/>
          <w:highlight w:val="none"/>
          <w:lang w:eastAsia="zh-CN"/>
        </w:rPr>
        <w:t>管理人应在运用</w:t>
      </w:r>
      <w:r>
        <w:rPr>
          <w:rFonts w:hint="eastAsia" w:ascii="宋体" w:hAnsi="宋体" w:cs="宋体"/>
          <w:bCs/>
          <w:color w:val="000000"/>
          <w:sz w:val="24"/>
          <w:highlight w:val="none"/>
        </w:rPr>
        <w:t>收取短期赎回费、摆动定价等措施后，3个交易日内</w:t>
      </w:r>
      <w:r>
        <w:rPr>
          <w:rFonts w:hint="eastAsia" w:ascii="宋体" w:hAnsi="宋体" w:cs="宋体"/>
          <w:bCs/>
          <w:color w:val="000000"/>
          <w:sz w:val="24"/>
          <w:highlight w:val="none"/>
          <w:lang w:eastAsia="zh-CN"/>
        </w:rPr>
        <w:t>发布相关事项公告；应在</w:t>
      </w:r>
      <w:r>
        <w:rPr>
          <w:rFonts w:hint="eastAsia" w:ascii="宋体" w:hAnsi="宋体" w:cs="宋体"/>
          <w:bCs/>
          <w:color w:val="000000"/>
          <w:sz w:val="24"/>
          <w:highlight w:val="none"/>
          <w:lang w:val="en-US" w:eastAsia="zh-CN"/>
        </w:rPr>
        <w:t>运用暂停认购、延期办理巨额赎回申请、暂停接受赎回申请、延缓支付赎回款项、暂停理财产品估值等措施后，</w:t>
      </w:r>
      <w:r>
        <w:rPr>
          <w:rFonts w:hint="eastAsia" w:ascii="宋体" w:hAnsi="宋体" w:cs="宋体"/>
          <w:bCs/>
          <w:color w:val="000000"/>
          <w:sz w:val="24"/>
          <w:highlight w:val="none"/>
        </w:rPr>
        <w:t>3个交易日内</w:t>
      </w:r>
      <w:r>
        <w:rPr>
          <w:rFonts w:hint="eastAsia" w:ascii="宋体" w:hAnsi="宋体" w:cs="宋体"/>
          <w:bCs/>
          <w:color w:val="000000"/>
          <w:sz w:val="24"/>
          <w:highlight w:val="none"/>
          <w:lang w:eastAsia="zh-CN"/>
        </w:rPr>
        <w:t>发布相关事项公告，</w:t>
      </w:r>
      <w:r>
        <w:rPr>
          <w:rFonts w:hint="eastAsia" w:ascii="宋体" w:hAnsi="宋体" w:cs="宋体"/>
          <w:bCs/>
          <w:color w:val="000000"/>
          <w:sz w:val="24"/>
          <w:highlight w:val="none"/>
          <w:lang w:val="en-US" w:eastAsia="zh-CN"/>
        </w:rPr>
        <w:t>说明运用相关措施的原因、拟采取的应对安排等；</w:t>
      </w:r>
      <w:r>
        <w:rPr>
          <w:rFonts w:hint="eastAsia" w:ascii="宋体" w:hAnsi="宋体" w:cs="宋体"/>
          <w:bCs/>
          <w:color w:val="000000"/>
          <w:sz w:val="24"/>
          <w:highlight w:val="none"/>
          <w:lang w:eastAsia="zh-CN"/>
        </w:rPr>
        <w:t>应在发生可能对理财计划投资者或者理财计划收益产</w:t>
      </w:r>
      <w:r>
        <w:rPr>
          <w:rFonts w:hint="eastAsia" w:ascii="宋体" w:hAnsi="宋体" w:cs="宋体"/>
          <w:bCs/>
          <w:color w:val="000000"/>
          <w:sz w:val="24"/>
          <w:highlight w:val="none"/>
        </w:rPr>
        <w:t>生重大事项的事件后2个工作日内发布重大事项公告。</w:t>
      </w:r>
    </w:p>
    <w:p>
      <w:pPr>
        <w:numPr>
          <w:ilvl w:val="0"/>
          <w:numId w:val="61"/>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w:t>
      </w:r>
      <w:r>
        <w:rPr>
          <w:rFonts w:hint="eastAsia" w:ascii="宋体" w:hAnsi="宋体" w:cs="宋体"/>
          <w:bCs/>
          <w:color w:val="000000"/>
          <w:sz w:val="24"/>
          <w:highlight w:val="none"/>
          <w:lang w:eastAsia="zh-CN"/>
        </w:rPr>
        <w:t>换</w:t>
      </w:r>
      <w:r>
        <w:rPr>
          <w:rFonts w:hint="eastAsia" w:ascii="宋体" w:hAnsi="宋体" w:cs="宋体"/>
          <w:bCs/>
          <w:color w:val="000000"/>
          <w:sz w:val="24"/>
          <w:highlight w:val="none"/>
        </w:rPr>
        <w:t>理财计划管理人和托管人、涉及理财计划管理业务的重大诉讼、涉及费率相关事项的变动、理财计划延期兑付等。</w:t>
      </w:r>
    </w:p>
    <w:p>
      <w:pPr>
        <w:numPr>
          <w:ilvl w:val="0"/>
          <w:numId w:val="5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rPr>
          <w:rFonts w:hint="eastAsia" w:ascii="宋体" w:hAnsi="宋体" w:cs="宋体"/>
          <w:b/>
          <w:bCs/>
          <w:color w:val="000000"/>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63"/>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w:t>
      </w:r>
      <w:r>
        <w:rPr>
          <w:rFonts w:hint="eastAsia" w:ascii="宋体" w:hAnsi="宋体" w:cs="宋体"/>
          <w:kern w:val="0"/>
          <w:sz w:val="24"/>
          <w:highlight w:val="none"/>
          <w:lang w:eastAsia="zh-CN"/>
        </w:rPr>
        <w:t>理财计划</w:t>
      </w:r>
      <w:r>
        <w:rPr>
          <w:rFonts w:hint="eastAsia" w:ascii="宋体" w:hAnsi="宋体" w:cs="宋体"/>
          <w:kern w:val="0"/>
          <w:sz w:val="24"/>
          <w:highlight w:val="none"/>
        </w:rPr>
        <w:t>风险揭示书、理财计划产品说明书、投资者权益须知</w:t>
      </w:r>
      <w:r>
        <w:rPr>
          <w:rFonts w:hint="eastAsia" w:ascii="宋体" w:hAnsi="宋体" w:cs="宋体"/>
          <w:kern w:val="0"/>
          <w:sz w:val="24"/>
          <w:highlight w:val="none"/>
          <w:lang w:eastAsia="zh-CN"/>
        </w:rPr>
        <w:t>、</w:t>
      </w:r>
      <w:r>
        <w:rPr>
          <w:rFonts w:hint="eastAsia" w:ascii="宋体" w:hAnsi="宋体" w:cs="宋体"/>
          <w:kern w:val="0"/>
          <w:sz w:val="24"/>
          <w:highlight w:val="none"/>
        </w:rPr>
        <w:t>理财计划投资协议书</w:t>
      </w:r>
      <w:r>
        <w:rPr>
          <w:rFonts w:hint="eastAsia" w:ascii="宋体" w:hAnsi="宋体" w:cs="宋体"/>
          <w:kern w:val="0"/>
          <w:sz w:val="24"/>
          <w:highlight w:val="none"/>
          <w:lang w:eastAsia="zh-CN"/>
        </w:rPr>
        <w:t>和理财计划销售协议书</w:t>
      </w:r>
      <w:r>
        <w:rPr>
          <w:rFonts w:hint="eastAsia" w:ascii="宋体" w:hAnsi="宋体" w:cs="宋体"/>
          <w:kern w:val="0"/>
          <w:sz w:val="24"/>
          <w:highlight w:val="none"/>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lang w:eastAsia="zh-CN"/>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65"/>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机构投资者及进取型的个人投资者</w:t>
            </w:r>
          </w:p>
        </w:tc>
      </w:tr>
    </w:tbl>
    <w:p>
      <w:pPr>
        <w:numPr>
          <w:ilvl w:val="0"/>
          <w:numId w:val="0"/>
        </w:numPr>
        <w:spacing w:line="360" w:lineRule="auto"/>
        <w:ind w:leftChars="200"/>
        <w:outlineLvl w:val="1"/>
        <w:rPr>
          <w:rFonts w:hint="eastAsia" w:ascii="宋体" w:hAnsi="宋体" w:cs="宋体"/>
          <w:b/>
          <w:kern w:val="0"/>
          <w:sz w:val="24"/>
          <w:highlight w:val="none"/>
        </w:rPr>
      </w:pPr>
      <w:r>
        <w:rPr>
          <w:rFonts w:hint="eastAsia" w:ascii="宋体" w:hAnsi="宋体" w:cs="宋体"/>
          <w:bCs/>
          <w:color w:val="auto"/>
          <w:kern w:val="2"/>
          <w:highlight w:val="none"/>
          <w:lang w:eastAsia="zh-CN"/>
        </w:rPr>
        <w:t>投资者风险承受能力评级水平以销售机构评估为准。</w:t>
      </w:r>
    </w:p>
    <w:p>
      <w:pPr>
        <w:numPr>
          <w:ilvl w:val="0"/>
          <w:numId w:val="66"/>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w:t>
      </w:r>
      <w:r>
        <w:rPr>
          <w:rFonts w:hint="eastAsia" w:ascii="宋体" w:hAnsi="宋体" w:cs="宋体"/>
          <w:kern w:val="0"/>
          <w:sz w:val="24"/>
          <w:highlight w:val="none"/>
          <w:lang w:eastAsia="zh-CN"/>
        </w:rPr>
        <w:t>理财计划风险揭示书、理财计划</w:t>
      </w:r>
      <w:r>
        <w:rPr>
          <w:rFonts w:hint="eastAsia" w:ascii="宋体" w:hAnsi="宋体" w:cs="宋体"/>
          <w:kern w:val="0"/>
          <w:sz w:val="24"/>
          <w:highlight w:val="none"/>
        </w:rPr>
        <w:t>产品说明书</w:t>
      </w:r>
      <w:r>
        <w:rPr>
          <w:rFonts w:hint="eastAsia" w:ascii="宋体" w:hAnsi="宋体" w:cs="宋体"/>
          <w:kern w:val="0"/>
          <w:sz w:val="24"/>
          <w:highlight w:val="none"/>
          <w:lang w:eastAsia="zh-CN"/>
        </w:rPr>
        <w:t>、理财计划投资协议书和理财计划销售协议书</w:t>
      </w:r>
      <w:r>
        <w:rPr>
          <w:rFonts w:hint="eastAsia" w:ascii="宋体" w:hAnsi="宋体" w:cs="宋体"/>
          <w:kern w:val="0"/>
          <w:sz w:val="24"/>
          <w:highlight w:val="none"/>
        </w:rPr>
        <w:t>的基础上，充分认识投资本理财计划需要承担的风险。</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六、投诉与建议</w:t>
      </w:r>
    </w:p>
    <w:p>
      <w:pPr>
        <w:numPr>
          <w:ilvl w:val="0"/>
          <w:numId w:val="70"/>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如认为销售机构推介、销售理财计划时有不实或未尽风险告知职责或其它疑义事项，或对理财计划、销售机构及理财计划管理人服务有任何意见或建议，可通过拨打销售机构热线或客服电话进行反馈。销售机构将由专人接听、记录您的意见建议，并由双方协商共同解决。</w:t>
      </w:r>
    </w:p>
    <w:p>
      <w:pPr>
        <w:numPr>
          <w:ilvl w:val="0"/>
          <w:numId w:val="70"/>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联络方式</w:t>
      </w:r>
    </w:p>
    <w:p>
      <w:pPr>
        <w:numPr>
          <w:ilvl w:val="0"/>
          <w:numId w:val="71"/>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杭银理财联络方式：</w:t>
      </w:r>
    </w:p>
    <w:p>
      <w:pPr>
        <w:numPr>
          <w:ilvl w:val="0"/>
          <w:numId w:val="0"/>
        </w:num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bCs/>
          <w:color w:val="auto"/>
          <w:kern w:val="2"/>
          <w:highlight w:val="none"/>
          <w:u w:val="none"/>
          <w:lang w:val="en-US" w:eastAsia="zh-CN"/>
        </w:rPr>
        <w:t>https://</w:t>
      </w:r>
      <w:r>
        <w:rPr>
          <w:rStyle w:val="14"/>
          <w:rFonts w:hint="eastAsia" w:ascii="宋体" w:hAnsi="宋体" w:cs="宋体"/>
          <w:color w:val="auto"/>
          <w:kern w:val="0"/>
          <w:sz w:val="24"/>
          <w:szCs w:val="22"/>
          <w:highlight w:val="none"/>
          <w:u w:val="none"/>
          <w:lang w:val="en-US" w:eastAsia="zh-CN"/>
        </w:rPr>
        <w:t>www.hzbankwealth.com.cn</w:t>
      </w:r>
    </w:p>
    <w:p>
      <w:pPr>
        <w:numPr>
          <w:ilvl w:val="0"/>
          <w:numId w:val="0"/>
        </w:numPr>
        <w:spacing w:line="360" w:lineRule="auto"/>
        <w:ind w:firstLine="480" w:firstLineChars="200"/>
        <w:rPr>
          <w:rFonts w:hint="default" w:ascii="宋体" w:hAnsi="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客户服务热线：400-8950-999</w:t>
      </w:r>
    </w:p>
    <w:p>
      <w:pPr>
        <w:numPr>
          <w:ilvl w:val="0"/>
          <w:numId w:val="0"/>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u w:val="none"/>
          <w:lang w:val="en-US" w:eastAsia="zh-CN"/>
        </w:rPr>
        <w:t>公司地址：</w:t>
      </w:r>
      <w:r>
        <w:rPr>
          <w:rFonts w:hint="eastAsia" w:ascii="宋体" w:hAnsi="宋体" w:cs="宋体"/>
          <w:kern w:val="0"/>
          <w:sz w:val="24"/>
          <w:highlight w:val="none"/>
        </w:rPr>
        <w:t>杭州市拱墅区庆春路38号金龙财富中心6楼</w:t>
      </w:r>
    </w:p>
    <w:p>
      <w:pPr>
        <w:numPr>
          <w:ilvl w:val="0"/>
          <w:numId w:val="0"/>
        </w:numPr>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cs="宋体"/>
          <w:kern w:val="0"/>
          <w:sz w:val="24"/>
          <w:highlight w:val="none"/>
          <w:lang w:eastAsia="zh-CN"/>
        </w:rPr>
        <w:t>若</w:t>
      </w:r>
      <w:r>
        <w:rPr>
          <w:rFonts w:hint="eastAsia" w:ascii="宋体" w:hAnsi="宋体" w:cs="宋体"/>
          <w:kern w:val="0"/>
          <w:sz w:val="24"/>
          <w:highlight w:val="none"/>
        </w:rPr>
        <w:t>上述联系方式变更，杭银理财将提前通过</w:t>
      </w:r>
      <w:r>
        <w:rPr>
          <w:rFonts w:hint="eastAsia" w:ascii="宋体" w:hAnsi="宋体" w:cs="宋体"/>
          <w:kern w:val="0"/>
          <w:sz w:val="24"/>
          <w:highlight w:val="none"/>
          <w:lang w:eastAsia="zh-CN"/>
        </w:rPr>
        <w:t>官方网站</w:t>
      </w:r>
      <w:r>
        <w:rPr>
          <w:rFonts w:hint="eastAsia" w:ascii="宋体" w:hAnsi="宋体" w:cs="宋体"/>
          <w:kern w:val="0"/>
          <w:sz w:val="24"/>
          <w:highlight w:val="none"/>
        </w:rPr>
        <w:t>及时告知投资者。</w:t>
      </w:r>
    </w:p>
    <w:p>
      <w:pPr>
        <w:numPr>
          <w:ilvl w:val="0"/>
          <w:numId w:val="71"/>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杭州银行</w:t>
      </w:r>
      <w:r>
        <w:rPr>
          <w:rFonts w:hint="eastAsia" w:ascii="宋体" w:hAnsi="宋体" w:cs="宋体"/>
          <w:kern w:val="0"/>
          <w:sz w:val="24"/>
          <w:highlight w:val="none"/>
        </w:rPr>
        <w:t>（作为销售机构）</w:t>
      </w:r>
      <w:r>
        <w:rPr>
          <w:rFonts w:hint="eastAsia" w:ascii="宋体" w:hAnsi="宋体" w:cs="宋体"/>
          <w:kern w:val="0"/>
          <w:sz w:val="24"/>
          <w:highlight w:val="none"/>
          <w:lang w:eastAsia="zh-CN"/>
        </w:rPr>
        <w:t>联络方式：</w:t>
      </w:r>
    </w:p>
    <w:p>
      <w:p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kern w:val="0"/>
          <w:sz w:val="24"/>
          <w:highlight w:val="none"/>
          <w:lang w:val="en-US" w:eastAsia="zh-CN"/>
        </w:rPr>
        <w:t xml:space="preserve">: </w:t>
      </w:r>
      <w:r>
        <w:rPr>
          <w:rFonts w:hint="eastAsia" w:ascii="宋体" w:hAnsi="宋体" w:cs="宋体"/>
          <w:color w:val="auto"/>
          <w:kern w:val="0"/>
          <w:sz w:val="24"/>
          <w:highlight w:val="none"/>
          <w:u w:val="none"/>
          <w:lang w:val="en-US" w:eastAsia="zh-CN"/>
        </w:rPr>
        <w:fldChar w:fldCharType="begin"/>
      </w:r>
      <w:r>
        <w:rPr>
          <w:rFonts w:hint="eastAsia" w:ascii="宋体" w:hAnsi="宋体" w:cs="宋体"/>
          <w:color w:val="auto"/>
          <w:kern w:val="0"/>
          <w:sz w:val="24"/>
          <w:highlight w:val="none"/>
          <w:u w:val="none"/>
          <w:lang w:val="en-US" w:eastAsia="zh-CN"/>
        </w:rPr>
        <w:instrText xml:space="preserve"> HYPERLINK "http://www.hzbankwealth.cn" </w:instrText>
      </w:r>
      <w:r>
        <w:rPr>
          <w:rFonts w:hint="eastAsia" w:ascii="宋体" w:hAnsi="宋体" w:cs="宋体"/>
          <w:color w:val="auto"/>
          <w:kern w:val="0"/>
          <w:sz w:val="24"/>
          <w:highlight w:val="none"/>
          <w:u w:val="none"/>
          <w:lang w:val="en-US" w:eastAsia="zh-CN"/>
        </w:rPr>
        <w:fldChar w:fldCharType="separate"/>
      </w:r>
      <w:r>
        <w:rPr>
          <w:rStyle w:val="14"/>
          <w:rFonts w:hint="eastAsia" w:ascii="宋体" w:hAnsi="宋体" w:cs="宋体"/>
          <w:color w:val="auto"/>
          <w:kern w:val="0"/>
          <w:sz w:val="24"/>
          <w:highlight w:val="none"/>
          <w:u w:val="none"/>
          <w:lang w:val="en-US" w:eastAsia="zh-CN"/>
        </w:rPr>
        <w:t>www.hzbank.com.cn</w:t>
      </w:r>
      <w:r>
        <w:rPr>
          <w:rFonts w:hint="eastAsia" w:ascii="宋体" w:hAnsi="宋体" w:cs="宋体"/>
          <w:color w:val="auto"/>
          <w:kern w:val="0"/>
          <w:sz w:val="24"/>
          <w:highlight w:val="none"/>
          <w:u w:val="none"/>
          <w:lang w:val="en-US" w:eastAsia="zh-CN"/>
        </w:rPr>
        <w:fldChar w:fldCharType="end"/>
      </w:r>
    </w:p>
    <w:p>
      <w:pPr>
        <w:spacing w:line="360" w:lineRule="auto"/>
        <w:ind w:firstLine="480" w:firstLineChars="200"/>
        <w:rPr>
          <w:rFonts w:hint="default" w:ascii="宋体" w:hAnsi="宋体" w:eastAsia="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客户服务热线：95398、</w:t>
      </w:r>
      <w:r>
        <w:rPr>
          <w:rFonts w:hint="eastAsia" w:ascii="宋体" w:hAnsi="宋体" w:cs="宋体"/>
          <w:kern w:val="0"/>
          <w:sz w:val="24"/>
          <w:highlight w:val="none"/>
        </w:rPr>
        <w:t>4008888508</w:t>
      </w:r>
    </w:p>
    <w:p>
      <w:pPr>
        <w:spacing w:line="360" w:lineRule="auto"/>
        <w:ind w:firstLine="480" w:firstLineChars="200"/>
        <w:jc w:val="left"/>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在</w:t>
      </w:r>
      <w:r>
        <w:rPr>
          <w:rFonts w:hint="eastAsia" w:ascii="宋体" w:hAnsi="宋体" w:cs="宋体"/>
          <w:kern w:val="0"/>
          <w:sz w:val="24"/>
          <w:highlight w:val="none"/>
        </w:rPr>
        <w:t>其他销售机构购买理财计划的，请联系其他销售机构，联系方式以其披露为准。</w:t>
      </w:r>
    </w:p>
    <w:p>
      <w:pPr>
        <w:spacing w:line="360" w:lineRule="auto"/>
        <w:jc w:val="center"/>
        <w:outlineLvl w:val="0"/>
        <w:rPr>
          <w:rFonts w:hint="eastAsia"/>
          <w:b/>
          <w:sz w:val="44"/>
          <w:szCs w:val="44"/>
          <w:highlight w:val="none"/>
        </w:rPr>
      </w:pPr>
      <w:r>
        <w:rPr>
          <w:rFonts w:hint="eastAsia"/>
          <w:b/>
          <w:sz w:val="44"/>
          <w:szCs w:val="44"/>
          <w:highlight w:val="none"/>
        </w:rPr>
        <w:br w:type="page"/>
      </w:r>
      <w:r>
        <w:rPr>
          <w:rFonts w:hint="eastAsia"/>
          <w:b/>
          <w:sz w:val="44"/>
          <w:szCs w:val="44"/>
          <w:highlight w:val="none"/>
        </w:rPr>
        <w:t>杭银理财理财计划投资协议书</w:t>
      </w:r>
    </w:p>
    <w:p>
      <w:pPr>
        <w:jc w:val="center"/>
        <w:rPr>
          <w:rFonts w:hint="eastAsia"/>
          <w:b/>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b/>
          <w:sz w:val="32"/>
          <w:szCs w:val="32"/>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w:t>
      </w:r>
      <w:r>
        <w:rPr>
          <w:rFonts w:hint="eastAsia"/>
          <w:b/>
          <w:bCs/>
          <w:sz w:val="24"/>
          <w:highlight w:val="none"/>
          <w:lang w:eastAsia="zh-CN"/>
        </w:rPr>
        <w:t>理财计划风险揭示书、理财计划产品说明书、</w:t>
      </w:r>
      <w:r>
        <w:rPr>
          <w:rFonts w:hint="eastAsia"/>
          <w:b/>
          <w:bCs/>
          <w:sz w:val="24"/>
          <w:highlight w:val="none"/>
        </w:rPr>
        <w:t>投资者权益须知</w:t>
      </w:r>
      <w:r>
        <w:rPr>
          <w:rFonts w:hint="eastAsia"/>
          <w:b/>
          <w:bCs/>
          <w:sz w:val="24"/>
          <w:highlight w:val="none"/>
          <w:lang w:eastAsia="zh-CN"/>
        </w:rPr>
        <w:t>及理财计划销售协议书</w:t>
      </w:r>
      <w:r>
        <w:rPr>
          <w:rFonts w:hint="eastAsia"/>
          <w:b/>
          <w:bCs/>
          <w:sz w:val="24"/>
          <w:highlight w:val="none"/>
        </w:rPr>
        <w:t>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sz w:val="24"/>
          <w:highlight w:val="none"/>
        </w:rPr>
      </w:pPr>
    </w:p>
    <w:p>
      <w:pPr>
        <w:numPr>
          <w:ilvl w:val="0"/>
          <w:numId w:val="72"/>
        </w:numPr>
        <w:spacing w:line="360" w:lineRule="auto"/>
        <w:ind w:firstLine="482" w:firstLineChars="200"/>
        <w:outlineLvl w:val="1"/>
        <w:rPr>
          <w:rFonts w:hint="eastAsia" w:ascii="宋体" w:hAnsi="宋体"/>
          <w:b/>
          <w:bCs/>
          <w:sz w:val="24"/>
          <w:highlight w:val="none"/>
        </w:rPr>
      </w:pPr>
      <w:r>
        <w:rPr>
          <w:rFonts w:hint="eastAsia"/>
          <w:b/>
          <w:bCs/>
          <w:sz w:val="24"/>
          <w:highlight w:val="none"/>
        </w:rPr>
        <w:t>名词释义</w:t>
      </w:r>
    </w:p>
    <w:p>
      <w:pPr>
        <w:spacing w:line="360" w:lineRule="auto"/>
        <w:ind w:firstLine="480" w:firstLineChars="200"/>
        <w:rPr>
          <w:rFonts w:hint="eastAsia"/>
          <w:bCs/>
          <w:sz w:val="24"/>
          <w:highlight w:val="none"/>
        </w:rPr>
      </w:pPr>
      <w:r>
        <w:rPr>
          <w:rFonts w:hint="eastAsia"/>
          <w:bCs/>
          <w:sz w:val="24"/>
          <w:highlight w:val="none"/>
        </w:rPr>
        <w:t>详见理财计划说明书“释义”部分。</w:t>
      </w:r>
    </w:p>
    <w:p>
      <w:pPr>
        <w:spacing w:line="360" w:lineRule="auto"/>
        <w:ind w:firstLine="480" w:firstLineChars="200"/>
        <w:rPr>
          <w:rFonts w:hint="eastAsia"/>
          <w:bCs/>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投资者权利与义务</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投资者进行投资时，应严格遵守反洗钱相关法规的规定，切实履行反洗钱及反恐怖融资义务。 </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管理人权利与义务</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74"/>
        </w:numPr>
        <w:spacing w:line="360" w:lineRule="auto"/>
        <w:ind w:firstLine="480" w:firstLineChars="200"/>
        <w:contextualSpacing/>
        <w:outlineLvl w:val="2"/>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管理人应当选择具有证券投资基金托管业务资格的金融机构、银行业理财登记托管机构或者国务院银行业监督管理机构认可的其他机构托管理财计划。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r>
        <w:rPr>
          <w:rFonts w:hint="eastAsia" w:ascii="宋体" w:hAnsi="宋体"/>
          <w:sz w:val="24"/>
          <w:highlight w:val="none"/>
        </w:rPr>
        <w:t xml:space="preserve">。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理财计划认（申）购、赎回及终止</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w:t>
      </w:r>
      <w:r>
        <w:rPr>
          <w:rFonts w:hint="eastAsia" w:ascii="宋体" w:hAnsi="宋体"/>
          <w:sz w:val="24"/>
          <w:highlight w:val="none"/>
          <w:lang w:val="en-US" w:eastAsia="zh-CN"/>
        </w:rPr>
        <w:t>在</w:t>
      </w:r>
      <w:r>
        <w:rPr>
          <w:rFonts w:hint="eastAsia" w:ascii="宋体" w:hAnsi="宋体"/>
          <w:sz w:val="24"/>
          <w:highlight w:val="none"/>
        </w:rPr>
        <w:t>理财计划销售文件</w:t>
      </w:r>
      <w:r>
        <w:rPr>
          <w:rFonts w:hint="eastAsia" w:ascii="宋体" w:hAnsi="宋体"/>
          <w:sz w:val="24"/>
          <w:highlight w:val="none"/>
          <w:lang w:val="en-US" w:eastAsia="zh-CN"/>
        </w:rPr>
        <w:t>中授权的</w:t>
      </w:r>
      <w:r>
        <w:rPr>
          <w:rFonts w:hint="eastAsia" w:ascii="宋体" w:hAnsi="宋体"/>
          <w:sz w:val="24"/>
          <w:highlight w:val="none"/>
        </w:rPr>
        <w:t>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税收处理</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违约责任及免责条款</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w:t>
      </w:r>
      <w:r>
        <w:rPr>
          <w:rFonts w:hint="eastAsia" w:ascii="宋体" w:hAnsi="宋体"/>
          <w:sz w:val="24"/>
          <w:highlight w:val="none"/>
          <w:lang w:eastAsia="zh-CN"/>
        </w:rPr>
        <w:t>赎回</w:t>
      </w:r>
      <w:r>
        <w:rPr>
          <w:rFonts w:hint="eastAsia" w:ascii="宋体" w:hAnsi="宋体"/>
          <w:sz w:val="24"/>
          <w:highlight w:val="none"/>
        </w:rPr>
        <w:t>，本合同自动终止。因提前终止而产生的损失及相关费用由投资者承担。本合同前述情况终止的，理财本金不计付</w:t>
      </w:r>
      <w:r>
        <w:rPr>
          <w:rFonts w:hint="eastAsia" w:ascii="宋体" w:hAnsi="宋体"/>
          <w:sz w:val="24"/>
          <w:highlight w:val="none"/>
          <w:lang w:eastAsia="zh-CN"/>
        </w:rPr>
        <w:t>赎回</w:t>
      </w:r>
      <w:r>
        <w:rPr>
          <w:rFonts w:hint="eastAsia" w:ascii="宋体" w:hAnsi="宋体"/>
          <w:sz w:val="24"/>
          <w:highlight w:val="none"/>
        </w:rPr>
        <w:t>日前的理财收益，也不计付存款利息。</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rPr>
          <w:rFonts w:ascii="宋体" w:hAnsi="宋体"/>
          <w:sz w:val="24"/>
          <w:highlight w:val="none"/>
        </w:rPr>
      </w:pPr>
    </w:p>
    <w:p>
      <w:pPr>
        <w:numPr>
          <w:ilvl w:val="0"/>
          <w:numId w:val="72"/>
        </w:numPr>
        <w:spacing w:line="360" w:lineRule="auto"/>
        <w:ind w:firstLine="482" w:firstLineChars="200"/>
        <w:outlineLvl w:val="1"/>
        <w:rPr>
          <w:b/>
          <w:sz w:val="24"/>
          <w:highlight w:val="none"/>
        </w:rPr>
      </w:pPr>
      <w:r>
        <w:rPr>
          <w:rFonts w:hint="eastAsia"/>
          <w:b/>
          <w:sz w:val="24"/>
          <w:highlight w:val="none"/>
        </w:rPr>
        <w:t>适用法律与争议解决</w:t>
      </w:r>
    </w:p>
    <w:p>
      <w:pPr>
        <w:widowControl/>
        <w:spacing w:line="360" w:lineRule="auto"/>
        <w:ind w:firstLine="480" w:firstLineChars="200"/>
        <w:contextualSpacing/>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w:t>
      </w:r>
      <w:r>
        <w:rPr>
          <w:rFonts w:hint="eastAsia" w:ascii="宋体" w:hAnsi="宋体"/>
          <w:sz w:val="24"/>
          <w:highlight w:val="none"/>
          <w:lang w:eastAsia="zh-CN"/>
        </w:rPr>
        <w:t>销售机构或</w:t>
      </w:r>
      <w:r>
        <w:rPr>
          <w:rFonts w:hint="eastAsia" w:ascii="宋体" w:hAnsi="宋体"/>
          <w:sz w:val="24"/>
          <w:highlight w:val="none"/>
        </w:rPr>
        <w:t>管理人所在地人民法院司法裁决。诉讼期间，未涉及争议的条款仍需继续履行。</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协议生效和终止</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本协议书以纸质书面形式订立的，自投资者签字和销售机构代表管理人签署盖章之后立即生效。协议一式</w:t>
      </w:r>
      <w:r>
        <w:rPr>
          <w:rFonts w:hint="eastAsia" w:ascii="宋体" w:hAnsi="宋体"/>
          <w:sz w:val="24"/>
          <w:highlight w:val="none"/>
          <w:lang w:eastAsia="zh-CN"/>
        </w:rPr>
        <w:t>贰</w:t>
      </w:r>
      <w:r>
        <w:rPr>
          <w:rFonts w:hint="eastAsia" w:ascii="宋体" w:hAnsi="宋体"/>
          <w:sz w:val="24"/>
          <w:highlight w:val="none"/>
        </w:rPr>
        <w:t>份，投资者和管理人双方各执</w:t>
      </w:r>
      <w:r>
        <w:rPr>
          <w:rFonts w:hint="eastAsia" w:ascii="宋体" w:hAnsi="宋体"/>
          <w:sz w:val="24"/>
          <w:highlight w:val="none"/>
          <w:lang w:eastAsia="zh-CN"/>
        </w:rPr>
        <w:t>壹</w:t>
      </w:r>
      <w:r>
        <w:rPr>
          <w:rFonts w:hint="eastAsia" w:ascii="宋体" w:hAnsi="宋体"/>
          <w:sz w:val="24"/>
          <w:highlight w:val="none"/>
        </w:rPr>
        <w:t xml:space="preserve">份，具有同等法律效力。 </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highlight w:val="none"/>
        </w:rPr>
      </w:pPr>
    </w:p>
    <w:p>
      <w:pPr>
        <w:numPr>
          <w:ilvl w:val="0"/>
          <w:numId w:val="72"/>
        </w:numPr>
        <w:spacing w:line="360" w:lineRule="auto"/>
        <w:ind w:firstLine="482" w:firstLineChars="200"/>
        <w:outlineLvl w:val="1"/>
        <w:rPr>
          <w:b/>
          <w:sz w:val="24"/>
          <w:highlight w:val="none"/>
        </w:rPr>
      </w:pPr>
      <w:r>
        <w:rPr>
          <w:rFonts w:hint="eastAsia"/>
          <w:b/>
          <w:sz w:val="24"/>
          <w:highlight w:val="none"/>
        </w:rPr>
        <w:t>附则</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投资者与管理人之间存在多份理财计划协议书，则每一份协议书分别与其所对应的产品说明书等销售文本单独构成一个理财计划交易合同，各个合同之间互相独立，每一合同的效力及履行情况均独立于其他合同。</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ind w:firstLine="480" w:firstLineChars="200"/>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pStyle w:val="9"/>
        <w:widowControl/>
        <w:spacing w:line="360" w:lineRule="auto"/>
        <w:jc w:val="right"/>
        <w:rPr>
          <w:rFonts w:hint="eastAsia" w:ascii="宋体" w:hAnsi="Wingdings" w:cs="宋体"/>
          <w:color w:val="000000"/>
          <w:kern w:val="0"/>
          <w:highlight w:val="none"/>
        </w:rPr>
      </w:pPr>
      <w:r>
        <w:rPr>
          <w:rFonts w:hint="eastAsia" w:ascii="宋体" w:hAnsi="宋体" w:cs="宋体"/>
          <w:kern w:val="0"/>
          <w:highlight w:val="none"/>
        </w:rPr>
        <w:t>杭银理财有限责任公司</w:t>
      </w:r>
    </w:p>
    <w:p>
      <w:pPr>
        <w:spacing w:line="360" w:lineRule="auto"/>
        <w:rPr>
          <w:rFonts w:ascii="宋体" w:hAnsi="宋体" w:cs="宋体"/>
          <w:bCs/>
          <w:color w:val="000000"/>
          <w:sz w:val="24"/>
          <w:highlight w:val="none"/>
        </w:rPr>
      </w:pPr>
    </w:p>
    <w:p>
      <w:pPr>
        <w:spacing w:line="360" w:lineRule="auto"/>
        <w:outlineLvl w:val="9"/>
        <w:rPr>
          <w:rFonts w:ascii="宋体" w:hAnsi="宋体" w:cs="宋体"/>
          <w:bCs/>
          <w:color w:val="000000"/>
          <w:sz w:val="24"/>
          <w:highlight w:val="none"/>
        </w:rPr>
      </w:pPr>
      <w:bookmarkStart w:id="0" w:name="_GoBack"/>
    </w:p>
    <w:p>
      <w:pPr>
        <w:spacing w:line="360" w:lineRule="auto"/>
        <w:outlineLvl w:val="9"/>
        <w:rPr>
          <w:rFonts w:ascii="宋体" w:hAnsi="宋体" w:cs="宋体"/>
          <w:bCs/>
          <w:color w:val="000000"/>
          <w:sz w:val="24"/>
          <w:highlight w:val="none"/>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bookmarkEnd w:id="0"/>
    <w:p>
      <w:pPr>
        <w:jc w:val="center"/>
        <w:outlineLvl w:val="0"/>
        <w:rPr>
          <w:rFonts w:hint="eastAsia" w:ascii="Calibri" w:hAnsi="Calibri" w:eastAsia="宋体" w:cs="黑体"/>
          <w:b/>
          <w:bCs w:val="0"/>
          <w:sz w:val="44"/>
          <w:szCs w:val="44"/>
          <w:highlight w:val="none"/>
        </w:rPr>
      </w:pPr>
      <w:r>
        <w:rPr>
          <w:rFonts w:hint="eastAsia" w:ascii="Calibri" w:hAnsi="Calibri" w:eastAsia="宋体" w:cs="黑体"/>
          <w:b/>
          <w:bCs w:val="0"/>
          <w:sz w:val="44"/>
          <w:szCs w:val="44"/>
          <w:highlight w:val="none"/>
          <w:lang w:val="en-US" w:eastAsia="zh-CN"/>
        </w:rPr>
        <w:t>杭银理财理财计划</w:t>
      </w:r>
      <w:r>
        <w:rPr>
          <w:rFonts w:hint="eastAsia" w:ascii="Calibri" w:hAnsi="Calibri" w:eastAsia="宋体" w:cs="黑体"/>
          <w:b/>
          <w:bCs w:val="0"/>
          <w:sz w:val="44"/>
          <w:szCs w:val="44"/>
          <w:highlight w:val="none"/>
        </w:rPr>
        <w:t>销售协议书</w:t>
      </w:r>
    </w:p>
    <w:p>
      <w:pPr>
        <w:jc w:val="center"/>
        <w:rPr>
          <w:rFonts w:hint="eastAsia" w:ascii="宋体" w:hAnsi="宋体" w:eastAsia="宋体" w:cs="宋体"/>
          <w:b w:val="0"/>
          <w:bCs w:val="0"/>
          <w:sz w:val="28"/>
          <w:szCs w:val="28"/>
          <w:highlight w:val="none"/>
        </w:rPr>
      </w:pPr>
      <w:r>
        <w:rPr>
          <w:rFonts w:hint="eastAsia" w:ascii="宋体" w:hAnsi="宋体" w:eastAsia="宋体" w:cs="宋体"/>
          <w:sz w:val="28"/>
          <w:szCs w:val="28"/>
          <w:highlight w:val="none"/>
        </w:rPr>
        <w:t>（202</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01版）</w:t>
      </w:r>
    </w:p>
    <w:p>
      <w:pPr>
        <w:spacing w:line="360" w:lineRule="auto"/>
        <w:jc w:val="center"/>
        <w:rPr>
          <w:rFonts w:hint="default"/>
          <w:sz w:val="32"/>
          <w:szCs w:val="40"/>
          <w:highlight w:val="none"/>
          <w:lang w:val="en-US" w:eastAsia="zh-CN"/>
        </w:rPr>
      </w:pPr>
      <w:r>
        <w:rPr>
          <w:rFonts w:hint="eastAsia" w:ascii="宋体" w:hAnsi="宋体" w:cs="宋体"/>
          <w:b/>
          <w:bCs/>
          <w:sz w:val="24"/>
          <w:highlight w:val="none"/>
          <w:u w:val="single"/>
        </w:rPr>
        <w:t>理财非存款、产品有风险、投资须谨慎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Calibri" w:hAnsi="Calibri" w:eastAsia="宋体" w:cs="黑体"/>
          <w:b/>
          <w:bCs/>
          <w:sz w:val="24"/>
          <w:highlight w:val="none"/>
        </w:rPr>
      </w:pPr>
      <w:r>
        <w:rPr>
          <w:rFonts w:hint="eastAsia" w:ascii="Calibri" w:hAnsi="Calibri" w:eastAsia="宋体" w:cs="黑体"/>
          <w:b/>
          <w:bCs/>
          <w:sz w:val="24"/>
          <w:highlight w:val="none"/>
        </w:rPr>
        <w:t>特别提示：</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rPr>
        <w:t>杭银理财</w:t>
      </w:r>
      <w:r>
        <w:rPr>
          <w:rFonts w:hint="eastAsia" w:ascii="Calibri" w:hAnsi="Calibri" w:eastAsia="宋体" w:cs="黑体"/>
          <w:b/>
          <w:bCs/>
          <w:sz w:val="24"/>
          <w:highlight w:val="none"/>
          <w:lang w:val="en-US" w:eastAsia="zh-CN"/>
        </w:rPr>
        <w:t>理财计划销售协议书</w:t>
      </w:r>
      <w:r>
        <w:rPr>
          <w:rFonts w:hint="eastAsia" w:ascii="宋体" w:hAnsi="宋体" w:eastAsia="宋体" w:cs="宋体"/>
          <w:b/>
          <w:bCs/>
          <w:sz w:val="24"/>
          <w:highlight w:val="none"/>
          <w:lang w:val="en-US" w:eastAsia="zh-CN"/>
        </w:rPr>
        <w:t>（202201版）</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lang w:val="en-US" w:eastAsia="zh-CN"/>
        </w:rPr>
        <w:t>与对应期次的</w:t>
      </w:r>
      <w:r>
        <w:rPr>
          <w:rFonts w:hint="eastAsia" w:eastAsia="宋体" w:cs="黑体"/>
          <w:b/>
          <w:bCs/>
          <w:sz w:val="24"/>
          <w:highlight w:val="none"/>
          <w:lang w:val="en-US" w:eastAsia="zh-CN"/>
        </w:rPr>
        <w:t>理财计划风险揭示书、理财计划产品说明书、投资者权益须知及</w:t>
      </w:r>
      <w:r>
        <w:rPr>
          <w:rFonts w:hint="eastAsia" w:ascii="Calibri" w:hAnsi="Calibri" w:eastAsia="宋体" w:cs="黑体"/>
          <w:b/>
          <w:bCs/>
          <w:sz w:val="24"/>
          <w:highlight w:val="none"/>
        </w:rPr>
        <w:t>理财计划投资协议书共同构成完整且不可分割的理财计划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。杭银理财有限责任公司（以下简称“杭银理财”）建议投资者在购买理财计划前认真阅读</w:t>
      </w:r>
      <w:r>
        <w:rPr>
          <w:rFonts w:hint="eastAsia" w:ascii="Calibri" w:hAnsi="Calibri" w:eastAsia="宋体" w:cs="黑体"/>
          <w:b/>
          <w:bCs/>
          <w:sz w:val="24"/>
          <w:highlight w:val="none"/>
          <w:lang w:val="en-US" w:eastAsia="zh-CN"/>
        </w:rPr>
        <w:t>全套</w:t>
      </w:r>
      <w:r>
        <w:rPr>
          <w:rFonts w:hint="eastAsia" w:ascii="Calibri" w:hAnsi="Calibri" w:eastAsia="宋体" w:cs="黑体"/>
          <w:b/>
          <w:bCs/>
          <w:sz w:val="24"/>
          <w:highlight w:val="none"/>
        </w:rPr>
        <w:t>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，投资者签署</w:t>
      </w:r>
      <w:r>
        <w:rPr>
          <w:rFonts w:hint="eastAsia" w:ascii="Calibri" w:hAnsi="Calibri" w:eastAsia="宋体" w:cs="黑体"/>
          <w:b/>
          <w:bCs/>
          <w:sz w:val="24"/>
          <w:highlight w:val="none"/>
          <w:lang w:val="en-US" w:eastAsia="zh-CN"/>
        </w:rPr>
        <w:t>本</w:t>
      </w:r>
      <w:r>
        <w:rPr>
          <w:rFonts w:hint="eastAsia" w:ascii="Calibri" w:hAnsi="Calibri" w:eastAsia="宋体" w:cs="黑体"/>
          <w:b/>
          <w:bCs/>
          <w:sz w:val="24"/>
          <w:highlight w:val="none"/>
        </w:rPr>
        <w:t>协议书（含电子渠道签署）即视为已详细阅读理财计划合同并知悉相关风险，自愿投资购买理财计划、遵守合同约定并承担相应风险。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Calibri" w:hAnsi="Calibri" w:eastAsia="宋体" w:cs="黑体"/>
          <w:b/>
          <w:bCs/>
          <w:sz w:val="24"/>
          <w:highlight w:val="none"/>
          <w:lang w:val="en-US" w:eastAsia="zh-CN"/>
        </w:rPr>
      </w:pPr>
      <w:r>
        <w:rPr>
          <w:rFonts w:hint="eastAsia" w:ascii="Calibri" w:hAnsi="Calibri" w:eastAsia="宋体" w:cs="黑体"/>
          <w:b/>
          <w:bCs/>
          <w:sz w:val="24"/>
          <w:highlight w:val="none"/>
          <w:lang w:val="en-US" w:eastAsia="zh-CN"/>
        </w:rPr>
        <w:t>理财非存款、产品有风险、投资须谨慎，理财计划过往业绩不代表其未来表现，不等于理财计划实际收益。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理财计划销售的相关法律主体为发行理财计划的理财公司、</w:t>
      </w:r>
      <w:r>
        <w:rPr>
          <w:rFonts w:hint="eastAsia" w:eastAsia="宋体" w:cs="黑体"/>
          <w:sz w:val="24"/>
          <w:highlight w:val="none"/>
          <w:lang w:val="en-US" w:eastAsia="zh-CN"/>
        </w:rPr>
        <w:t>理财公司自有销售渠道以及</w:t>
      </w:r>
      <w:r>
        <w:rPr>
          <w:rFonts w:hint="eastAsia" w:ascii="Calibri" w:hAnsi="Calibri" w:eastAsia="宋体" w:cs="黑体"/>
          <w:sz w:val="24"/>
          <w:highlight w:val="none"/>
          <w:lang w:val="en-US" w:eastAsia="zh-CN"/>
        </w:rPr>
        <w:t>接受理财公司委托销售其发行理财计划的代理销售机构（以下简称“销售机构”）和投资者三方。理财公司是理财计划的设计发行方与管理人，</w:t>
      </w:r>
      <w:r>
        <w:rPr>
          <w:rFonts w:hint="eastAsia" w:eastAsia="宋体" w:cs="黑体"/>
          <w:sz w:val="24"/>
          <w:highlight w:val="none"/>
          <w:lang w:val="en-US" w:eastAsia="zh-CN"/>
        </w:rPr>
        <w:t>理财公司和</w:t>
      </w:r>
      <w:r>
        <w:rPr>
          <w:rFonts w:hint="eastAsia" w:ascii="Calibri" w:hAnsi="Calibri" w:eastAsia="宋体" w:cs="黑体"/>
          <w:sz w:val="24"/>
          <w:highlight w:val="none"/>
          <w:lang w:val="en-US" w:eastAsia="zh-CN"/>
        </w:rPr>
        <w:t>销售机构面向投资者实施销售行为，两方共同承担理财计划的合规销售和投资者合法权益保护义务。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投资者与销售机构经平等友好协商，本着自愿、诚实信用原则，就投资者购买销售机构代理销售的理财计划有关事宜达成如下协议（以下简称“本协议”）：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第一条 </w:t>
      </w:r>
      <w:r>
        <w:rPr>
          <w:rFonts w:hint="eastAsia" w:ascii="Calibri" w:hAnsi="Calibri" w:eastAsia="宋体" w:cs="黑体"/>
          <w:b/>
          <w:bCs/>
          <w:sz w:val="24"/>
          <w:highlight w:val="none"/>
          <w:lang w:val="en-US" w:eastAsia="zh-CN"/>
        </w:rPr>
        <w:t>名词释义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r>
        <w:rPr>
          <w:rFonts w:hint="eastAsia" w:ascii="Calibri" w:hAnsi="Calibri" w:eastAsia="宋体" w:cs="黑体"/>
          <w:bCs/>
          <w:sz w:val="24"/>
          <w:highlight w:val="none"/>
          <w:lang w:val="en-US" w:eastAsia="zh-CN"/>
        </w:rPr>
        <w:t>详见对应期次的理财计划产品说明书“释义”部分。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第二条 </w:t>
      </w:r>
      <w:r>
        <w:rPr>
          <w:rFonts w:hint="eastAsia" w:ascii="Calibri" w:hAnsi="Calibri" w:eastAsia="宋体" w:cs="黑体"/>
          <w:b/>
          <w:bCs/>
          <w:sz w:val="24"/>
          <w:highlight w:val="none"/>
          <w:lang w:val="en-US" w:eastAsia="zh-CN"/>
        </w:rPr>
        <w:t>投资者权利与义务</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eastAsia="宋体" w:cs="黑体"/>
          <w:color w:val="000000"/>
          <w:kern w:val="2"/>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投资者保证自身完全了解理财投资的性质，投资所涉及的风险以及自身风险承受能力，在慎重考虑后独立作出交易决定。</w:t>
      </w:r>
    </w:p>
    <w:p>
      <w:pPr>
        <w:widowControl/>
        <w:numPr>
          <w:ilvl w:val="0"/>
          <w:numId w:val="79"/>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rPr>
        <w:t>投资者购买</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lang w:eastAsia="zh-CN"/>
        </w:rPr>
        <w:t>代理销售</w:t>
      </w:r>
      <w:r>
        <w:rPr>
          <w:rFonts w:hint="eastAsia" w:ascii="宋体" w:hAnsi="宋体" w:eastAsia="宋体" w:cs="黑体"/>
          <w:b/>
          <w:bCs/>
          <w:sz w:val="24"/>
          <w:highlight w:val="none"/>
        </w:rPr>
        <w:t>的私募</w:t>
      </w:r>
      <w:r>
        <w:rPr>
          <w:rFonts w:hint="eastAsia" w:ascii="宋体" w:hAnsi="宋体" w:eastAsia="宋体" w:cs="黑体"/>
          <w:b/>
          <w:bCs/>
          <w:sz w:val="24"/>
          <w:highlight w:val="none"/>
          <w:lang w:eastAsia="zh-CN"/>
        </w:rPr>
        <w:t>理财计划</w:t>
      </w:r>
      <w:r>
        <w:rPr>
          <w:rFonts w:hint="eastAsia" w:ascii="宋体" w:hAnsi="宋体" w:eastAsia="宋体" w:cs="黑体"/>
          <w:b/>
          <w:bCs/>
          <w:sz w:val="24"/>
          <w:highlight w:val="none"/>
        </w:rPr>
        <w:t>后，可以享有24 小时的投资冷静期，在投资冷静期内，如</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改变投资决定，应提出解除相应理财</w:t>
      </w:r>
      <w:r>
        <w:rPr>
          <w:rFonts w:hint="eastAsia" w:ascii="宋体" w:hAnsi="宋体" w:eastAsia="宋体" w:cs="黑体"/>
          <w:b/>
          <w:bCs/>
          <w:sz w:val="24"/>
          <w:highlight w:val="none"/>
          <w:lang w:val="en-US" w:eastAsia="zh-CN"/>
        </w:rPr>
        <w:t>计划合同</w:t>
      </w:r>
      <w:r>
        <w:rPr>
          <w:rFonts w:hint="eastAsia" w:ascii="宋体" w:hAnsi="宋体" w:eastAsia="宋体" w:cs="黑体"/>
          <w:b/>
          <w:bCs/>
          <w:sz w:val="24"/>
          <w:highlight w:val="none"/>
        </w:rPr>
        <w:t>文件申请，</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将及时退还</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的全部投资款项。</w:t>
      </w:r>
      <w:r>
        <w:rPr>
          <w:rFonts w:hint="eastAsia" w:ascii="宋体" w:hAnsi="宋体" w:eastAsia="宋体" w:cs="黑体"/>
          <w:sz w:val="24"/>
          <w:highlight w:val="none"/>
        </w:rPr>
        <w:t>投资冷静期相关约定详见</w:t>
      </w:r>
      <w:r>
        <w:rPr>
          <w:rFonts w:hint="eastAsia" w:ascii="宋体" w:hAnsi="宋体" w:eastAsia="宋体" w:cs="黑体"/>
          <w:sz w:val="24"/>
          <w:highlight w:val="none"/>
          <w:lang w:val="en-US" w:eastAsia="zh-CN"/>
        </w:rPr>
        <w:t>理财计划产品</w:t>
      </w:r>
      <w:r>
        <w:rPr>
          <w:rFonts w:hint="eastAsia" w:ascii="宋体" w:hAnsi="宋体" w:eastAsia="宋体" w:cs="黑体"/>
          <w:sz w:val="24"/>
          <w:highlight w:val="none"/>
        </w:rPr>
        <w:t>说明书</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投资者保证其有权利签署本协议和履行本协议所述的义务，并已为此采取一切所需的行为。</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投资者保证执行及交付任何文件或履行本协议项下的义务，均不会违反任何适用法律、法规、法令或法律限制</w:t>
      </w:r>
      <w:r>
        <w:rPr>
          <w:rFonts w:hint="eastAsia" w:ascii="宋体" w:hAnsi="宋体" w:eastAsia="宋体" w:cs="黑体"/>
          <w:sz w:val="24"/>
          <w:highlight w:val="none"/>
          <w:lang w:eastAsia="zh-CN"/>
        </w:rPr>
        <w:t>；</w:t>
      </w:r>
      <w:r>
        <w:rPr>
          <w:rFonts w:hint="eastAsia" w:ascii="宋体" w:hAnsi="宋体" w:eastAsia="宋体" w:cs="黑体"/>
          <w:sz w:val="24"/>
          <w:highlight w:val="none"/>
        </w:rPr>
        <w:t>不会违反任何法院或政府机关所作出的适用于投资者或投资者任何资产的判决或指令；不会违反对投资者或投资者任何资产有约束力的任何重大协议条款。投资者应在签署本协议的同时在</w:t>
      </w:r>
      <w:r>
        <w:rPr>
          <w:rFonts w:hint="eastAsia" w:ascii="宋体" w:hAnsi="宋体" w:eastAsia="宋体" w:cs="黑体"/>
          <w:sz w:val="24"/>
          <w:highlight w:val="none"/>
          <w:lang w:val="en-US" w:eastAsia="zh-CN"/>
        </w:rPr>
        <w:t>其</w:t>
      </w:r>
      <w:r>
        <w:rPr>
          <w:rFonts w:hint="eastAsia" w:ascii="宋体" w:hAnsi="宋体" w:eastAsia="宋体" w:cs="黑体"/>
          <w:sz w:val="24"/>
          <w:highlight w:val="none"/>
        </w:rPr>
        <w:t>授权指定</w:t>
      </w:r>
      <w:r>
        <w:rPr>
          <w:rFonts w:hint="eastAsia" w:ascii="宋体" w:hAnsi="宋体" w:eastAsia="宋体" w:cs="黑体"/>
          <w:sz w:val="24"/>
          <w:highlight w:val="none"/>
          <w:lang w:val="en-US" w:eastAsia="zh-CN"/>
        </w:rPr>
        <w:t>的</w:t>
      </w:r>
      <w:r>
        <w:rPr>
          <w:rFonts w:hint="eastAsia" w:ascii="宋体" w:hAnsi="宋体" w:eastAsia="宋体" w:cs="黑体"/>
          <w:sz w:val="24"/>
          <w:highlight w:val="none"/>
        </w:rPr>
        <w:t>账户</w:t>
      </w:r>
      <w:r>
        <w:rPr>
          <w:rFonts w:hint="eastAsia" w:ascii="宋体" w:hAnsi="宋体" w:eastAsia="宋体" w:cs="黑体"/>
          <w:sz w:val="24"/>
          <w:highlight w:val="none"/>
          <w:lang w:val="en-US" w:eastAsia="zh-CN"/>
        </w:rPr>
        <w:t>中（以下简称“授权指定账户”）</w:t>
      </w:r>
      <w:r>
        <w:rPr>
          <w:rFonts w:hint="eastAsia" w:ascii="宋体" w:hAnsi="宋体" w:eastAsia="宋体" w:cs="黑体"/>
          <w:sz w:val="24"/>
          <w:highlight w:val="none"/>
        </w:rPr>
        <w:t>存入足额的资金以确保账户余额大于或等于认/申购金额。</w:t>
      </w:r>
    </w:p>
    <w:p>
      <w:pPr>
        <w:widowControl/>
        <w:numPr>
          <w:ilvl w:val="0"/>
          <w:numId w:val="79"/>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在此确认</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的系统记录以及录音、录像构成对</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操作行为（包括但不限于购买、赎回、撤单）的有效证据，并且在</w:t>
      </w:r>
      <w:r>
        <w:rPr>
          <w:rFonts w:hint="eastAsia" w:ascii="宋体" w:hAnsi="宋体" w:eastAsia="宋体" w:cs="黑体"/>
          <w:b/>
          <w:bCs/>
          <w:sz w:val="24"/>
          <w:highlight w:val="none"/>
          <w:lang w:val="en-US" w:eastAsia="zh-CN"/>
        </w:rPr>
        <w:t>双</w:t>
      </w:r>
      <w:r>
        <w:rPr>
          <w:rFonts w:hint="eastAsia" w:ascii="宋体" w:hAnsi="宋体" w:eastAsia="宋体" w:cs="黑体"/>
          <w:b/>
          <w:bCs/>
          <w:sz w:val="24"/>
          <w:highlight w:val="none"/>
        </w:rPr>
        <w:t>方发生争议时可以作为合法有效的证据使用</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在本理财计划存续期内，如有权机关要求</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配合对投资者理财份额、理财账户、授权指定账户进行查封、冻结或扣划的，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有权根据实际情况采取</w:t>
      </w:r>
      <w:r>
        <w:rPr>
          <w:rFonts w:hint="eastAsia" w:ascii="宋体" w:hAnsi="宋体" w:eastAsia="宋体" w:cs="黑体"/>
          <w:sz w:val="24"/>
          <w:highlight w:val="none"/>
          <w:lang w:val="en-US" w:eastAsia="zh-CN"/>
        </w:rPr>
        <w:t>相应</w:t>
      </w:r>
      <w:r>
        <w:rPr>
          <w:rFonts w:hint="eastAsia" w:ascii="宋体" w:hAnsi="宋体" w:eastAsia="宋体" w:cs="黑体"/>
          <w:sz w:val="24"/>
          <w:highlight w:val="none"/>
        </w:rPr>
        <w:t>措施。</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对上述后果不承担任何责任。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本协议终止前，投资者不得将授权指定账户销户。若发生因投资者注销授权指定账户造成理财计划无法正常兑付的，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不承担任何责任。</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投资者应确保其提供的所有资料真实、完整、合法、有效，如果有任何变更，投资者应及时通知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并办理变更手续。如因投资者未及时通知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并办理相应的变更手续，由此导致的一切后果由投资者自行承担，</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lang w:val="en-US" w:eastAsia="zh-CN"/>
        </w:rPr>
        <w:t>投资者</w:t>
      </w:r>
      <w:r>
        <w:rPr>
          <w:rFonts w:hint="eastAsia" w:ascii="宋体" w:hAnsi="宋体" w:eastAsia="宋体" w:cs="黑体"/>
          <w:sz w:val="24"/>
          <w:highlight w:val="none"/>
        </w:rPr>
        <w:t>对本协议及其条款负有保密义务，未经</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书面许可，不得向任何组织、个人提供或泄露与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有关的业务资料及信息，但法律、法规另有规定的除外</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投资者进行投资时，应严格遵守反洗钱相关法规的规定，切实履行反洗钱及反恐怖融资义务。</w:t>
      </w:r>
    </w:p>
    <w:p>
      <w:pPr>
        <w:widowControl/>
        <w:numPr>
          <w:ilvl w:val="0"/>
          <w:numId w:val="79"/>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投资者个人信息授权</w:t>
      </w:r>
    </w:p>
    <w:p>
      <w:pPr>
        <w:widowControl/>
        <w:numPr>
          <w:ilvl w:val="0"/>
          <w:numId w:val="0"/>
        </w:numPr>
        <w:spacing w:line="360" w:lineRule="auto"/>
        <w:ind w:left="0" w:leftChars="0" w:firstLine="482" w:firstLineChars="200"/>
        <w:contextualSpacing/>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79"/>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w:t>
      </w:r>
      <w:r>
        <w:rPr>
          <w:rFonts w:hint="eastAsia" w:ascii="宋体" w:hAnsi="宋体"/>
          <w:b/>
          <w:bCs/>
          <w:sz w:val="24"/>
          <w:highlight w:val="none"/>
        </w:rPr>
        <w:t>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numPr>
          <w:ilvl w:val="0"/>
          <w:numId w:val="0"/>
        </w:numPr>
        <w:spacing w:line="360" w:lineRule="auto"/>
        <w:ind w:left="0" w:leftChars="0" w:firstLine="482" w:firstLineChars="200"/>
        <w:contextualSpacing/>
        <w:rPr>
          <w:rFonts w:hint="default"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第三条 </w:t>
      </w:r>
      <w:r>
        <w:rPr>
          <w:rFonts w:hint="eastAsia" w:ascii="Calibri" w:hAnsi="Calibri" w:eastAsia="宋体" w:cs="黑体"/>
          <w:b/>
          <w:bCs/>
          <w:sz w:val="24"/>
          <w:highlight w:val="none"/>
          <w:lang w:val="en-US" w:eastAsia="zh-CN"/>
        </w:rPr>
        <w:t>销售机构的权利与义务</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2"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b/>
          <w:bCs/>
          <w:sz w:val="24"/>
          <w:highlight w:val="none"/>
          <w:lang w:val="en-US" w:eastAsia="zh-CN"/>
        </w:rPr>
        <w:t>代理销售机构非本计划的发行、管理机构，对本计划的业绩不承担任何保证和其他经济责任，不承担本计划的投资、兑付和风险管理责任</w:t>
      </w:r>
      <w:r>
        <w:rPr>
          <w:rFonts w:hint="eastAsia" w:ascii="宋体" w:hAnsi="宋体" w:eastAsia="宋体" w:cs="黑体"/>
          <w:sz w:val="24"/>
          <w:highlight w:val="none"/>
          <w:lang w:val="en-US" w:eastAsia="zh-CN"/>
        </w:rPr>
        <w:t>。</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销售机构应定期对购买其代理销售的理财计划的非机构投资者进行有效风险承受能力评估，并保证向投资者推介及销售与其风险承受能力匹配的产品。</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销售机构应建立健全上岗资格、持续培训、信息公示与查询核实等制度并有效执行。未经销售机构进行上岗资格认定并签订劳动合同，任何人员不得从事理财计划销售业务活动。</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销售机构应对所有销售人员信息进行登记和公示。销售人员在向投资者宣传销售理财计划前进行自我介绍并告知信息查询和核实渠道，便于投资者查询核实，防止伪冒身份和虚假宣传。</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销售机构对投资者负有信息保密义务，未经投资者书面许可，乙方不得向任何组织、个人提供或泄露与甲方有关的业务资料及信息，但法律、法规另有规定的除外。</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销售机构应按照法律法规、监管规定、理财计划合同的约定收取销售费用，并如实核算、记账。未经载明，不得对不同投资者适用不同费率。</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理财计划销售结算资金属于理财计划投资者，销售机构不得挪用理财计划销售结算资金或将理财计划销售结算资金归入自有资产。</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销售机构应遵守相关法律、法规、监管规定及理财计划合同约定，诚实守信、勤勉尽责，向购买理财计划的投资者充分传递管理人披露的产品相关信息并进行充分的风险揭示。</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销售机构应当充分利用科技手段，加强对伪冒网站、伪冒产品等监测，有效防范各类欺诈风险。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2" w:firstLine="0"/>
        <w:contextualSpacing/>
        <w:jc w:val="left"/>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第四条 </w:t>
      </w:r>
      <w:r>
        <w:rPr>
          <w:rFonts w:hint="eastAsia" w:ascii="Calibri" w:hAnsi="Calibri" w:eastAsia="宋体" w:cs="黑体"/>
          <w:b/>
          <w:bCs/>
          <w:sz w:val="24"/>
          <w:highlight w:val="none"/>
          <w:lang w:val="en-US" w:eastAsia="zh-CN"/>
        </w:rPr>
        <w:t>理财计划认（申）购、赎回及终止</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理财计划认/申购办理流程：参照投资者权益须知约定。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理财计划认/申购确认：管理人根据</w:t>
      </w:r>
      <w:r>
        <w:rPr>
          <w:rFonts w:hint="eastAsia" w:ascii="宋体" w:hAnsi="宋体" w:eastAsia="宋体" w:cs="黑体"/>
          <w:sz w:val="24"/>
          <w:highlight w:val="none"/>
          <w:lang w:eastAsia="zh-CN"/>
        </w:rPr>
        <w:t>销售</w:t>
      </w:r>
      <w:r>
        <w:rPr>
          <w:rFonts w:hint="eastAsia" w:ascii="宋体" w:hAnsi="宋体" w:eastAsia="宋体" w:cs="黑体"/>
          <w:sz w:val="24"/>
          <w:highlight w:val="none"/>
        </w:rPr>
        <w:t>渠道提供的交易信息及资金划付对投资者相应认/申购进行确认。</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理财计划不成立：若在募集期结束日，本理财计划发行规模未能达到对应期次的理财计划产品说明书规定的要求，则本理财计划不成立，</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 xml:space="preserve">将按对应期次的理财计划产品说明书约定条款向投资者进行公告，并将及时解除对投资者授权指定账户中认购资金的冻结。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理财计划投资品种、投资起点金额、收益支付方式：参照对应期次的理财计划产品说明书中的条款约定。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理财计划赎回/终止兑付：在正常情况下，管理人和</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产品说明书约定管理人对理财计划进行延期或转换时，</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将于原约定清算日前通过信息披露途径及时通知，并根据实际情况进行后续处理。</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资金清算：理财计划终止或份额赎回时，管理人按理财计划合同约定划付至</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清算账户后，由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向投资者划付投资者应得资金。如因投资者清算账户余额不足，或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未及时足额划付资金，或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清算账户内资金被依法冻结或扣划，或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清算账户处于被挂失、冻结、注销或其他非正常状态等原因而导致交易失败</w:t>
      </w:r>
      <w:r>
        <w:rPr>
          <w:rFonts w:hint="eastAsia" w:ascii="宋体" w:hAnsi="宋体" w:eastAsia="宋体" w:cs="黑体"/>
          <w:sz w:val="24"/>
          <w:highlight w:val="none"/>
          <w:lang w:eastAsia="zh-CN"/>
        </w:rPr>
        <w:t>，</w:t>
      </w:r>
      <w:r>
        <w:rPr>
          <w:rFonts w:hint="eastAsia" w:ascii="宋体" w:hAnsi="宋体" w:eastAsia="宋体" w:cs="黑体"/>
          <w:sz w:val="24"/>
          <w:highlight w:val="none"/>
        </w:rPr>
        <w:t>对于因上述原因导致的交易失败可能带来的任何损失及预期损失，投资者须自行承担或向</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依法主张。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204" w:leftChars="85" w:firstLine="0" w:firstLineChars="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第五条 </w:t>
      </w:r>
      <w:r>
        <w:rPr>
          <w:rFonts w:hint="eastAsia" w:ascii="Calibri" w:hAnsi="Calibri" w:eastAsia="宋体" w:cs="黑体"/>
          <w:b/>
          <w:bCs/>
          <w:sz w:val="24"/>
          <w:highlight w:val="none"/>
          <w:lang w:val="en-US" w:eastAsia="zh-CN"/>
        </w:rPr>
        <w:t>违约责任及免责条款</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原因导致司法或行政</w:t>
      </w:r>
      <w:r>
        <w:rPr>
          <w:rFonts w:hint="eastAsia" w:ascii="宋体" w:hAnsi="宋体" w:eastAsia="宋体" w:cs="黑体"/>
          <w:sz w:val="24"/>
          <w:highlight w:val="none"/>
          <w:lang w:eastAsia="zh-CN"/>
        </w:rPr>
        <w:t>等有权机关</w:t>
      </w:r>
      <w:r>
        <w:rPr>
          <w:rFonts w:hint="eastAsia" w:ascii="宋体" w:hAnsi="宋体" w:eastAsia="宋体" w:cs="黑体"/>
          <w:sz w:val="24"/>
          <w:highlight w:val="none"/>
        </w:rPr>
        <w:t>采取强制措施对其理财本金、收益进行部分或全部被扣划，均视投资者本人就全部理财本金进行了提前</w:t>
      </w:r>
      <w:r>
        <w:rPr>
          <w:rFonts w:hint="eastAsia" w:ascii="宋体" w:hAnsi="宋体" w:eastAsia="宋体" w:cs="黑体"/>
          <w:sz w:val="24"/>
          <w:highlight w:val="none"/>
          <w:lang w:eastAsia="zh-CN"/>
        </w:rPr>
        <w:t>赎回</w:t>
      </w:r>
      <w:r>
        <w:rPr>
          <w:rFonts w:hint="eastAsia" w:ascii="宋体" w:hAnsi="宋体" w:eastAsia="宋体" w:cs="黑体"/>
          <w:sz w:val="24"/>
          <w:highlight w:val="none"/>
        </w:rPr>
        <w:t>，本</w:t>
      </w:r>
      <w:r>
        <w:rPr>
          <w:rFonts w:hint="eastAsia" w:ascii="宋体" w:hAnsi="宋体" w:eastAsia="宋体" w:cs="黑体"/>
          <w:sz w:val="24"/>
          <w:highlight w:val="none"/>
          <w:lang w:eastAsia="zh-CN"/>
        </w:rPr>
        <w:t>协议</w:t>
      </w:r>
      <w:r>
        <w:rPr>
          <w:rFonts w:hint="eastAsia" w:ascii="宋体" w:hAnsi="宋体" w:eastAsia="宋体" w:cs="黑体"/>
          <w:sz w:val="24"/>
          <w:highlight w:val="none"/>
        </w:rPr>
        <w:t>自动终止。因提前终止而产生的损失及相关费用由投资者承担。本</w:t>
      </w:r>
      <w:r>
        <w:rPr>
          <w:rFonts w:hint="eastAsia" w:ascii="宋体" w:hAnsi="宋体" w:eastAsia="宋体" w:cs="黑体"/>
          <w:sz w:val="24"/>
          <w:highlight w:val="none"/>
          <w:lang w:eastAsia="zh-CN"/>
        </w:rPr>
        <w:t>协议因</w:t>
      </w:r>
      <w:r>
        <w:rPr>
          <w:rFonts w:hint="eastAsia" w:ascii="宋体" w:hAnsi="宋体" w:eastAsia="宋体" w:cs="黑体"/>
          <w:sz w:val="24"/>
          <w:highlight w:val="none"/>
        </w:rPr>
        <w:t>前述情况终止的，理财本金不计付</w:t>
      </w:r>
      <w:r>
        <w:rPr>
          <w:rFonts w:hint="eastAsia" w:ascii="宋体" w:hAnsi="宋体" w:eastAsia="宋体" w:cs="黑体"/>
          <w:sz w:val="24"/>
          <w:highlight w:val="none"/>
          <w:lang w:eastAsia="zh-CN"/>
        </w:rPr>
        <w:t>赎回</w:t>
      </w:r>
      <w:r>
        <w:rPr>
          <w:rFonts w:hint="eastAsia" w:ascii="宋体" w:hAnsi="宋体" w:eastAsia="宋体" w:cs="黑体"/>
          <w:sz w:val="24"/>
          <w:highlight w:val="none"/>
        </w:rPr>
        <w:t>日前的理财收益，也不计付存款利息。</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投资者违反本协议第二条内容，应承担相应违约责任。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对由此导致的理财业务交易延误、中断、终止及</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损失不承担任何责任，并有权单方终止双方理财业务关系。因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违反双方约定给</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或全体投资者造成损失的，</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应承担相应的赔偿责任。</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若由于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过错导致理财计划资产发生损失，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应按其过错承担赔偿责任，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赔偿的款项计入理财计划的资产和收益。</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由于地震、火灾、战争等不可抗力或突发重大卫生公共事件等不可预测事件造成的交易中断、延误等风险及损失，</w:t>
      </w:r>
      <w:r>
        <w:rPr>
          <w:rFonts w:hint="eastAsia" w:ascii="宋体" w:hAnsi="宋体" w:cs="黑体"/>
          <w:sz w:val="24"/>
          <w:highlight w:val="none"/>
          <w:lang w:eastAsia="zh-CN"/>
        </w:rPr>
        <w:t>销售机构</w:t>
      </w:r>
      <w:r>
        <w:rPr>
          <w:rFonts w:hint="eastAsia" w:ascii="宋体" w:hAnsi="宋体" w:eastAsia="宋体" w:cs="黑体"/>
          <w:sz w:val="24"/>
          <w:highlight w:val="none"/>
        </w:rPr>
        <w:t>不承担责任；但</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应在上述情况发生</w:t>
      </w:r>
      <w:r>
        <w:rPr>
          <w:rFonts w:hint="eastAsia" w:ascii="宋体" w:hAnsi="宋体" w:eastAsia="宋体" w:cs="黑体"/>
          <w:sz w:val="24"/>
          <w:highlight w:val="none"/>
          <w:lang w:eastAsia="zh-CN"/>
        </w:rPr>
        <w:t>后</w:t>
      </w:r>
      <w:r>
        <w:rPr>
          <w:rFonts w:hint="eastAsia" w:ascii="宋体" w:hAnsi="宋体" w:eastAsia="宋体" w:cs="黑体"/>
          <w:sz w:val="24"/>
          <w:highlight w:val="none"/>
        </w:rPr>
        <w:t>在条件允许时及时通知</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并采取一切必要且可能的措施阻止损失扩大。</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因国家有关法律、法规、规章、政策的修改或新的法律、法规、规章、政策颁布以及紧急措施的出台导致的风险及损失，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b/>
          <w:bCs/>
          <w:sz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第六条 </w:t>
      </w:r>
      <w:r>
        <w:rPr>
          <w:rFonts w:hint="eastAsia" w:ascii="Calibri" w:hAnsi="Calibri" w:eastAsia="宋体" w:cs="黑体"/>
          <w:b/>
          <w:bCs/>
          <w:sz w:val="24"/>
          <w:highlight w:val="none"/>
          <w:lang w:val="en-US" w:eastAsia="zh-CN"/>
        </w:rPr>
        <w:t>适用法律与争议解决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销售机构或管理人所在地人民法院诉讼解决。诉讼期间，未涉及争议的条款仍需继续履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第七条 </w:t>
      </w:r>
      <w:r>
        <w:rPr>
          <w:rFonts w:hint="eastAsia" w:ascii="Calibri" w:hAnsi="Calibri" w:eastAsia="宋体" w:cs="黑体"/>
          <w:b/>
          <w:bCs/>
          <w:sz w:val="24"/>
          <w:highlight w:val="none"/>
          <w:lang w:val="en-US" w:eastAsia="zh-CN"/>
        </w:rPr>
        <w:t>协议生效和终止</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双方认可本协议可以纸质或电子数据等形式提交、订立或确认。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本协议书以纸质书面形式订立的，自投资者签字和销售机构签章之后立即生效。协议一式</w:t>
      </w:r>
      <w:r>
        <w:rPr>
          <w:rFonts w:hint="eastAsia" w:ascii="宋体" w:hAnsi="宋体" w:eastAsia="宋体" w:cs="黑体"/>
          <w:sz w:val="24"/>
          <w:highlight w:val="none"/>
          <w:lang w:val="en-US" w:eastAsia="zh-CN"/>
        </w:rPr>
        <w:t>叁</w:t>
      </w:r>
      <w:r>
        <w:rPr>
          <w:rFonts w:hint="eastAsia" w:ascii="宋体" w:hAnsi="宋体" w:eastAsia="宋体" w:cs="黑体"/>
          <w:sz w:val="24"/>
          <w:highlight w:val="none"/>
        </w:rPr>
        <w:t>份，投资者</w:t>
      </w:r>
      <w:r>
        <w:rPr>
          <w:rFonts w:hint="eastAsia" w:ascii="宋体" w:hAnsi="宋体" w:eastAsia="宋体" w:cs="黑体"/>
          <w:sz w:val="24"/>
          <w:highlight w:val="none"/>
          <w:lang w:eastAsia="zh-CN"/>
        </w:rPr>
        <w:t>、</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各执壹份，具有同等法律效力。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本协议书以数据电文形式订立的，投资者在销售机构的电子银行</w:t>
      </w:r>
      <w:r>
        <w:rPr>
          <w:rFonts w:hint="eastAsia" w:ascii="宋体" w:hAnsi="宋体" w:eastAsia="宋体" w:cs="黑体"/>
          <w:sz w:val="24"/>
          <w:highlight w:val="none"/>
          <w:lang w:eastAsia="zh-CN"/>
        </w:rPr>
        <w:t>渠道</w:t>
      </w:r>
      <w:r>
        <w:rPr>
          <w:rFonts w:hint="eastAsia" w:ascii="宋体" w:hAnsi="宋体" w:eastAsia="宋体" w:cs="黑体"/>
          <w:sz w:val="24"/>
          <w:highlight w:val="none"/>
        </w:rPr>
        <w:t>（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双方在本协议及对应期次的理财计划产品说明书项下权利义务履行完毕之日，本协议自动终止。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firstLine="0"/>
        <w:contextualSpacing/>
        <w:textAlignment w:val="auto"/>
        <w:rPr>
          <w:rFonts w:hint="eastAsia" w:ascii="宋体" w:hAnsi="宋体"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val="0"/>
          <w:sz w:val="24"/>
          <w:highlight w:val="none"/>
          <w:lang w:val="en-US" w:eastAsia="zh-CN"/>
        </w:rPr>
      </w:pPr>
      <w:r>
        <w:rPr>
          <w:rFonts w:hint="eastAsia" w:eastAsia="宋体" w:cs="黑体"/>
          <w:b/>
          <w:bCs w:val="0"/>
          <w:sz w:val="24"/>
          <w:highlight w:val="none"/>
          <w:lang w:val="en-US" w:eastAsia="zh-CN"/>
        </w:rPr>
        <w:t xml:space="preserve">第八条 </w:t>
      </w:r>
      <w:r>
        <w:rPr>
          <w:rFonts w:hint="eastAsia" w:ascii="Calibri" w:hAnsi="Calibri" w:eastAsia="宋体" w:cs="黑体"/>
          <w:b/>
          <w:bCs w:val="0"/>
          <w:sz w:val="24"/>
          <w:highlight w:val="none"/>
          <w:lang w:val="en-US" w:eastAsia="zh-CN"/>
        </w:rPr>
        <w:t xml:space="preserve">附则 </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如果投资者与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之间存在多份理财计划</w:t>
      </w:r>
      <w:r>
        <w:rPr>
          <w:rFonts w:hint="eastAsia" w:ascii="宋体" w:hAnsi="宋体" w:eastAsia="宋体" w:cs="黑体"/>
          <w:sz w:val="24"/>
          <w:highlight w:val="none"/>
          <w:lang w:val="en-US" w:eastAsia="zh-CN"/>
        </w:rPr>
        <w:t>销售</w:t>
      </w:r>
      <w:r>
        <w:rPr>
          <w:rFonts w:hint="eastAsia" w:ascii="宋体" w:hAnsi="宋体" w:eastAsia="宋体" w:cs="黑体"/>
          <w:sz w:val="24"/>
          <w:highlight w:val="none"/>
        </w:rPr>
        <w:t>协议书，则每一协议书分别与其所对应的</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产品说明书等销售文本单独构成一个理财计划合同，各个合同之间互相独立，每一合同的效力及履行情况均独立于其他合同。</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如果由于任何原因使本合同下的任何条款或内容成为无效或被依法撤销，本合同其他条款或内容的合法性、有效性和可执行性不受影响。</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在理财计划存续期内，如因监管政策或法律法规发生变化，在不损害投资者利益的前提下，</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有权单方对理财计划</w:t>
      </w:r>
      <w:r>
        <w:rPr>
          <w:rFonts w:hint="default" w:ascii="宋体" w:hAnsi="宋体" w:eastAsia="宋体" w:cs="黑体"/>
          <w:sz w:val="24"/>
          <w:highlight w:val="none"/>
          <w:lang w:val="en-US"/>
        </w:rPr>
        <w:t>合同</w:t>
      </w:r>
      <w:r>
        <w:rPr>
          <w:rFonts w:hint="eastAsia" w:ascii="宋体" w:hAnsi="宋体" w:eastAsia="宋体" w:cs="黑体"/>
          <w:sz w:val="24"/>
          <w:highlight w:val="none"/>
          <w:lang w:val="en-US" w:eastAsia="zh-CN"/>
        </w:rPr>
        <w:t>销售文件</w:t>
      </w:r>
      <w:r>
        <w:rPr>
          <w:rFonts w:hint="eastAsia" w:ascii="宋体" w:hAnsi="宋体" w:eastAsia="宋体" w:cs="黑体"/>
          <w:sz w:val="24"/>
          <w:highlight w:val="none"/>
        </w:rPr>
        <w:t>进行修订。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widowControl/>
        <w:spacing w:line="360" w:lineRule="auto"/>
        <w:jc w:val="right"/>
        <w:rPr>
          <w:rFonts w:hint="eastAsia" w:ascii="宋体" w:hAnsi="Wingdings" w:eastAsia="宋体" w:cs="宋体"/>
          <w:color w:val="000000"/>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杭银理财有限责任公司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黑体"/>
          <w:b w:val="0"/>
          <w:bCs w:val="0"/>
          <w:sz w:val="24"/>
          <w:szCs w:val="24"/>
          <w:highlight w:val="none"/>
          <w:lang w:val="en-US" w:eastAsia="zh-CN"/>
        </w:rPr>
      </w:pPr>
      <w:r>
        <w:rPr>
          <w:rFonts w:hint="eastAsia" w:ascii="宋体" w:hAnsi="宋体" w:eastAsia="宋体" w:cs="黑体"/>
          <w:b w:val="0"/>
          <w:bCs w:val="0"/>
          <w:sz w:val="24"/>
          <w:szCs w:val="24"/>
          <w:highlight w:val="none"/>
          <w:lang w:val="en-US" w:eastAsia="zh-CN"/>
        </w:rPr>
        <w:t>本页为</w:t>
      </w:r>
      <w:r>
        <w:rPr>
          <w:rFonts w:hint="eastAsia" w:ascii="宋体" w:hAnsi="宋体" w:eastAsia="宋体" w:cs="黑体"/>
          <w:b w:val="0"/>
          <w:bCs w:val="0"/>
          <w:sz w:val="24"/>
          <w:szCs w:val="24"/>
          <w:highlight w:val="none"/>
        </w:rPr>
        <w:t>纸质</w:t>
      </w:r>
      <w:r>
        <w:rPr>
          <w:rFonts w:hint="eastAsia" w:ascii="宋体" w:hAnsi="宋体" w:eastAsia="宋体" w:cs="黑体"/>
          <w:b w:val="0"/>
          <w:bCs w:val="0"/>
          <w:sz w:val="24"/>
          <w:szCs w:val="24"/>
          <w:highlight w:val="none"/>
          <w:lang w:val="en-US" w:eastAsia="zh-CN"/>
        </w:rPr>
        <w:t>形式（如有）销售协议书签章页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r>
        <w:rPr>
          <w:rFonts w:hint="eastAsia" w:ascii="宋体" w:hAnsi="宋体" w:eastAsia="宋体" w:cs="黑体"/>
          <w:b/>
          <w:bCs/>
          <w:sz w:val="24"/>
          <w:highlight w:val="none"/>
        </w:rPr>
        <w:t>投资者</w:t>
      </w:r>
      <w:r>
        <w:rPr>
          <w:rFonts w:hint="eastAsia" w:ascii="宋体" w:hAnsi="宋体" w:eastAsia="宋体" w:cs="黑体"/>
          <w:b/>
          <w:bCs/>
          <w:sz w:val="24"/>
          <w:highlight w:val="none"/>
          <w:lang w:eastAsia="zh-CN"/>
        </w:rPr>
        <w:t>（</w:t>
      </w:r>
      <w:r>
        <w:rPr>
          <w:rFonts w:hint="eastAsia" w:ascii="宋体" w:hAnsi="宋体" w:eastAsia="宋体" w:cs="黑体"/>
          <w:b/>
          <w:bCs/>
          <w:sz w:val="24"/>
          <w:highlight w:val="none"/>
        </w:rPr>
        <w:t>签字</w:t>
      </w:r>
      <w:r>
        <w:rPr>
          <w:rFonts w:hint="eastAsia" w:ascii="宋体" w:hAnsi="宋体" w:eastAsia="宋体" w:cs="黑体"/>
          <w:b/>
          <w:bCs/>
          <w:sz w:val="24"/>
          <w:highlight w:val="none"/>
          <w:lang w:eastAsia="zh-CN"/>
        </w:rPr>
        <w:t>或签章）</w:t>
      </w:r>
      <w:r>
        <w:rPr>
          <w:rFonts w:hint="eastAsia" w:ascii="宋体" w:hAnsi="宋体" w:eastAsia="宋体" w:cs="黑体"/>
          <w:b/>
          <w:bCs/>
          <w:sz w:val="24"/>
          <w:szCs w:val="24"/>
          <w:highlight w:val="none"/>
          <w:lang w:eastAsia="zh-CN"/>
        </w:rPr>
        <w:t>：</w:t>
      </w: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r>
        <w:rPr>
          <w:rFonts w:hint="eastAsia" w:ascii="宋体" w:hAnsi="宋体" w:eastAsia="宋体" w:cs="黑体"/>
          <w:b/>
          <w:bCs/>
          <w:sz w:val="24"/>
          <w:highlight w:val="none"/>
        </w:rPr>
        <w:t>销售机构签章</w:t>
      </w:r>
      <w:r>
        <w:rPr>
          <w:rFonts w:hint="eastAsia" w:ascii="宋体" w:hAnsi="宋体" w:eastAsia="宋体" w:cs="黑体"/>
          <w:b/>
          <w:bCs/>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59264"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投资须谨慎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2">
    <w:nsid w:val="85460E80"/>
    <w:multiLevelType w:val="singleLevel"/>
    <w:tmpl w:val="85460E80"/>
    <w:lvl w:ilvl="0" w:tentative="0">
      <w:start w:val="1"/>
      <w:numFmt w:val="decimal"/>
      <w:suff w:val="nothing"/>
      <w:lvlText w:val="（%1）"/>
      <w:lvlJc w:val="left"/>
      <w:rPr>
        <w:rFonts w:hint="default"/>
        <w:b w:val="0"/>
        <w:bCs w:val="0"/>
      </w:rPr>
    </w:lvl>
  </w:abstractNum>
  <w:abstractNum w:abstractNumId="3">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4">
    <w:nsid w:val="8906C252"/>
    <w:multiLevelType w:val="singleLevel"/>
    <w:tmpl w:val="8906C252"/>
    <w:lvl w:ilvl="0" w:tentative="0">
      <w:start w:val="1"/>
      <w:numFmt w:val="decimal"/>
      <w:suff w:val="nothing"/>
      <w:lvlText w:val="（%1）"/>
      <w:lvlJc w:val="left"/>
      <w:rPr>
        <w:rFonts w:hint="default"/>
        <w:b w:val="0"/>
        <w:bCs w:val="0"/>
      </w:rPr>
    </w:lvl>
  </w:abstractNum>
  <w:abstractNum w:abstractNumId="5">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6">
    <w:nsid w:val="8A61C70B"/>
    <w:multiLevelType w:val="singleLevel"/>
    <w:tmpl w:val="8A61C70B"/>
    <w:lvl w:ilvl="0" w:tentative="0">
      <w:start w:val="1"/>
      <w:numFmt w:val="decimal"/>
      <w:lvlText w:val="%1."/>
      <w:lvlJc w:val="left"/>
      <w:pPr>
        <w:tabs>
          <w:tab w:val="left" w:pos="312"/>
        </w:tabs>
      </w:pPr>
    </w:lvl>
  </w:abstractNum>
  <w:abstractNum w:abstractNumId="7">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8">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9">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10">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1">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2">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3">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4">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5">
    <w:nsid w:val="AC40BB97"/>
    <w:multiLevelType w:val="singleLevel"/>
    <w:tmpl w:val="AC40BB97"/>
    <w:lvl w:ilvl="0" w:tentative="0">
      <w:start w:val="1"/>
      <w:numFmt w:val="chineseCounting"/>
      <w:suff w:val="nothing"/>
      <w:lvlText w:val="%1、"/>
      <w:lvlJc w:val="left"/>
      <w:pPr>
        <w:ind w:left="-2"/>
      </w:pPr>
      <w:rPr>
        <w:rFonts w:hint="eastAsia"/>
      </w:rPr>
    </w:lvl>
  </w:abstractNum>
  <w:abstractNum w:abstractNumId="16">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7">
    <w:nsid w:val="B08226EF"/>
    <w:multiLevelType w:val="singleLevel"/>
    <w:tmpl w:val="B08226EF"/>
    <w:lvl w:ilvl="0" w:tentative="0">
      <w:start w:val="1"/>
      <w:numFmt w:val="chineseCounting"/>
      <w:suff w:val="space"/>
      <w:lvlText w:val="第%1条"/>
      <w:lvlJc w:val="left"/>
      <w:rPr>
        <w:rFonts w:hint="eastAsia"/>
      </w:rPr>
    </w:lvl>
  </w:abstractNum>
  <w:abstractNum w:abstractNumId="18">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9">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20">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1">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2">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3">
    <w:nsid w:val="D51C2339"/>
    <w:multiLevelType w:val="singleLevel"/>
    <w:tmpl w:val="D51C2339"/>
    <w:lvl w:ilvl="0" w:tentative="0">
      <w:start w:val="1"/>
      <w:numFmt w:val="decimal"/>
      <w:suff w:val="nothing"/>
      <w:lvlText w:val="%1．"/>
      <w:lvlJc w:val="left"/>
      <w:pPr>
        <w:ind w:left="-2" w:firstLine="400"/>
      </w:pPr>
      <w:rPr>
        <w:rFonts w:hint="default" w:ascii="宋体" w:hAnsi="宋体" w:eastAsia="宋体" w:cs="宋体"/>
        <w:b/>
        <w:bCs/>
      </w:rPr>
    </w:lvl>
  </w:abstractNum>
  <w:abstractNum w:abstractNumId="24">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5">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6">
    <w:nsid w:val="D8D75090"/>
    <w:multiLevelType w:val="singleLevel"/>
    <w:tmpl w:val="D8D75090"/>
    <w:lvl w:ilvl="0" w:tentative="0">
      <w:start w:val="1"/>
      <w:numFmt w:val="decimal"/>
      <w:suff w:val="nothing"/>
      <w:lvlText w:val="（%1）"/>
      <w:lvlJc w:val="left"/>
      <w:rPr>
        <w:rFonts w:hint="default"/>
        <w:b w:val="0"/>
        <w:bCs w:val="0"/>
      </w:rPr>
    </w:lvl>
  </w:abstractNum>
  <w:abstractNum w:abstractNumId="27">
    <w:nsid w:val="DD2251DF"/>
    <w:multiLevelType w:val="singleLevel"/>
    <w:tmpl w:val="DD2251DF"/>
    <w:lvl w:ilvl="0" w:tentative="0">
      <w:start w:val="1"/>
      <w:numFmt w:val="decimal"/>
      <w:suff w:val="nothing"/>
      <w:lvlText w:val="（%1）"/>
      <w:lvlJc w:val="left"/>
      <w:rPr>
        <w:rFonts w:hint="default"/>
        <w:b w:val="0"/>
        <w:bCs w:val="0"/>
      </w:rPr>
    </w:lvl>
  </w:abstractNum>
  <w:abstractNum w:abstractNumId="28">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9">
    <w:nsid w:val="E70DF796"/>
    <w:multiLevelType w:val="singleLevel"/>
    <w:tmpl w:val="E70DF796"/>
    <w:lvl w:ilvl="0" w:tentative="0">
      <w:start w:val="1"/>
      <w:numFmt w:val="decimal"/>
      <w:suff w:val="nothing"/>
      <w:lvlText w:val="（%1）"/>
      <w:lvlJc w:val="left"/>
    </w:lvl>
  </w:abstractNum>
  <w:abstractNum w:abstractNumId="30">
    <w:nsid w:val="EFF37F09"/>
    <w:multiLevelType w:val="singleLevel"/>
    <w:tmpl w:val="EFF37F09"/>
    <w:lvl w:ilvl="0" w:tentative="0">
      <w:start w:val="1"/>
      <w:numFmt w:val="decimal"/>
      <w:suff w:val="nothing"/>
      <w:lvlText w:val="（%1）"/>
      <w:lvlJc w:val="left"/>
      <w:rPr>
        <w:rFonts w:hint="default"/>
        <w:b w:val="0"/>
        <w:bCs w:val="0"/>
      </w:rPr>
    </w:lvl>
  </w:abstractNum>
  <w:abstractNum w:abstractNumId="31">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32">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33">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34">
    <w:nsid w:val="F574F5B6"/>
    <w:multiLevelType w:val="singleLevel"/>
    <w:tmpl w:val="F574F5B6"/>
    <w:lvl w:ilvl="0" w:tentative="0">
      <w:start w:val="1"/>
      <w:numFmt w:val="decimal"/>
      <w:suff w:val="nothing"/>
      <w:lvlText w:val="（%1）"/>
      <w:lvlJc w:val="left"/>
    </w:lvl>
  </w:abstractNum>
  <w:abstractNum w:abstractNumId="35">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6">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7">
    <w:nsid w:val="084A6179"/>
    <w:multiLevelType w:val="singleLevel"/>
    <w:tmpl w:val="084A6179"/>
    <w:lvl w:ilvl="0" w:tentative="0">
      <w:start w:val="1"/>
      <w:numFmt w:val="decimal"/>
      <w:suff w:val="nothing"/>
      <w:lvlText w:val="（%1）"/>
      <w:lvlJc w:val="left"/>
      <w:rPr>
        <w:rFonts w:hint="default"/>
        <w:highlight w:val="none"/>
      </w:rPr>
    </w:lvl>
  </w:abstractNum>
  <w:abstractNum w:abstractNumId="38">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39">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40">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41">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42">
    <w:nsid w:val="167B0BB4"/>
    <w:multiLevelType w:val="singleLevel"/>
    <w:tmpl w:val="167B0BB4"/>
    <w:lvl w:ilvl="0" w:tentative="0">
      <w:start w:val="1"/>
      <w:numFmt w:val="decimal"/>
      <w:suff w:val="nothing"/>
      <w:lvlText w:val="（%1）"/>
      <w:lvlJc w:val="left"/>
    </w:lvl>
  </w:abstractNum>
  <w:abstractNum w:abstractNumId="43">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44">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45">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6">
    <w:nsid w:val="2A987C4E"/>
    <w:multiLevelType w:val="singleLevel"/>
    <w:tmpl w:val="2A987C4E"/>
    <w:lvl w:ilvl="0" w:tentative="0">
      <w:start w:val="5"/>
      <w:numFmt w:val="decimal"/>
      <w:suff w:val="nothing"/>
      <w:lvlText w:val="%1．"/>
      <w:lvlJc w:val="left"/>
      <w:pPr>
        <w:ind w:left="0" w:firstLine="403"/>
      </w:pPr>
      <w:rPr>
        <w:rFonts w:hint="default"/>
      </w:rPr>
    </w:lvl>
  </w:abstractNum>
  <w:abstractNum w:abstractNumId="47">
    <w:nsid w:val="2CB63BE6"/>
    <w:multiLevelType w:val="singleLevel"/>
    <w:tmpl w:val="2CB63BE6"/>
    <w:lvl w:ilvl="0" w:tentative="0">
      <w:start w:val="1"/>
      <w:numFmt w:val="decimal"/>
      <w:suff w:val="nothing"/>
      <w:lvlText w:val="（%1）"/>
      <w:lvlJc w:val="left"/>
      <w:rPr>
        <w:rFonts w:hint="default"/>
        <w:b w:val="0"/>
        <w:bCs w:val="0"/>
      </w:rPr>
    </w:lvl>
  </w:abstractNum>
  <w:abstractNum w:abstractNumId="48">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9">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50">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51">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52">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53">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54">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55">
    <w:nsid w:val="4A032168"/>
    <w:multiLevelType w:val="singleLevel"/>
    <w:tmpl w:val="4A032168"/>
    <w:lvl w:ilvl="0" w:tentative="0">
      <w:start w:val="4"/>
      <w:numFmt w:val="decimal"/>
      <w:suff w:val="nothing"/>
      <w:lvlText w:val="%1．"/>
      <w:lvlJc w:val="left"/>
      <w:pPr>
        <w:ind w:left="0" w:firstLine="403"/>
      </w:pPr>
      <w:rPr>
        <w:rFonts w:hint="default"/>
        <w:highlight w:val="none"/>
      </w:rPr>
    </w:lvl>
  </w:abstractNum>
  <w:abstractNum w:abstractNumId="56">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57">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58">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59">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60">
    <w:nsid w:val="5BA91325"/>
    <w:multiLevelType w:val="singleLevel"/>
    <w:tmpl w:val="5BA91325"/>
    <w:lvl w:ilvl="0" w:tentative="0">
      <w:start w:val="1"/>
      <w:numFmt w:val="decimal"/>
      <w:suff w:val="nothing"/>
      <w:lvlText w:val="（%1）"/>
      <w:lvlJc w:val="left"/>
    </w:lvl>
  </w:abstractNum>
  <w:abstractNum w:abstractNumId="61">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62">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63">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64">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65">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66">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67">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68">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69">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70">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71">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72">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73">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74">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75">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76">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77">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78">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79">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80">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81">
    <w:nsid w:val="61F30F62"/>
    <w:multiLevelType w:val="singleLevel"/>
    <w:tmpl w:val="61F30F62"/>
    <w:lvl w:ilvl="0" w:tentative="0">
      <w:start w:val="1"/>
      <w:numFmt w:val="decimal"/>
      <w:suff w:val="nothing"/>
      <w:lvlText w:val="（%1）"/>
      <w:lvlJc w:val="left"/>
      <w:rPr>
        <w:rFonts w:hint="default"/>
        <w:b w:val="0"/>
        <w:bCs w:val="0"/>
      </w:rPr>
    </w:lvl>
  </w:abstractNum>
  <w:abstractNum w:abstractNumId="82">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83">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84">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5"/>
  </w:num>
  <w:num w:numId="2">
    <w:abstractNumId w:val="1"/>
  </w:num>
  <w:num w:numId="3">
    <w:abstractNumId w:val="52"/>
  </w:num>
  <w:num w:numId="4">
    <w:abstractNumId w:val="44"/>
  </w:num>
  <w:num w:numId="5">
    <w:abstractNumId w:val="22"/>
  </w:num>
  <w:num w:numId="6">
    <w:abstractNumId w:val="83"/>
  </w:num>
  <w:num w:numId="7">
    <w:abstractNumId w:val="38"/>
  </w:num>
  <w:num w:numId="8">
    <w:abstractNumId w:val="84"/>
  </w:num>
  <w:num w:numId="9">
    <w:abstractNumId w:val="58"/>
  </w:num>
  <w:num w:numId="10">
    <w:abstractNumId w:val="54"/>
  </w:num>
  <w:num w:numId="11">
    <w:abstractNumId w:val="35"/>
  </w:num>
  <w:num w:numId="12">
    <w:abstractNumId w:val="32"/>
  </w:num>
  <w:num w:numId="13">
    <w:abstractNumId w:val="40"/>
  </w:num>
  <w:num w:numId="14">
    <w:abstractNumId w:val="31"/>
  </w:num>
  <w:num w:numId="15">
    <w:abstractNumId w:val="23"/>
  </w:num>
  <w:num w:numId="16">
    <w:abstractNumId w:val="12"/>
  </w:num>
  <w:num w:numId="17">
    <w:abstractNumId w:val="19"/>
  </w:num>
  <w:num w:numId="18">
    <w:abstractNumId w:val="9"/>
  </w:num>
  <w:num w:numId="19">
    <w:abstractNumId w:val="6"/>
  </w:num>
  <w:num w:numId="20">
    <w:abstractNumId w:val="10"/>
  </w:num>
  <w:num w:numId="21">
    <w:abstractNumId w:val="8"/>
  </w:num>
  <w:num w:numId="22">
    <w:abstractNumId w:val="39"/>
  </w:num>
  <w:num w:numId="23">
    <w:abstractNumId w:val="53"/>
  </w:num>
  <w:num w:numId="24">
    <w:abstractNumId w:val="34"/>
  </w:num>
  <w:num w:numId="25">
    <w:abstractNumId w:val="55"/>
  </w:num>
  <w:num w:numId="26">
    <w:abstractNumId w:val="60"/>
  </w:num>
  <w:num w:numId="27">
    <w:abstractNumId w:val="46"/>
  </w:num>
  <w:num w:numId="28">
    <w:abstractNumId w:val="21"/>
  </w:num>
  <w:num w:numId="29">
    <w:abstractNumId w:val="45"/>
  </w:num>
  <w:num w:numId="30">
    <w:abstractNumId w:val="25"/>
  </w:num>
  <w:num w:numId="31">
    <w:abstractNumId w:val="7"/>
  </w:num>
  <w:num w:numId="32">
    <w:abstractNumId w:val="57"/>
  </w:num>
  <w:num w:numId="33">
    <w:abstractNumId w:val="5"/>
  </w:num>
  <w:num w:numId="34">
    <w:abstractNumId w:val="37"/>
  </w:num>
  <w:num w:numId="35">
    <w:abstractNumId w:val="43"/>
  </w:num>
  <w:num w:numId="36">
    <w:abstractNumId w:val="82"/>
  </w:num>
  <w:num w:numId="37">
    <w:abstractNumId w:val="36"/>
  </w:num>
  <w:num w:numId="38">
    <w:abstractNumId w:val="24"/>
  </w:num>
  <w:num w:numId="39">
    <w:abstractNumId w:val="48"/>
  </w:num>
  <w:num w:numId="40">
    <w:abstractNumId w:val="0"/>
  </w:num>
  <w:num w:numId="41">
    <w:abstractNumId w:val="27"/>
  </w:num>
  <w:num w:numId="42">
    <w:abstractNumId w:val="51"/>
  </w:num>
  <w:num w:numId="43">
    <w:abstractNumId w:val="3"/>
  </w:num>
  <w:num w:numId="44">
    <w:abstractNumId w:val="28"/>
  </w:num>
  <w:num w:numId="45">
    <w:abstractNumId w:val="18"/>
  </w:num>
  <w:num w:numId="46">
    <w:abstractNumId w:val="56"/>
  </w:num>
  <w:num w:numId="47">
    <w:abstractNumId w:val="41"/>
  </w:num>
  <w:num w:numId="48">
    <w:abstractNumId w:val="20"/>
  </w:num>
  <w:num w:numId="49">
    <w:abstractNumId w:val="33"/>
  </w:num>
  <w:num w:numId="50">
    <w:abstractNumId w:val="29"/>
  </w:num>
  <w:num w:numId="51">
    <w:abstractNumId w:val="30"/>
  </w:num>
  <w:num w:numId="52">
    <w:abstractNumId w:val="81"/>
  </w:num>
  <w:num w:numId="53">
    <w:abstractNumId w:val="47"/>
  </w:num>
  <w:num w:numId="54">
    <w:abstractNumId w:val="2"/>
  </w:num>
  <w:num w:numId="55">
    <w:abstractNumId w:val="59"/>
  </w:num>
  <w:num w:numId="56">
    <w:abstractNumId w:val="13"/>
  </w:num>
  <w:num w:numId="57">
    <w:abstractNumId w:val="11"/>
  </w:num>
  <w:num w:numId="58">
    <w:abstractNumId w:val="14"/>
  </w:num>
  <w:num w:numId="59">
    <w:abstractNumId w:val="42"/>
  </w:num>
  <w:num w:numId="60">
    <w:abstractNumId w:val="26"/>
  </w:num>
  <w:num w:numId="61">
    <w:abstractNumId w:val="4"/>
  </w:num>
  <w:num w:numId="62">
    <w:abstractNumId w:val="50"/>
  </w:num>
  <w:num w:numId="63">
    <w:abstractNumId w:val="68"/>
  </w:num>
  <w:num w:numId="64">
    <w:abstractNumId w:val="67"/>
  </w:num>
  <w:num w:numId="65">
    <w:abstractNumId w:val="69"/>
  </w:num>
  <w:num w:numId="66">
    <w:abstractNumId w:val="70"/>
  </w:num>
  <w:num w:numId="67">
    <w:abstractNumId w:val="71"/>
  </w:num>
  <w:num w:numId="68">
    <w:abstractNumId w:val="72"/>
  </w:num>
  <w:num w:numId="69">
    <w:abstractNumId w:val="73"/>
  </w:num>
  <w:num w:numId="70">
    <w:abstractNumId w:val="74"/>
  </w:num>
  <w:num w:numId="71">
    <w:abstractNumId w:val="49"/>
  </w:num>
  <w:num w:numId="72">
    <w:abstractNumId w:val="17"/>
  </w:num>
  <w:num w:numId="73">
    <w:abstractNumId w:val="61"/>
  </w:num>
  <w:num w:numId="74">
    <w:abstractNumId w:val="62"/>
  </w:num>
  <w:num w:numId="75">
    <w:abstractNumId w:val="63"/>
  </w:num>
  <w:num w:numId="76">
    <w:abstractNumId w:val="64"/>
  </w:num>
  <w:num w:numId="77">
    <w:abstractNumId w:val="65"/>
  </w:num>
  <w:num w:numId="78">
    <w:abstractNumId w:val="66"/>
  </w:num>
  <w:num w:numId="79">
    <w:abstractNumId w:val="75"/>
  </w:num>
  <w:num w:numId="80">
    <w:abstractNumId w:val="76"/>
  </w:num>
  <w:num w:numId="81">
    <w:abstractNumId w:val="16"/>
  </w:num>
  <w:num w:numId="82">
    <w:abstractNumId w:val="77"/>
  </w:num>
  <w:num w:numId="83">
    <w:abstractNumId w:val="78"/>
  </w:num>
  <w:num w:numId="84">
    <w:abstractNumId w:val="79"/>
  </w:num>
  <w:num w:numId="85">
    <w:abstractNumId w:val="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4A3A51"/>
    <w:rsid w:val="00D5498D"/>
    <w:rsid w:val="01364432"/>
    <w:rsid w:val="01523B8E"/>
    <w:rsid w:val="01E60817"/>
    <w:rsid w:val="01FD241C"/>
    <w:rsid w:val="02A509A4"/>
    <w:rsid w:val="03A32FCF"/>
    <w:rsid w:val="046454B7"/>
    <w:rsid w:val="046C4318"/>
    <w:rsid w:val="05E05E4D"/>
    <w:rsid w:val="06420CFA"/>
    <w:rsid w:val="06503B59"/>
    <w:rsid w:val="06F301FD"/>
    <w:rsid w:val="0752555A"/>
    <w:rsid w:val="07E45984"/>
    <w:rsid w:val="0828699A"/>
    <w:rsid w:val="087D4021"/>
    <w:rsid w:val="09155E8F"/>
    <w:rsid w:val="097E3F67"/>
    <w:rsid w:val="097E4163"/>
    <w:rsid w:val="09FE573C"/>
    <w:rsid w:val="0A0C6349"/>
    <w:rsid w:val="0A1347F5"/>
    <w:rsid w:val="0A1F3796"/>
    <w:rsid w:val="0A2A32B9"/>
    <w:rsid w:val="0B8E27E3"/>
    <w:rsid w:val="0BF71AE2"/>
    <w:rsid w:val="0C9C7394"/>
    <w:rsid w:val="0CA6603D"/>
    <w:rsid w:val="0CB44C8B"/>
    <w:rsid w:val="0D0B1B00"/>
    <w:rsid w:val="0D3F210A"/>
    <w:rsid w:val="0E36795A"/>
    <w:rsid w:val="0E4A4B6F"/>
    <w:rsid w:val="0E9465E2"/>
    <w:rsid w:val="0EAE473F"/>
    <w:rsid w:val="0EF65480"/>
    <w:rsid w:val="0F3349D0"/>
    <w:rsid w:val="10776FA2"/>
    <w:rsid w:val="10E7087B"/>
    <w:rsid w:val="10FA5463"/>
    <w:rsid w:val="11BA058F"/>
    <w:rsid w:val="12081858"/>
    <w:rsid w:val="12B62B3B"/>
    <w:rsid w:val="12F57C75"/>
    <w:rsid w:val="12F96486"/>
    <w:rsid w:val="13031153"/>
    <w:rsid w:val="13181417"/>
    <w:rsid w:val="135A629F"/>
    <w:rsid w:val="13CF7B8E"/>
    <w:rsid w:val="14276021"/>
    <w:rsid w:val="14827273"/>
    <w:rsid w:val="14B80FF2"/>
    <w:rsid w:val="14C57FED"/>
    <w:rsid w:val="150C5665"/>
    <w:rsid w:val="15485BE1"/>
    <w:rsid w:val="15C56302"/>
    <w:rsid w:val="160940BB"/>
    <w:rsid w:val="1659752C"/>
    <w:rsid w:val="16E43A7F"/>
    <w:rsid w:val="175F7C56"/>
    <w:rsid w:val="180802C0"/>
    <w:rsid w:val="180937AD"/>
    <w:rsid w:val="18400678"/>
    <w:rsid w:val="185A3DA1"/>
    <w:rsid w:val="198C4B50"/>
    <w:rsid w:val="19BB4557"/>
    <w:rsid w:val="19DA4F78"/>
    <w:rsid w:val="19F13F4F"/>
    <w:rsid w:val="1A102675"/>
    <w:rsid w:val="1A276601"/>
    <w:rsid w:val="1A5F6E5F"/>
    <w:rsid w:val="1AFA5FFE"/>
    <w:rsid w:val="1B280245"/>
    <w:rsid w:val="1B581220"/>
    <w:rsid w:val="1B843575"/>
    <w:rsid w:val="1BBE4697"/>
    <w:rsid w:val="1D0626E2"/>
    <w:rsid w:val="1D177BAB"/>
    <w:rsid w:val="1D4D5B7F"/>
    <w:rsid w:val="1D5076C2"/>
    <w:rsid w:val="1D552DD9"/>
    <w:rsid w:val="1DAB6D83"/>
    <w:rsid w:val="1E3173A3"/>
    <w:rsid w:val="1E792E51"/>
    <w:rsid w:val="1EE6268B"/>
    <w:rsid w:val="1F0F5A19"/>
    <w:rsid w:val="1F1D6E1F"/>
    <w:rsid w:val="1F3E7F7D"/>
    <w:rsid w:val="1F51312D"/>
    <w:rsid w:val="1FC9553A"/>
    <w:rsid w:val="204D3B12"/>
    <w:rsid w:val="205A2AB3"/>
    <w:rsid w:val="20B6224D"/>
    <w:rsid w:val="21025026"/>
    <w:rsid w:val="21036497"/>
    <w:rsid w:val="21CE3241"/>
    <w:rsid w:val="220D1BEF"/>
    <w:rsid w:val="222B5013"/>
    <w:rsid w:val="2254370F"/>
    <w:rsid w:val="22A04AF7"/>
    <w:rsid w:val="22A73C8E"/>
    <w:rsid w:val="22D3594B"/>
    <w:rsid w:val="22F12819"/>
    <w:rsid w:val="234F46D7"/>
    <w:rsid w:val="23753F06"/>
    <w:rsid w:val="238E1AAE"/>
    <w:rsid w:val="24030B6D"/>
    <w:rsid w:val="24345B9A"/>
    <w:rsid w:val="245517BD"/>
    <w:rsid w:val="24732028"/>
    <w:rsid w:val="2475679C"/>
    <w:rsid w:val="2483647E"/>
    <w:rsid w:val="256F076F"/>
    <w:rsid w:val="25AF7681"/>
    <w:rsid w:val="25DA1561"/>
    <w:rsid w:val="26820AF7"/>
    <w:rsid w:val="26C12605"/>
    <w:rsid w:val="27947E62"/>
    <w:rsid w:val="27EB2573"/>
    <w:rsid w:val="292668E3"/>
    <w:rsid w:val="29361BBD"/>
    <w:rsid w:val="2A124404"/>
    <w:rsid w:val="2A1B5D68"/>
    <w:rsid w:val="2A5975B6"/>
    <w:rsid w:val="2A991D32"/>
    <w:rsid w:val="2AB92324"/>
    <w:rsid w:val="2AD6555A"/>
    <w:rsid w:val="2B376BE0"/>
    <w:rsid w:val="2B5B0398"/>
    <w:rsid w:val="2C1B1E9D"/>
    <w:rsid w:val="2CAB68C5"/>
    <w:rsid w:val="2CF71BA1"/>
    <w:rsid w:val="2D90310A"/>
    <w:rsid w:val="2E354AE5"/>
    <w:rsid w:val="2E6F667D"/>
    <w:rsid w:val="2EBC6D03"/>
    <w:rsid w:val="2F196945"/>
    <w:rsid w:val="2F1F666C"/>
    <w:rsid w:val="2FD32A37"/>
    <w:rsid w:val="30551FFC"/>
    <w:rsid w:val="311F702A"/>
    <w:rsid w:val="31A82883"/>
    <w:rsid w:val="320E3E15"/>
    <w:rsid w:val="327B27BD"/>
    <w:rsid w:val="32B15B31"/>
    <w:rsid w:val="32C937E9"/>
    <w:rsid w:val="333F6AA7"/>
    <w:rsid w:val="3480359E"/>
    <w:rsid w:val="34BE4ED5"/>
    <w:rsid w:val="35476F5E"/>
    <w:rsid w:val="354D3F58"/>
    <w:rsid w:val="359A216E"/>
    <w:rsid w:val="35CB65AD"/>
    <w:rsid w:val="35E25FC2"/>
    <w:rsid w:val="36631FD8"/>
    <w:rsid w:val="36C419F2"/>
    <w:rsid w:val="36E72D9B"/>
    <w:rsid w:val="36FD7080"/>
    <w:rsid w:val="379F2ED6"/>
    <w:rsid w:val="37CA172C"/>
    <w:rsid w:val="37DC2068"/>
    <w:rsid w:val="38071350"/>
    <w:rsid w:val="38224FD0"/>
    <w:rsid w:val="39775E90"/>
    <w:rsid w:val="39AC0F1B"/>
    <w:rsid w:val="39B95084"/>
    <w:rsid w:val="3A1B6D7B"/>
    <w:rsid w:val="3A3E2041"/>
    <w:rsid w:val="3B131EF6"/>
    <w:rsid w:val="3B490D86"/>
    <w:rsid w:val="3BD74075"/>
    <w:rsid w:val="3C2F2290"/>
    <w:rsid w:val="3D3D39A7"/>
    <w:rsid w:val="3EA67C14"/>
    <w:rsid w:val="3EAD1B36"/>
    <w:rsid w:val="3F056B9E"/>
    <w:rsid w:val="3F354A62"/>
    <w:rsid w:val="3FB01289"/>
    <w:rsid w:val="3FE233B8"/>
    <w:rsid w:val="3FF54C55"/>
    <w:rsid w:val="40181F9C"/>
    <w:rsid w:val="406370BC"/>
    <w:rsid w:val="40D04E07"/>
    <w:rsid w:val="40FB7670"/>
    <w:rsid w:val="41B60000"/>
    <w:rsid w:val="423C06E2"/>
    <w:rsid w:val="42815397"/>
    <w:rsid w:val="42C94634"/>
    <w:rsid w:val="45540446"/>
    <w:rsid w:val="458F3937"/>
    <w:rsid w:val="459F641E"/>
    <w:rsid w:val="45A93DC9"/>
    <w:rsid w:val="45BB5620"/>
    <w:rsid w:val="45EC58A2"/>
    <w:rsid w:val="45F127ED"/>
    <w:rsid w:val="46263D02"/>
    <w:rsid w:val="46CD66A0"/>
    <w:rsid w:val="472803B7"/>
    <w:rsid w:val="478411E4"/>
    <w:rsid w:val="488B59A4"/>
    <w:rsid w:val="48CC5267"/>
    <w:rsid w:val="494502E1"/>
    <w:rsid w:val="494C4325"/>
    <w:rsid w:val="4A010AC9"/>
    <w:rsid w:val="4A7F0ADF"/>
    <w:rsid w:val="4AA612F0"/>
    <w:rsid w:val="4ACB4629"/>
    <w:rsid w:val="4B0D3113"/>
    <w:rsid w:val="4C1A730D"/>
    <w:rsid w:val="4C6B0DDA"/>
    <w:rsid w:val="4C6E1306"/>
    <w:rsid w:val="4C7368E1"/>
    <w:rsid w:val="4CC946ED"/>
    <w:rsid w:val="4CF979F4"/>
    <w:rsid w:val="4D8C0BC8"/>
    <w:rsid w:val="4E186164"/>
    <w:rsid w:val="4E247E9A"/>
    <w:rsid w:val="4E2F1033"/>
    <w:rsid w:val="4E8274B0"/>
    <w:rsid w:val="4EA65BC4"/>
    <w:rsid w:val="4EFC1B31"/>
    <w:rsid w:val="4F2836A5"/>
    <w:rsid w:val="4FF363B3"/>
    <w:rsid w:val="501216FC"/>
    <w:rsid w:val="50B73634"/>
    <w:rsid w:val="51434E1B"/>
    <w:rsid w:val="51504FE6"/>
    <w:rsid w:val="5270265F"/>
    <w:rsid w:val="54E91D9C"/>
    <w:rsid w:val="55A47BB4"/>
    <w:rsid w:val="55FE57FC"/>
    <w:rsid w:val="56B44788"/>
    <w:rsid w:val="57481AEB"/>
    <w:rsid w:val="57B655F7"/>
    <w:rsid w:val="57BB6218"/>
    <w:rsid w:val="57FF3AAA"/>
    <w:rsid w:val="58DD2EEE"/>
    <w:rsid w:val="58E96C7A"/>
    <w:rsid w:val="59263C31"/>
    <w:rsid w:val="59AD3C67"/>
    <w:rsid w:val="59EE28D0"/>
    <w:rsid w:val="5A4B183F"/>
    <w:rsid w:val="5B0D630F"/>
    <w:rsid w:val="5B602150"/>
    <w:rsid w:val="5B9919B4"/>
    <w:rsid w:val="5BB70148"/>
    <w:rsid w:val="5C107127"/>
    <w:rsid w:val="5C3C3DDC"/>
    <w:rsid w:val="5D160516"/>
    <w:rsid w:val="5D713BC5"/>
    <w:rsid w:val="5D7D0F36"/>
    <w:rsid w:val="5DB61BFF"/>
    <w:rsid w:val="5DEF454B"/>
    <w:rsid w:val="5E5A6C63"/>
    <w:rsid w:val="5F3C6712"/>
    <w:rsid w:val="5F4B58F3"/>
    <w:rsid w:val="6053481F"/>
    <w:rsid w:val="60553A8D"/>
    <w:rsid w:val="606E0DED"/>
    <w:rsid w:val="60AB2000"/>
    <w:rsid w:val="61BE3E8C"/>
    <w:rsid w:val="61C97391"/>
    <w:rsid w:val="61D85325"/>
    <w:rsid w:val="62860AAA"/>
    <w:rsid w:val="628B7CEE"/>
    <w:rsid w:val="629D5796"/>
    <w:rsid w:val="6382523F"/>
    <w:rsid w:val="63FA4C5C"/>
    <w:rsid w:val="64102A52"/>
    <w:rsid w:val="64BC6713"/>
    <w:rsid w:val="66F54088"/>
    <w:rsid w:val="671E2162"/>
    <w:rsid w:val="67C2281F"/>
    <w:rsid w:val="680C1A56"/>
    <w:rsid w:val="684F0C72"/>
    <w:rsid w:val="68D8721E"/>
    <w:rsid w:val="698E15A6"/>
    <w:rsid w:val="6A47212E"/>
    <w:rsid w:val="6A831914"/>
    <w:rsid w:val="6B610D05"/>
    <w:rsid w:val="6BAC21D5"/>
    <w:rsid w:val="6CED1CB3"/>
    <w:rsid w:val="6D3B42C3"/>
    <w:rsid w:val="6D5A3D63"/>
    <w:rsid w:val="6D9A4080"/>
    <w:rsid w:val="6DFD5353"/>
    <w:rsid w:val="6E7E575F"/>
    <w:rsid w:val="6EC27507"/>
    <w:rsid w:val="6EF15941"/>
    <w:rsid w:val="6F926461"/>
    <w:rsid w:val="6F9921A1"/>
    <w:rsid w:val="6FA453FA"/>
    <w:rsid w:val="71600BF2"/>
    <w:rsid w:val="720B7A64"/>
    <w:rsid w:val="720F6016"/>
    <w:rsid w:val="73407EBD"/>
    <w:rsid w:val="73932176"/>
    <w:rsid w:val="73EF4563"/>
    <w:rsid w:val="74037319"/>
    <w:rsid w:val="74175679"/>
    <w:rsid w:val="744124AA"/>
    <w:rsid w:val="74664F47"/>
    <w:rsid w:val="756E538F"/>
    <w:rsid w:val="75D950C9"/>
    <w:rsid w:val="76C20E70"/>
    <w:rsid w:val="76F41323"/>
    <w:rsid w:val="77100360"/>
    <w:rsid w:val="778222EA"/>
    <w:rsid w:val="77A30DC4"/>
    <w:rsid w:val="77E0572E"/>
    <w:rsid w:val="77ED4104"/>
    <w:rsid w:val="78EF4372"/>
    <w:rsid w:val="79771B00"/>
    <w:rsid w:val="7980282D"/>
    <w:rsid w:val="798F6426"/>
    <w:rsid w:val="79B94653"/>
    <w:rsid w:val="7ACA272A"/>
    <w:rsid w:val="7AE400AA"/>
    <w:rsid w:val="7B0E7C70"/>
    <w:rsid w:val="7B2E004A"/>
    <w:rsid w:val="7B76641B"/>
    <w:rsid w:val="7BBF1397"/>
    <w:rsid w:val="7CED52DC"/>
    <w:rsid w:val="7E6F339A"/>
    <w:rsid w:val="7E810662"/>
    <w:rsid w:val="7ED67E61"/>
    <w:rsid w:val="7F590A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24"/>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20"/>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19"/>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uiPriority w:val="99"/>
    <w:tblPr>
      <w:tblStyle w:val="11"/>
      <w:tblLayout w:type="fixed"/>
      <w:tblCellMar>
        <w:top w:w="0" w:type="dxa"/>
        <w:left w:w="108" w:type="dxa"/>
        <w:bottom w:w="0" w:type="dxa"/>
        <w:right w:w="108" w:type="dxa"/>
      </w:tblCellMar>
    </w:tblPr>
  </w:style>
  <w:style w:type="paragraph" w:styleId="5">
    <w:name w:val="annotation text"/>
    <w:basedOn w:val="1"/>
    <w:link w:val="23"/>
    <w:uiPriority w:val="0"/>
    <w:pPr>
      <w:jc w:val="left"/>
    </w:pPr>
  </w:style>
  <w:style w:type="paragraph" w:styleId="6">
    <w:name w:val="Balloon Text"/>
    <w:basedOn w:val="1"/>
    <w:link w:val="22"/>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rPr>
      <w:sz w:val="24"/>
    </w:rPr>
  </w:style>
  <w:style w:type="paragraph" w:styleId="10">
    <w:name w:val="annotation subject"/>
    <w:basedOn w:val="5"/>
    <w:next w:val="5"/>
    <w:link w:val="21"/>
    <w:uiPriority w:val="0"/>
    <w:rPr>
      <w:b/>
      <w:bCs/>
    </w:rPr>
  </w:style>
  <w:style w:type="table" w:styleId="12">
    <w:name w:val="Table Grid"/>
    <w:basedOn w:val="11"/>
    <w:unhideWhenUsed/>
    <w:uiPriority w:val="99"/>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uiPriority w:val="0"/>
    <w:rPr>
      <w:sz w:val="21"/>
      <w:szCs w:val="21"/>
    </w:rPr>
  </w:style>
  <w:style w:type="paragraph" w:customStyle="1" w:styleId="16">
    <w:name w:val="List Paragraph"/>
    <w:basedOn w:val="1"/>
    <w:unhideWhenUsed/>
    <w:uiPriority w:val="99"/>
    <w:pPr>
      <w:ind w:firstLine="420" w:firstLineChars="200"/>
    </w:pPr>
  </w:style>
  <w:style w:type="paragraph" w:customStyle="1" w:styleId="17">
    <w:name w:val="样式1"/>
    <w:basedOn w:val="1"/>
    <w:next w:val="1"/>
    <w:uiPriority w:val="0"/>
    <w:pPr>
      <w:keepNext/>
      <w:keepLines/>
      <w:spacing w:before="340" w:beforeLines="0" w:after="330" w:afterLines="0" w:line="576" w:lineRule="auto"/>
      <w:outlineLvl w:val="0"/>
    </w:pPr>
    <w:rPr>
      <w:rFonts w:hint="eastAsia"/>
      <w:b/>
      <w:kern w:val="44"/>
      <w:sz w:val="44"/>
    </w:rPr>
  </w:style>
  <w:style w:type="paragraph" w:customStyle="1" w:styleId="18">
    <w:name w:val="Default"/>
    <w:qFormat/>
    <w:uiPriority w:val="0"/>
    <w:pPr>
      <w:widowControl w:val="0"/>
      <w:autoSpaceDE w:val="0"/>
      <w:autoSpaceDN w:val="0"/>
      <w:adjustRightInd w:val="0"/>
    </w:pPr>
    <w:rPr>
      <w:color w:val="000000"/>
      <w:sz w:val="24"/>
      <w:szCs w:val="24"/>
      <w:lang w:val="en-US" w:eastAsia="zh-CN" w:bidi="ar-SA"/>
    </w:rPr>
  </w:style>
  <w:style w:type="character" w:customStyle="1" w:styleId="19">
    <w:name w:val="标题 3 Char"/>
    <w:link w:val="4"/>
    <w:uiPriority w:val="0"/>
    <w:rPr>
      <w:rFonts w:hAnsi="Calibri" w:eastAsia="宋体"/>
      <w:b/>
      <w:sz w:val="24"/>
    </w:rPr>
  </w:style>
  <w:style w:type="character" w:customStyle="1" w:styleId="20">
    <w:name w:val="标题 2 Char"/>
    <w:link w:val="3"/>
    <w:uiPriority w:val="0"/>
    <w:rPr>
      <w:rFonts w:ascii="Arial" w:hAnsi="Arial" w:eastAsia="宋体"/>
      <w:b/>
      <w:sz w:val="24"/>
    </w:rPr>
  </w:style>
  <w:style w:type="character" w:customStyle="1" w:styleId="21">
    <w:name w:val="批注主题 Char"/>
    <w:link w:val="10"/>
    <w:uiPriority w:val="0"/>
    <w:rPr>
      <w:rFonts w:ascii="Calibri" w:hAnsi="Calibri" w:cs="黑体"/>
      <w:b/>
      <w:bCs/>
      <w:kern w:val="2"/>
      <w:sz w:val="21"/>
      <w:szCs w:val="24"/>
    </w:rPr>
  </w:style>
  <w:style w:type="character" w:customStyle="1" w:styleId="22">
    <w:name w:val="批注框文本 Char"/>
    <w:link w:val="6"/>
    <w:uiPriority w:val="0"/>
    <w:rPr>
      <w:rFonts w:ascii="Calibri" w:hAnsi="Calibri" w:cs="黑体"/>
      <w:kern w:val="2"/>
      <w:sz w:val="18"/>
      <w:szCs w:val="18"/>
    </w:rPr>
  </w:style>
  <w:style w:type="character" w:customStyle="1" w:styleId="23">
    <w:name w:val="批注文字 Char"/>
    <w:link w:val="5"/>
    <w:uiPriority w:val="0"/>
    <w:rPr>
      <w:rFonts w:ascii="Calibri" w:hAnsi="Calibri" w:cs="黑体"/>
      <w:kern w:val="2"/>
      <w:sz w:val="21"/>
      <w:szCs w:val="24"/>
    </w:rPr>
  </w:style>
  <w:style w:type="character" w:customStyle="1" w:styleId="24">
    <w:name w:val="标题 1 Char"/>
    <w:link w:val="2"/>
    <w:uiPriority w:val="0"/>
    <w:rPr>
      <w:rFonts w:eastAsia="宋体"/>
      <w:b/>
      <w:kern w:val="44"/>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36585</Words>
  <Characters>38986</Characters>
  <Lines>1</Lines>
  <Paragraphs>1</Paragraphs>
  <TotalTime>0</TotalTime>
  <ScaleCrop>false</ScaleCrop>
  <LinksUpToDate>false</LinksUpToDate>
  <CharactersWithSpaces>39213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陈舒虹</dc:creator>
  <cp:lastModifiedBy>hccb</cp:lastModifiedBy>
  <dcterms:modified xsi:type="dcterms:W3CDTF">2025-02-25T01:33:13Z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06A49D61929F4201B4ADB8DA4C945300</vt:lpwstr>
  </property>
</Properties>
</file>