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bookmarkStart w:id="0" w:name="_GoBack"/>
      <w:bookmarkEnd w:id="0"/>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季添益1901期理财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季添益1901期理财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杭银理财幸福99季添益1901期理财风险揭示书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杭银理财幸福99季添益1901期理财产品说明书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季添益1901期理财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1"/>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19"/>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ascii="宋体" w:hAnsi="Wingdings" w:cs="宋体"/>
          <w:color w:val="000000"/>
          <w:kern w:val="0"/>
        </w:rPr>
        <w:t>Z7002221000</w:t>
      </w:r>
      <w:r>
        <w:rPr>
          <w:rFonts w:hint="eastAsia" w:ascii="宋体" w:hAnsi="Wingdings" w:cs="宋体"/>
          <w:color w:val="000000"/>
          <w:kern w:val="0"/>
          <w:lang w:val="en-US" w:eastAsia="zh-CN"/>
        </w:rPr>
        <w:t>272</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季添益1901期理财</w:t>
      </w:r>
      <w:r>
        <w:rPr>
          <w:rFonts w:hint="eastAsia" w:ascii="宋体" w:hAnsi="宋体" w:cs="宋体"/>
          <w:bCs/>
          <w:highlight w:val="none"/>
        </w:rPr>
        <w:t>。</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本理财计划在全国银行业理财信息登记系统的原登记编码是〖C1092019000605〗</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变更登记后为〖Z7002221000272〗，投资者可依据该编码在“中国理财网（www.chinawealth.com.cn）”查询本理财计划信息。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TYG3M1901B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TYG3M1901C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28</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29</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2.10%-3.10%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2.15%-3.15%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2.20%-3.20%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eastAsia="宋体" w:cs="宋体"/>
                <w:bCs/>
                <w:sz w:val="21"/>
                <w:szCs w:val="18"/>
                <w:highlight w:val="none"/>
                <w:lang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default"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D241C"/>
    <w:rsid w:val="03A32FCF"/>
    <w:rsid w:val="046C4318"/>
    <w:rsid w:val="05E05E4D"/>
    <w:rsid w:val="06420CFA"/>
    <w:rsid w:val="06503B59"/>
    <w:rsid w:val="06F301FD"/>
    <w:rsid w:val="0752555A"/>
    <w:rsid w:val="0754117E"/>
    <w:rsid w:val="07E45984"/>
    <w:rsid w:val="0828699A"/>
    <w:rsid w:val="08290D0F"/>
    <w:rsid w:val="087D4021"/>
    <w:rsid w:val="090E0E88"/>
    <w:rsid w:val="09155E8F"/>
    <w:rsid w:val="097E3F67"/>
    <w:rsid w:val="097E4163"/>
    <w:rsid w:val="09FE573C"/>
    <w:rsid w:val="0A0C6349"/>
    <w:rsid w:val="0A1347F5"/>
    <w:rsid w:val="0A1F3796"/>
    <w:rsid w:val="0A2A32B9"/>
    <w:rsid w:val="0ABB2FA7"/>
    <w:rsid w:val="0B0A1D4B"/>
    <w:rsid w:val="0B281275"/>
    <w:rsid w:val="0B8E27E3"/>
    <w:rsid w:val="0BF71AE2"/>
    <w:rsid w:val="0C9C7394"/>
    <w:rsid w:val="0CA6603D"/>
    <w:rsid w:val="0CB44C8B"/>
    <w:rsid w:val="0D0B1B00"/>
    <w:rsid w:val="0D3F210A"/>
    <w:rsid w:val="0E36795A"/>
    <w:rsid w:val="0E4A4B6F"/>
    <w:rsid w:val="0E9465E2"/>
    <w:rsid w:val="0EAE473F"/>
    <w:rsid w:val="0EF65480"/>
    <w:rsid w:val="0F3349D0"/>
    <w:rsid w:val="10776FA2"/>
    <w:rsid w:val="10AD2EE1"/>
    <w:rsid w:val="10E7087B"/>
    <w:rsid w:val="10FA5463"/>
    <w:rsid w:val="11BA058F"/>
    <w:rsid w:val="12081858"/>
    <w:rsid w:val="12B62B3B"/>
    <w:rsid w:val="12F57C75"/>
    <w:rsid w:val="12F96486"/>
    <w:rsid w:val="13031153"/>
    <w:rsid w:val="13181417"/>
    <w:rsid w:val="135A629F"/>
    <w:rsid w:val="13CF7B8E"/>
    <w:rsid w:val="14B80FF2"/>
    <w:rsid w:val="14C57FED"/>
    <w:rsid w:val="150C5665"/>
    <w:rsid w:val="15485BE1"/>
    <w:rsid w:val="15C56302"/>
    <w:rsid w:val="160940BB"/>
    <w:rsid w:val="1659752C"/>
    <w:rsid w:val="16E43A7F"/>
    <w:rsid w:val="171153AB"/>
    <w:rsid w:val="175F7C56"/>
    <w:rsid w:val="185A3DA1"/>
    <w:rsid w:val="18EA78A9"/>
    <w:rsid w:val="198C4B50"/>
    <w:rsid w:val="19BB4557"/>
    <w:rsid w:val="19DA4F78"/>
    <w:rsid w:val="19F13F4F"/>
    <w:rsid w:val="1A102675"/>
    <w:rsid w:val="1A276601"/>
    <w:rsid w:val="1A5F6E5F"/>
    <w:rsid w:val="1AFA5FFE"/>
    <w:rsid w:val="1B280245"/>
    <w:rsid w:val="1B581220"/>
    <w:rsid w:val="1B843575"/>
    <w:rsid w:val="1BBE4697"/>
    <w:rsid w:val="1D177BAB"/>
    <w:rsid w:val="1D4D5B7F"/>
    <w:rsid w:val="1D5076C2"/>
    <w:rsid w:val="1D552DD9"/>
    <w:rsid w:val="1DAB6D83"/>
    <w:rsid w:val="1E3173A3"/>
    <w:rsid w:val="1E5B27FF"/>
    <w:rsid w:val="1E792E51"/>
    <w:rsid w:val="1F0F5A19"/>
    <w:rsid w:val="1F1D6E1F"/>
    <w:rsid w:val="1F3E7F7D"/>
    <w:rsid w:val="1F51312D"/>
    <w:rsid w:val="1FC9553A"/>
    <w:rsid w:val="204D3B12"/>
    <w:rsid w:val="205A2AB3"/>
    <w:rsid w:val="20B6224D"/>
    <w:rsid w:val="21025026"/>
    <w:rsid w:val="21036497"/>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6820AF7"/>
    <w:rsid w:val="26C12605"/>
    <w:rsid w:val="27947E62"/>
    <w:rsid w:val="27EB2573"/>
    <w:rsid w:val="292668E3"/>
    <w:rsid w:val="29361BBD"/>
    <w:rsid w:val="2A124404"/>
    <w:rsid w:val="2A1B5D68"/>
    <w:rsid w:val="2A5975B6"/>
    <w:rsid w:val="2A991D32"/>
    <w:rsid w:val="2AB92324"/>
    <w:rsid w:val="2AD6555A"/>
    <w:rsid w:val="2B376BE0"/>
    <w:rsid w:val="2B5B0398"/>
    <w:rsid w:val="2BC36E28"/>
    <w:rsid w:val="2C1B1E9D"/>
    <w:rsid w:val="2C990269"/>
    <w:rsid w:val="2CAB68C5"/>
    <w:rsid w:val="2E354AE5"/>
    <w:rsid w:val="2EBC6D03"/>
    <w:rsid w:val="2F196945"/>
    <w:rsid w:val="2F1F666C"/>
    <w:rsid w:val="2FD32A37"/>
    <w:rsid w:val="30551FFC"/>
    <w:rsid w:val="311F702A"/>
    <w:rsid w:val="31A82883"/>
    <w:rsid w:val="31E004B9"/>
    <w:rsid w:val="320E3E15"/>
    <w:rsid w:val="327B27BD"/>
    <w:rsid w:val="32B15B31"/>
    <w:rsid w:val="32C937E9"/>
    <w:rsid w:val="333F6AA7"/>
    <w:rsid w:val="3480359E"/>
    <w:rsid w:val="34BE4ED5"/>
    <w:rsid w:val="35476F5E"/>
    <w:rsid w:val="354D3F58"/>
    <w:rsid w:val="359A216E"/>
    <w:rsid w:val="35CB65AD"/>
    <w:rsid w:val="36631FD8"/>
    <w:rsid w:val="36970026"/>
    <w:rsid w:val="36C419F2"/>
    <w:rsid w:val="36E72D9B"/>
    <w:rsid w:val="36FD7080"/>
    <w:rsid w:val="379F2ED6"/>
    <w:rsid w:val="37CA172C"/>
    <w:rsid w:val="37DC2068"/>
    <w:rsid w:val="38071350"/>
    <w:rsid w:val="38224FD0"/>
    <w:rsid w:val="39775E90"/>
    <w:rsid w:val="39AC0F1B"/>
    <w:rsid w:val="39B95084"/>
    <w:rsid w:val="3A3E2041"/>
    <w:rsid w:val="3B131EF6"/>
    <w:rsid w:val="3B490D86"/>
    <w:rsid w:val="3BD74075"/>
    <w:rsid w:val="3C2F2290"/>
    <w:rsid w:val="3C6231DE"/>
    <w:rsid w:val="3EA06F50"/>
    <w:rsid w:val="3EA67C14"/>
    <w:rsid w:val="3EAD1B36"/>
    <w:rsid w:val="3F056B9E"/>
    <w:rsid w:val="3F354A62"/>
    <w:rsid w:val="3FB01289"/>
    <w:rsid w:val="3FE233B8"/>
    <w:rsid w:val="3FF54C55"/>
    <w:rsid w:val="40181F9C"/>
    <w:rsid w:val="406370BC"/>
    <w:rsid w:val="40FB7670"/>
    <w:rsid w:val="41A745AD"/>
    <w:rsid w:val="41B60000"/>
    <w:rsid w:val="423C06E2"/>
    <w:rsid w:val="42815397"/>
    <w:rsid w:val="42C94634"/>
    <w:rsid w:val="443700FB"/>
    <w:rsid w:val="45540446"/>
    <w:rsid w:val="458F3937"/>
    <w:rsid w:val="459F641E"/>
    <w:rsid w:val="45A93DC9"/>
    <w:rsid w:val="45BB5620"/>
    <w:rsid w:val="45EC58A2"/>
    <w:rsid w:val="45F127ED"/>
    <w:rsid w:val="46263D02"/>
    <w:rsid w:val="46CD66A0"/>
    <w:rsid w:val="472803B7"/>
    <w:rsid w:val="478411E4"/>
    <w:rsid w:val="488B59A4"/>
    <w:rsid w:val="48CC5267"/>
    <w:rsid w:val="494502E1"/>
    <w:rsid w:val="494C4325"/>
    <w:rsid w:val="4A010AC9"/>
    <w:rsid w:val="4A7F0ADF"/>
    <w:rsid w:val="4AA612F0"/>
    <w:rsid w:val="4B0D3113"/>
    <w:rsid w:val="4C1A730D"/>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2C56880"/>
    <w:rsid w:val="54E91D9C"/>
    <w:rsid w:val="552119F1"/>
    <w:rsid w:val="55A47BB4"/>
    <w:rsid w:val="56B44788"/>
    <w:rsid w:val="56F63067"/>
    <w:rsid w:val="57481AEB"/>
    <w:rsid w:val="57856F6A"/>
    <w:rsid w:val="57B655F7"/>
    <w:rsid w:val="57BB6218"/>
    <w:rsid w:val="57FF3AAA"/>
    <w:rsid w:val="58DD2EEE"/>
    <w:rsid w:val="58E96C7A"/>
    <w:rsid w:val="59263C31"/>
    <w:rsid w:val="59AD3C67"/>
    <w:rsid w:val="5A4B183F"/>
    <w:rsid w:val="5B0D630F"/>
    <w:rsid w:val="5B602150"/>
    <w:rsid w:val="5B9919B4"/>
    <w:rsid w:val="5BB70148"/>
    <w:rsid w:val="5C107127"/>
    <w:rsid w:val="5C3C3DDC"/>
    <w:rsid w:val="5D160516"/>
    <w:rsid w:val="5D713BC5"/>
    <w:rsid w:val="5D7D0F36"/>
    <w:rsid w:val="5DB61BFF"/>
    <w:rsid w:val="5DEF454B"/>
    <w:rsid w:val="5E5A6C63"/>
    <w:rsid w:val="5F3C6712"/>
    <w:rsid w:val="5F4B58F3"/>
    <w:rsid w:val="6053481F"/>
    <w:rsid w:val="60553A8D"/>
    <w:rsid w:val="606E0DED"/>
    <w:rsid w:val="60AB2000"/>
    <w:rsid w:val="61B53E2B"/>
    <w:rsid w:val="61BE3E8C"/>
    <w:rsid w:val="61C97391"/>
    <w:rsid w:val="61D85325"/>
    <w:rsid w:val="62860AAA"/>
    <w:rsid w:val="628B7CEE"/>
    <w:rsid w:val="629D5796"/>
    <w:rsid w:val="6382523F"/>
    <w:rsid w:val="63FA4C5C"/>
    <w:rsid w:val="64102A52"/>
    <w:rsid w:val="64BC6713"/>
    <w:rsid w:val="66F54088"/>
    <w:rsid w:val="671E2162"/>
    <w:rsid w:val="67C2281F"/>
    <w:rsid w:val="680C1A56"/>
    <w:rsid w:val="681B021B"/>
    <w:rsid w:val="684F0C72"/>
    <w:rsid w:val="68D8721E"/>
    <w:rsid w:val="6A1D2F79"/>
    <w:rsid w:val="6A4437C7"/>
    <w:rsid w:val="6A831914"/>
    <w:rsid w:val="6B610D05"/>
    <w:rsid w:val="6BAC21D5"/>
    <w:rsid w:val="6C891F0A"/>
    <w:rsid w:val="6CED1CB3"/>
    <w:rsid w:val="6D3B42C3"/>
    <w:rsid w:val="6D5A3D63"/>
    <w:rsid w:val="6D9A4080"/>
    <w:rsid w:val="6DFD5353"/>
    <w:rsid w:val="6E2D2684"/>
    <w:rsid w:val="6E7E575F"/>
    <w:rsid w:val="6EC27507"/>
    <w:rsid w:val="6EF15941"/>
    <w:rsid w:val="6F926461"/>
    <w:rsid w:val="6F9921A1"/>
    <w:rsid w:val="6FA453FA"/>
    <w:rsid w:val="6FCC0B51"/>
    <w:rsid w:val="720B7A64"/>
    <w:rsid w:val="720F6016"/>
    <w:rsid w:val="73407EBD"/>
    <w:rsid w:val="73932176"/>
    <w:rsid w:val="73EF4563"/>
    <w:rsid w:val="74037319"/>
    <w:rsid w:val="74175679"/>
    <w:rsid w:val="744124AA"/>
    <w:rsid w:val="74664F47"/>
    <w:rsid w:val="752C3BFE"/>
    <w:rsid w:val="756E538F"/>
    <w:rsid w:val="75D950C9"/>
    <w:rsid w:val="763B76E3"/>
    <w:rsid w:val="76F41323"/>
    <w:rsid w:val="77100360"/>
    <w:rsid w:val="778222EA"/>
    <w:rsid w:val="77A30DC4"/>
    <w:rsid w:val="77E0572E"/>
    <w:rsid w:val="77ED4104"/>
    <w:rsid w:val="78EF4372"/>
    <w:rsid w:val="79771B00"/>
    <w:rsid w:val="7980282D"/>
    <w:rsid w:val="798F6426"/>
    <w:rsid w:val="79B94653"/>
    <w:rsid w:val="7ACA272A"/>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2"/>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1"/>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19"/>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4"/>
    <w:uiPriority w:val="0"/>
    <w:pPr>
      <w:jc w:val="left"/>
    </w:p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3"/>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标题 3 Char"/>
    <w:link w:val="4"/>
    <w:uiPriority w:val="0"/>
    <w:rPr>
      <w:rFonts w:hAnsi="Calibri" w:eastAsia="宋体"/>
      <w:b/>
      <w:sz w:val="24"/>
    </w:rPr>
  </w:style>
  <w:style w:type="character" w:customStyle="1" w:styleId="20">
    <w:name w:val="批注框文本 Char"/>
    <w:link w:val="6"/>
    <w:uiPriority w:val="0"/>
    <w:rPr>
      <w:rFonts w:ascii="Calibri" w:hAnsi="Calibri" w:cs="黑体"/>
      <w:kern w:val="2"/>
      <w:sz w:val="18"/>
      <w:szCs w:val="18"/>
    </w:rPr>
  </w:style>
  <w:style w:type="character" w:customStyle="1" w:styleId="21">
    <w:name w:val="标题 2 Char"/>
    <w:link w:val="3"/>
    <w:uiPriority w:val="0"/>
    <w:rPr>
      <w:rFonts w:ascii="Arial" w:hAnsi="Arial" w:eastAsia="宋体"/>
      <w:b/>
      <w:sz w:val="24"/>
    </w:rPr>
  </w:style>
  <w:style w:type="character" w:customStyle="1" w:styleId="22">
    <w:name w:val="标题 1 Char"/>
    <w:link w:val="2"/>
    <w:uiPriority w:val="0"/>
    <w:rPr>
      <w:rFonts w:eastAsia="宋体"/>
      <w:b/>
      <w:kern w:val="44"/>
      <w:sz w:val="44"/>
    </w:rPr>
  </w:style>
  <w:style w:type="character" w:customStyle="1" w:styleId="23">
    <w:name w:val="批注主题 Char"/>
    <w:link w:val="10"/>
    <w:uiPriority w:val="0"/>
    <w:rPr>
      <w:rFonts w:ascii="Calibri" w:hAnsi="Calibri" w:cs="黑体"/>
      <w:b/>
      <w:bCs/>
      <w:kern w:val="2"/>
      <w:sz w:val="21"/>
      <w:szCs w:val="24"/>
    </w:rPr>
  </w:style>
  <w:style w:type="character" w:customStyle="1" w:styleId="24">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36598</Words>
  <Characters>38992</Characters>
  <Lines>1</Lines>
  <Paragraphs>1</Paragraphs>
  <TotalTime>0</TotalTime>
  <ScaleCrop>false</ScaleCrop>
  <LinksUpToDate>false</LinksUpToDate>
  <CharactersWithSpaces>39219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2024-12-27T07:38:32Z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