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杭银理财幸福99月添益1801期理财合同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杭银理财幸福99</w:t>
      </w:r>
      <w:r>
        <w:rPr>
          <w:rFonts w:hint="eastAsia" w:ascii="宋体" w:hAnsi="宋体" w:cs="宋体"/>
          <w:bCs/>
          <w:szCs w:val="44"/>
        </w:rPr>
        <w:t>月添益1801期理财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杭银理财幸福99月添益1801期理财风险揭示书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杭银理财幸福99月添益1801期理财产品说明书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杭银理财幸福99月添益1801期理财风险揭示书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2" w:firstLineChars="200"/>
      </w:pPr>
      <w:r>
        <w:rPr>
          <w:rStyle w:val="19"/>
          <w:rFonts w:hint="eastAsia"/>
          <w:b/>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22"/>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16"/>
        <w:spacing w:line="360" w:lineRule="auto"/>
        <w:jc w:val="both"/>
        <w:rPr>
          <w:rFonts w:hint="eastAsia" w:ascii="宋体" w:hAnsi="宋体" w:cs="宋体"/>
          <w:b/>
          <w:color w:val="auto"/>
        </w:rPr>
      </w:pPr>
    </w:p>
    <w:p>
      <w:pPr>
        <w:pStyle w:val="16"/>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16"/>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6"/>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16"/>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6"/>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6"/>
        <w:spacing w:line="360" w:lineRule="auto"/>
        <w:ind w:firstLine="482" w:firstLineChars="200"/>
        <w:jc w:val="center"/>
        <w:rPr>
          <w:rFonts w:hint="eastAsia" w:ascii="宋体" w:hAnsi="宋体" w:cs="宋体"/>
          <w:b/>
          <w:bCs/>
          <w:color w:val="auto"/>
        </w:rPr>
      </w:pPr>
    </w:p>
    <w:p>
      <w:pPr>
        <w:pStyle w:val="16"/>
        <w:spacing w:line="360" w:lineRule="auto"/>
        <w:ind w:firstLine="482" w:firstLineChars="200"/>
        <w:jc w:val="center"/>
        <w:rPr>
          <w:rFonts w:hint="eastAsia" w:ascii="宋体" w:hAnsi="宋体" w:cs="宋体"/>
          <w:b/>
          <w:bCs/>
          <w:color w:val="auto"/>
        </w:rPr>
      </w:pPr>
    </w:p>
    <w:p>
      <w:pPr>
        <w:pStyle w:val="16"/>
        <w:spacing w:line="360" w:lineRule="auto"/>
        <w:ind w:firstLine="482" w:firstLineChars="200"/>
        <w:jc w:val="center"/>
        <w:rPr>
          <w:rFonts w:hint="eastAsia" w:ascii="宋体" w:hAnsi="宋体" w:cs="宋体"/>
          <w:b/>
          <w:bCs/>
          <w:color w:val="auto"/>
        </w:rPr>
      </w:pPr>
    </w:p>
    <w:p>
      <w:pPr>
        <w:pStyle w:val="16"/>
        <w:spacing w:line="360" w:lineRule="auto"/>
        <w:ind w:firstLine="482" w:firstLineChars="200"/>
        <w:jc w:val="center"/>
        <w:rPr>
          <w:rFonts w:hint="eastAsia" w:ascii="宋体" w:hAnsi="宋体" w:cs="宋体"/>
          <w:b/>
          <w:bCs/>
          <w:color w:val="auto"/>
        </w:rPr>
      </w:pPr>
    </w:p>
    <w:p>
      <w:pPr>
        <w:pStyle w:val="16"/>
        <w:spacing w:line="360" w:lineRule="auto"/>
        <w:ind w:firstLine="482" w:firstLineChars="200"/>
        <w:jc w:val="center"/>
        <w:rPr>
          <w:rFonts w:hint="eastAsia" w:ascii="宋体" w:hAnsi="宋体" w:cs="宋体"/>
          <w:b/>
          <w:bCs/>
          <w:color w:val="auto"/>
        </w:rPr>
      </w:pPr>
    </w:p>
    <w:p>
      <w:pPr>
        <w:pStyle w:val="16"/>
        <w:spacing w:line="360" w:lineRule="auto"/>
        <w:ind w:firstLine="482" w:firstLineChars="200"/>
        <w:jc w:val="center"/>
        <w:rPr>
          <w:rFonts w:hint="eastAsia" w:ascii="宋体" w:hAnsi="宋体" w:cs="宋体"/>
          <w:b/>
          <w:bCs/>
          <w:color w:val="auto"/>
        </w:rPr>
      </w:pPr>
    </w:p>
    <w:p>
      <w:pPr>
        <w:pStyle w:val="16"/>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16"/>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cs="宋体"/>
          <w:color w:val="auto"/>
        </w:rPr>
      </w:pPr>
    </w:p>
    <w:p>
      <w:pPr>
        <w:pStyle w:val="16"/>
        <w:spacing w:line="360" w:lineRule="auto"/>
        <w:ind w:firstLine="480" w:firstLineChars="200"/>
        <w:jc w:val="right"/>
        <w:rPr>
          <w:rFonts w:hint="eastAsia" w:ascii="宋体" w:hAnsi="宋体" w:cs="宋体"/>
          <w:color w:val="auto"/>
        </w:rPr>
      </w:pPr>
    </w:p>
    <w:p>
      <w:pPr>
        <w:pStyle w:val="16"/>
        <w:spacing w:line="360" w:lineRule="auto"/>
        <w:ind w:firstLine="480" w:firstLineChars="200"/>
        <w:jc w:val="right"/>
        <w:rPr>
          <w:rFonts w:hint="eastAsia" w:ascii="宋体" w:hAnsi="宋体" w:cs="宋体"/>
          <w:color w:val="auto"/>
        </w:rPr>
      </w:pPr>
    </w:p>
    <w:p>
      <w:pPr>
        <w:pStyle w:val="16"/>
        <w:spacing w:line="360" w:lineRule="auto"/>
        <w:ind w:firstLine="480" w:firstLineChars="200"/>
        <w:jc w:val="right"/>
        <w:rPr>
          <w:rFonts w:hint="eastAsia" w:ascii="宋体" w:hAnsi="宋体" w:cs="宋体"/>
          <w:color w:val="auto"/>
        </w:rPr>
      </w:pPr>
    </w:p>
    <w:p>
      <w:pPr>
        <w:pStyle w:val="16"/>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16"/>
        <w:spacing w:line="360" w:lineRule="auto"/>
        <w:ind w:firstLine="480" w:firstLineChars="200"/>
        <w:jc w:val="right"/>
        <w:rPr>
          <w:rFonts w:hint="eastAsia" w:ascii="宋体" w:hAnsi="宋体" w:cs="宋体"/>
          <w:color w:val="auto"/>
        </w:rPr>
      </w:pPr>
    </w:p>
    <w:p>
      <w:pPr>
        <w:pStyle w:val="16"/>
        <w:spacing w:line="360" w:lineRule="auto"/>
        <w:ind w:firstLine="480" w:firstLineChars="200"/>
        <w:jc w:val="right"/>
        <w:rPr>
          <w:rFonts w:hint="eastAsia" w:ascii="宋体" w:hAnsi="宋体" w:cs="宋体"/>
          <w:color w:val="auto"/>
        </w:rPr>
      </w:pPr>
    </w:p>
    <w:p>
      <w:pPr>
        <w:pStyle w:val="16"/>
        <w:spacing w:line="360" w:lineRule="auto"/>
        <w:ind w:firstLine="480" w:firstLineChars="200"/>
        <w:jc w:val="right"/>
        <w:rPr>
          <w:rFonts w:hint="eastAsia" w:ascii="宋体" w:hAnsi="宋体" w:cs="宋体"/>
          <w:color w:val="auto"/>
        </w:rPr>
      </w:pPr>
    </w:p>
    <w:p>
      <w:pPr>
        <w:pStyle w:val="16"/>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16"/>
        <w:spacing w:line="360" w:lineRule="auto"/>
        <w:ind w:firstLine="482" w:firstLineChars="200"/>
        <w:jc w:val="both"/>
        <w:rPr>
          <w:rFonts w:hint="eastAsia" w:ascii="宋体" w:hAnsi="宋体" w:cs="宋体"/>
          <w:b/>
          <w:bCs/>
          <w:color w:val="auto"/>
        </w:rPr>
      </w:pPr>
    </w:p>
    <w:p>
      <w:pPr>
        <w:pStyle w:val="16"/>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杭银理财幸福99月添益1801期理财产品说明书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Wingdings" w:cs="宋体"/>
          <w:color w:val="000000"/>
          <w:kern w:val="0"/>
        </w:rPr>
        <w:t>Z7002221000242</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16"/>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16"/>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6"/>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16"/>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月添益1801期理财产品说明书</w:t>
      </w:r>
      <w:r>
        <w:rPr>
          <w:rFonts w:hint="eastAsia" w:ascii="宋体" w:hAnsi="宋体" w:cs="宋体"/>
          <w:bCs/>
          <w:color w:val="auto"/>
          <w:kern w:val="2"/>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月添益1801期理财合同不可分割组成部分的风险揭示书，</w:t>
      </w:r>
      <w:r>
        <w:rPr>
          <w:rFonts w:hint="eastAsia" w:ascii="宋体" w:hAnsi="宋体" w:cs="宋体"/>
          <w:bCs/>
          <w:color w:val="auto"/>
          <w:kern w:val="2"/>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月添益1801期理财合同不可分割组成部分的投资者权益须知，</w:t>
      </w:r>
      <w:r>
        <w:rPr>
          <w:rFonts w:hint="eastAsia" w:ascii="宋体" w:hAnsi="宋体" w:cs="宋体"/>
          <w:bCs/>
          <w:color w:val="auto"/>
          <w:kern w:val="2"/>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月添益1801期理财合同不可分割组成部分的理财计划投资协议书，</w:t>
      </w:r>
      <w:r>
        <w:rPr>
          <w:rFonts w:hint="eastAsia" w:ascii="宋体" w:hAnsi="宋体" w:cs="宋体"/>
          <w:bCs/>
          <w:color w:val="auto"/>
          <w:kern w:val="2"/>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月添益1801期理财</w:t>
      </w:r>
      <w:r>
        <w:rPr>
          <w:rFonts w:hint="eastAsia" w:ascii="宋体" w:hAnsi="宋体" w:cs="宋体"/>
          <w:bCs/>
          <w:color w:val="auto"/>
          <w:kern w:val="2"/>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月添益1801期理财。</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指理财计划的申购和赎回开放期内，理财计划任一开放日净赎回申请份额超过上一工作日日终理财计划总份额的〖15%〗，即为发生巨额赎回行为。</w:t>
      </w:r>
    </w:p>
    <w:p>
      <w:pPr>
        <w:pStyle w:val="16"/>
        <w:adjustRightInd/>
        <w:spacing w:line="360" w:lineRule="auto"/>
        <w:rPr>
          <w:rFonts w:hint="eastAsia" w:ascii="宋体" w:hAnsi="宋体" w:cs="宋体"/>
          <w:b/>
          <w:color w:val="auto"/>
          <w:kern w:val="2"/>
        </w:rPr>
      </w:pPr>
    </w:p>
    <w:p>
      <w:pPr>
        <w:pStyle w:val="16"/>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noWrap w:val="0"/>
            <w:vAlign w:val="top"/>
          </w:tcPr>
          <w:p>
            <w:pPr>
              <w:pStyle w:val="16"/>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noWrap w:val="0"/>
            <w:vAlign w:val="top"/>
          </w:tcPr>
          <w:p>
            <w:pPr>
              <w:pStyle w:val="16"/>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noWrap w:val="0"/>
            <w:vAlign w:val="top"/>
          </w:tcPr>
          <w:p>
            <w:pPr>
              <w:pStyle w:val="16"/>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16"/>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16"/>
        <w:adjustRightInd/>
        <w:spacing w:line="360" w:lineRule="auto"/>
        <w:rPr>
          <w:rFonts w:hint="eastAsia" w:ascii="宋体" w:hAnsi="宋体" w:cs="宋体"/>
          <w:b/>
          <w:color w:val="auto"/>
          <w:kern w:val="2"/>
        </w:rPr>
      </w:pPr>
    </w:p>
    <w:p>
      <w:pPr>
        <w:pStyle w:val="16"/>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月添益1801期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noWrap w:val="0"/>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月添益1801期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kern w:val="0"/>
                <w:sz w:val="21"/>
                <w:szCs w:val="21"/>
              </w:rPr>
              <w:t>FRG1801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本理财计划在全国银行业理财信息登记系统的原登记编码是〖C1092018000940〗</w:t>
            </w:r>
            <w:r>
              <w:rPr>
                <w:rFonts w:hint="eastAsia" w:ascii="宋体" w:hAnsi="宋体" w:cs="宋体"/>
                <w:color w:val="000000"/>
                <w:kern w:val="0"/>
              </w:rPr>
              <w:t>，</w:t>
            </w:r>
            <w:r>
              <w:rPr>
                <w:rFonts w:hint="eastAsia" w:ascii="宋体" w:hAnsi="宋体" w:cs="宋体"/>
                <w:color w:val="000000"/>
                <w:sz w:val="21"/>
                <w:szCs w:val="21"/>
              </w:rPr>
              <w:t>变更登记后为〖</w:t>
            </w:r>
            <w:r>
              <w:rPr>
                <w:rFonts w:hint="eastAsia" w:ascii="宋体" w:hAnsi="宋体" w:cs="宋体"/>
                <w:sz w:val="21"/>
                <w:szCs w:val="21"/>
              </w:rPr>
              <w:t>Z7002221000242</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noWrap w:val="0"/>
            <w:vAlign w:val="center"/>
          </w:tcPr>
          <w:p>
            <w:pPr>
              <w:widowControl/>
              <w:spacing w:line="360" w:lineRule="auto"/>
              <w:contextualSpacing/>
              <w:rPr>
                <w:rFonts w:hint="eastAsia"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sz w:val="21"/>
                <w:szCs w:val="21"/>
                <w:lang w:val="en-US" w:eastAsia="zh-CN"/>
              </w:rPr>
              <w:t>A份额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FRG1801</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eastAsia="宋体" w:cs="宋体"/>
                <w:bCs/>
                <w:sz w:val="21"/>
                <w:szCs w:val="21"/>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FRG1801C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noWrap w:val="0"/>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A、C份额：</w:t>
            </w:r>
            <w:r>
              <w:rPr>
                <w:rFonts w:hint="eastAsia" w:ascii="宋体" w:hAnsi="宋体" w:cs="宋体"/>
                <w:color w:val="000000"/>
                <w:sz w:val="21"/>
                <w:szCs w:val="21"/>
              </w:rPr>
              <w:t>〖</w:t>
            </w:r>
            <w:r>
              <w:rPr>
                <w:rFonts w:hint="eastAsia" w:ascii="宋体" w:hAnsi="宋体" w:cs="宋体"/>
                <w:color w:val="000000"/>
                <w:kern w:val="0"/>
                <w:sz w:val="21"/>
                <w:szCs w:val="21"/>
              </w:rPr>
              <w:t>100</w:t>
            </w:r>
            <w:r>
              <w:rPr>
                <w:rFonts w:hint="eastAsia" w:ascii="宋体" w:hAnsi="宋体" w:cs="宋体"/>
                <w:color w:val="000000"/>
                <w:sz w:val="21"/>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〖2018〗年〖7〗月〖18〗日-〖2018〗年〖7〗月〖24〗日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〖2018〗年〖7〗月〖25〗日-〖2018〗年〖10〗月〖24〗日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noWrap w:val="0"/>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color w:val="000000"/>
                <w:sz w:val="21"/>
                <w:szCs w:val="21"/>
              </w:rPr>
              <w:t>〖开放期为产品确认日前5-7个工作日〗，</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15%</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lang w:val="en-US" w:eastAsia="zh-CN"/>
              </w:rPr>
              <w:t>A、C份额：</w:t>
            </w:r>
            <w:r>
              <w:rPr>
                <w:rFonts w:hint="eastAsia" w:ascii="宋体" w:hAnsi="宋体" w:cs="宋体"/>
                <w:sz w:val="21"/>
                <w:szCs w:val="21"/>
              </w:rPr>
              <w:t>单户最高存续份额为〖</w:t>
            </w:r>
            <w:r>
              <w:rPr>
                <w:rFonts w:hint="eastAsia" w:ascii="宋体" w:hAnsi="宋体" w:cs="宋体"/>
                <w:sz w:val="21"/>
                <w:szCs w:val="21"/>
                <w:lang w:val="en-US" w:eastAsia="zh-CN"/>
              </w:rPr>
              <w:t>1亿</w:t>
            </w:r>
            <w:r>
              <w:rPr>
                <w:rFonts w:hint="eastAsia" w:ascii="宋体" w:hAnsi="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noWrap w:val="0"/>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w:t>
            </w:r>
            <w:r>
              <w:rPr>
                <w:rFonts w:hint="eastAsia" w:ascii="宋体" w:hAnsi="宋体" w:cs="宋体"/>
                <w:sz w:val="21"/>
                <w:szCs w:val="21"/>
                <w:lang w:val="en-US" w:eastAsia="zh-CN"/>
              </w:rPr>
              <w:t>A份额</w:t>
            </w:r>
            <w:r>
              <w:rPr>
                <w:rFonts w:hint="eastAsia" w:ascii="宋体" w:hAnsi="宋体" w:cs="宋体"/>
                <w:sz w:val="21"/>
                <w:szCs w:val="21"/>
              </w:rPr>
              <w:t>业绩比较基准为〖2.</w:t>
            </w:r>
            <w:r>
              <w:rPr>
                <w:rFonts w:hint="eastAsia" w:ascii="宋体" w:hAnsi="宋体" w:cs="宋体"/>
                <w:sz w:val="21"/>
                <w:szCs w:val="21"/>
                <w:lang w:val="en-US" w:eastAsia="zh-CN"/>
              </w:rPr>
              <w:t>40</w:t>
            </w:r>
            <w:r>
              <w:rPr>
                <w:rFonts w:hint="eastAsia" w:ascii="宋体" w:hAnsi="宋体" w:cs="宋体"/>
                <w:sz w:val="21"/>
                <w:szCs w:val="21"/>
              </w:rPr>
              <w:t>%-</w:t>
            </w:r>
            <w:r>
              <w:rPr>
                <w:rFonts w:hint="eastAsia" w:ascii="宋体" w:hAnsi="宋体" w:cs="宋体"/>
                <w:sz w:val="21"/>
                <w:szCs w:val="21"/>
                <w:lang w:val="en-US" w:eastAsia="zh-CN"/>
              </w:rPr>
              <w:t>3.85</w:t>
            </w:r>
            <w:r>
              <w:rPr>
                <w:rFonts w:hint="eastAsia" w:ascii="宋体" w:hAnsi="宋体" w:cs="宋体"/>
                <w:sz w:val="21"/>
                <w:szCs w:val="21"/>
              </w:rPr>
              <w:t>%〗（年化）</w:t>
            </w:r>
            <w:r>
              <w:rPr>
                <w:rFonts w:hint="eastAsia" w:ascii="宋体" w:hAnsi="宋体" w:cs="宋体"/>
                <w:sz w:val="21"/>
                <w:szCs w:val="21"/>
                <w:lang w:eastAsia="zh-CN"/>
              </w:rPr>
              <w:t>，</w:t>
            </w:r>
            <w:r>
              <w:rPr>
                <w:rFonts w:hint="eastAsia" w:ascii="宋体" w:hAnsi="宋体" w:cs="宋体"/>
                <w:sz w:val="21"/>
                <w:szCs w:val="21"/>
                <w:lang w:val="en-US" w:eastAsia="zh-CN"/>
              </w:rPr>
              <w:t>C份额</w:t>
            </w:r>
            <w:r>
              <w:rPr>
                <w:rFonts w:hint="eastAsia" w:ascii="宋体" w:hAnsi="宋体" w:cs="宋体"/>
                <w:sz w:val="21"/>
                <w:szCs w:val="21"/>
              </w:rPr>
              <w:t>业绩比较基准为〖2.</w:t>
            </w:r>
            <w:r>
              <w:rPr>
                <w:rFonts w:hint="eastAsia" w:ascii="宋体" w:hAnsi="宋体" w:cs="宋体"/>
                <w:sz w:val="21"/>
                <w:szCs w:val="21"/>
                <w:lang w:val="en-US" w:eastAsia="zh-CN"/>
              </w:rPr>
              <w:t>60</w:t>
            </w:r>
            <w:r>
              <w:rPr>
                <w:rFonts w:hint="eastAsia" w:ascii="宋体" w:hAnsi="宋体" w:cs="宋体"/>
                <w:sz w:val="21"/>
                <w:szCs w:val="21"/>
              </w:rPr>
              <w:t>%-</w:t>
            </w:r>
            <w:r>
              <w:rPr>
                <w:rFonts w:hint="eastAsia" w:ascii="宋体" w:hAnsi="宋体" w:cs="宋体"/>
                <w:sz w:val="21"/>
                <w:szCs w:val="21"/>
                <w:lang w:val="en-US" w:eastAsia="zh-CN"/>
              </w:rPr>
              <w:t>4.05</w:t>
            </w:r>
            <w:r>
              <w:rPr>
                <w:rFonts w:hint="eastAsia" w:ascii="宋体" w:hAnsi="宋体" w:cs="宋体"/>
                <w:sz w:val="21"/>
                <w:szCs w:val="21"/>
              </w:rPr>
              <w:t>%〗（年化）。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〖0.20%〗</w:t>
            </w:r>
            <w:r>
              <w:rPr>
                <w:rFonts w:hint="eastAsia" w:ascii="宋体" w:hAnsi="宋体" w:cs="宋体"/>
                <w:color w:val="000000"/>
                <w:sz w:val="21"/>
                <w:szCs w:val="21"/>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noWrap w:val="0"/>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noWrap w:val="0"/>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noWrap w:val="0"/>
            <w:vAlign w:val="top"/>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16"/>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16"/>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numPr>
          <w:ilvl w:val="0"/>
          <w:numId w:val="0"/>
        </w:numPr>
        <w:spacing w:line="360" w:lineRule="auto"/>
        <w:ind w:firstLine="480" w:firstLineChars="200"/>
        <w:jc w:val="left"/>
        <w:outlineLvl w:val="2"/>
        <w:rPr>
          <w:rFonts w:hint="eastAsia" w:ascii="宋体" w:hAnsi="宋体" w:cs="宋体"/>
          <w:b/>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rPr>
          <w:rFonts w:ascii="宋体" w:hAnsi="宋体" w:cs="宋体"/>
          <w:bCs/>
        </w:rPr>
        <w:fldChar w:fldCharType="begin"/>
      </w:r>
      <w:r>
        <w:rPr>
          <w:rFonts w:ascii="宋体" w:hAnsi="宋体" w:cs="宋体"/>
          <w:bCs/>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rPr>
        <w:fldChar w:fldCharType="begin"/>
      </w:r>
      <w:r>
        <w:rPr>
          <w:rFonts w:ascii="宋体" w:hAnsi="宋体" w:cs="宋体"/>
          <w:bCs/>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noWrap w:val="0"/>
            <w:vAlign w:val="top"/>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431"/>
        <w:gridCol w:w="1689"/>
        <w:gridCol w:w="1305"/>
        <w:gridCol w:w="3840"/>
      </w:tblGrid>
      <w:tr>
        <w:tblPrEx>
          <w:tblLayout w:type="fixed"/>
          <w:tblCellMar>
            <w:top w:w="0" w:type="dxa"/>
            <w:left w:w="0" w:type="dxa"/>
            <w:bottom w:w="0" w:type="dxa"/>
            <w:right w:w="0" w:type="dxa"/>
          </w:tblCellMar>
        </w:tblPrEx>
        <w:trPr>
          <w:trHeight w:val="570" w:hRule="atLeast"/>
        </w:trPr>
        <w:tc>
          <w:tcPr>
            <w:tcW w:w="1431"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销售机构信息</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杭州市庆春路46号杭州银行大厦</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兴业银行股份有限公司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厦门国际银行股份有限公司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富邦华一银行有限公司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宁波鄞州农村商业银行股份有限公司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深圳前海微众银行股份有限公司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吉林亿联银行股份有限公司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bidi="ar"/>
              </w:rPr>
              <w:t>9</w:t>
            </w:r>
            <w:r>
              <w:rPr>
                <w:rFonts w:hint="eastAsia" w:ascii="宋体" w:hAnsi="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重庆富民银行股份有限公司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中信百信银行股份有限公司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956</w:t>
            </w: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江苏苏宁银行股份有限公司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95177</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石嘴山银行股份有限公司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齐鲁银行股份有限公司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日照银行股份有限公司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广东南粤银行股份有限公司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浙商银行股份有限公司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澳门国际银行股份有限公司广州分行</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杭银理财有限责任公司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中邮邮惠万家银行有限责任公司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40011-88888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四川天府银行股份有限公司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400-16-96869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江苏常熟农村商业银行股份有限公司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956020</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威海蓝海银行股份有限公司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400-0631-888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温州银行股份有限公司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浙江省温州市鹿城区会展路1316号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top"/>
          </w:tcPr>
          <w:p>
            <w:pP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宋体" w:hAnsi="宋体"/>
                <w:sz w:val="21"/>
                <w:szCs w:val="21"/>
              </w:rPr>
            </w:pPr>
            <w:r>
              <w:rPr>
                <w:rFonts w:hint="eastAsia" w:ascii="宋体" w:hAnsi="宋体"/>
                <w:sz w:val="21"/>
                <w:szCs w:val="21"/>
              </w:rPr>
              <w:t>0577-96699</w:t>
            </w:r>
          </w:p>
        </w:tc>
      </w:tr>
      <w:tr>
        <w:tblPrEx>
          <w:tblLayout w:type="fixed"/>
          <w:tblCellMar>
            <w:top w:w="0" w:type="dxa"/>
            <w:left w:w="0" w:type="dxa"/>
            <w:bottom w:w="0" w:type="dxa"/>
            <w:right w:w="0" w:type="dxa"/>
          </w:tblCellMar>
        </w:tblPrEx>
        <w:trPr>
          <w:trHeight w:val="1320" w:hRule="atLeast"/>
        </w:trPr>
        <w:tc>
          <w:tcPr>
            <w:tcW w:w="143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销售机构职责</w:t>
            </w:r>
          </w:p>
        </w:tc>
        <w:tc>
          <w:tcPr>
            <w:tcW w:w="683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rPr>
        <w:t>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16"/>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16"/>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6"/>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的年化销售服务费率为</w:t>
      </w:r>
      <w:r>
        <w:rPr>
          <w:rFonts w:hint="eastAsia" w:ascii="宋体" w:hAnsi="宋体" w:cs="宋体"/>
          <w:szCs w:val="21"/>
        </w:rPr>
        <w:t>〖0.20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〖0.20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的年化固定管理费率为</w:t>
      </w:r>
      <w:r>
        <w:rPr>
          <w:rFonts w:hint="eastAsia" w:ascii="宋体" w:hAnsi="宋体" w:cs="宋体"/>
          <w:szCs w:val="21"/>
        </w:rPr>
        <w:t>〖</w:t>
      </w:r>
      <w:r>
        <w:rPr>
          <w:rFonts w:hint="eastAsia" w:ascii="宋体" w:hAnsi="宋体"/>
          <w:color w:val="000000"/>
        </w:rPr>
        <w:t>0.30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0.30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理财计划存续期内，若理财计划开放日净赎回申请份额超过上一日日终理财计划总份额〖15%〗时，即构成巨额赎回。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15%〗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在理财计划期限内，管理人根据投资情况有提前终止权，于本理财计划提前终止日前〖1〗个工作日通过管理人或销售机构发布提前终止公告，并于终止日后</w:t>
      </w:r>
      <w:r>
        <w:rPr>
          <w:rFonts w:hint="eastAsia" w:ascii="宋体" w:hAnsi="宋体" w:cs="宋体"/>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rPr>
          <w:rFonts w:hint="eastAsia" w:ascii="宋体" w:hAnsi="宋体" w:cs="宋体"/>
          <w:kern w:val="0"/>
        </w:rPr>
        <w:fldChar w:fldCharType="begin"/>
      </w:r>
      <w:r>
        <w:rPr>
          <w:rFonts w:hint="eastAsia" w:ascii="宋体" w:hAnsi="宋体" w:cs="宋体"/>
          <w:kern w:val="0"/>
        </w:rPr>
        <w:instrText xml:space="preserve"> HYPERLINK "http://www.hzbankwealth.cn" </w:instrText>
      </w:r>
      <w:r>
        <w:rPr>
          <w:rFonts w:hint="eastAsia" w:ascii="宋体" w:hAnsi="宋体" w:cs="宋体"/>
          <w:kern w:val="0"/>
        </w:rPr>
        <w:fldChar w:fldCharType="separate"/>
      </w:r>
      <w:r>
        <w:rPr>
          <w:rStyle w:val="14"/>
          <w:rFonts w:hint="eastAsia" w:ascii="宋体" w:hAnsi="宋体" w:cs="宋体"/>
          <w:color w:val="auto"/>
          <w:kern w:val="0"/>
          <w:u w:val="none"/>
        </w:rPr>
        <w:t>www.hzbank.com.cn</w:t>
      </w:r>
      <w:r>
        <w:rPr>
          <w:rFonts w:hint="eastAsia" w:ascii="宋体" w:hAnsi="宋体" w:cs="宋体"/>
          <w:kern w:val="0"/>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rPr>
          <w:rFonts w:ascii="宋体" w:hAnsi="宋体" w:cs="宋体"/>
          <w:bCs/>
          <w:color w:val="000000"/>
        </w:rPr>
      </w:pPr>
    </w:p>
    <w:p>
      <w:pPr>
        <w:spacing w:line="360" w:lineRule="auto"/>
        <w:rPr>
          <w:rFonts w:ascii="宋体" w:hAnsi="宋体" w:cs="宋体"/>
          <w:bCs/>
          <w:color w:val="000000"/>
        </w:rPr>
      </w:pPr>
    </w:p>
    <w:p>
      <w:pPr>
        <w:spacing w:line="360" w:lineRule="auto"/>
        <w:rPr>
          <w:rFonts w:ascii="宋体" w:hAnsi="宋体" w:cs="宋体"/>
          <w:bCs/>
          <w:color w:val="000000"/>
        </w:rPr>
      </w:pPr>
    </w:p>
    <w:p>
      <w:pPr>
        <w:jc w:val="center"/>
        <w:outlineLvl w:val="0"/>
        <w:rPr>
          <w:rFonts w:hint="eastAsia"/>
          <w:b/>
          <w:sz w:val="44"/>
          <w:szCs w:val="44"/>
        </w:rPr>
      </w:pPr>
    </w:p>
    <w:p>
      <w:pPr>
        <w:jc w:val="center"/>
        <w:outlineLvl w:val="0"/>
        <w:rPr>
          <w:rFonts w:hint="eastAsia"/>
          <w:b/>
          <w:sz w:val="44"/>
          <w:szCs w:val="44"/>
        </w:rPr>
      </w:pPr>
    </w:p>
    <w:p>
      <w:pPr>
        <w:jc w:val="center"/>
        <w:outlineLvl w:val="0"/>
        <w:rPr>
          <w:rFonts w:hint="eastAsia"/>
          <w:b/>
          <w:sz w:val="44"/>
          <w:szCs w:val="44"/>
        </w:rPr>
      </w:pPr>
      <w:bookmarkStart w:id="0" w:name="_GoBack"/>
      <w:bookmarkEnd w:id="0"/>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807BBD"/>
    <w:rsid w:val="00CE609A"/>
    <w:rsid w:val="00D5498D"/>
    <w:rsid w:val="00FE0B1E"/>
    <w:rsid w:val="01364432"/>
    <w:rsid w:val="01523B8E"/>
    <w:rsid w:val="01E60817"/>
    <w:rsid w:val="01FD241C"/>
    <w:rsid w:val="046C4318"/>
    <w:rsid w:val="0486279B"/>
    <w:rsid w:val="05E05E4D"/>
    <w:rsid w:val="06420CFA"/>
    <w:rsid w:val="06503B59"/>
    <w:rsid w:val="06A7038C"/>
    <w:rsid w:val="06C426A7"/>
    <w:rsid w:val="06F301FD"/>
    <w:rsid w:val="0752555A"/>
    <w:rsid w:val="07E45984"/>
    <w:rsid w:val="0828699A"/>
    <w:rsid w:val="087D4021"/>
    <w:rsid w:val="08B45973"/>
    <w:rsid w:val="09155E8F"/>
    <w:rsid w:val="097E3F67"/>
    <w:rsid w:val="0A0C6349"/>
    <w:rsid w:val="0A1347F5"/>
    <w:rsid w:val="0A1F0090"/>
    <w:rsid w:val="0A1F3796"/>
    <w:rsid w:val="0A2A32B9"/>
    <w:rsid w:val="0B8E27E3"/>
    <w:rsid w:val="0BF71AE2"/>
    <w:rsid w:val="0C5F5960"/>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11115B"/>
    <w:rsid w:val="12B62B3B"/>
    <w:rsid w:val="12F57C75"/>
    <w:rsid w:val="12F96486"/>
    <w:rsid w:val="13031153"/>
    <w:rsid w:val="13181417"/>
    <w:rsid w:val="135A629F"/>
    <w:rsid w:val="13CF7B8E"/>
    <w:rsid w:val="14B80FF2"/>
    <w:rsid w:val="14C57FED"/>
    <w:rsid w:val="150C5665"/>
    <w:rsid w:val="15C56302"/>
    <w:rsid w:val="160940BB"/>
    <w:rsid w:val="1659752C"/>
    <w:rsid w:val="16E43A7F"/>
    <w:rsid w:val="171C40D5"/>
    <w:rsid w:val="175A52FF"/>
    <w:rsid w:val="175F7C56"/>
    <w:rsid w:val="185A3DA1"/>
    <w:rsid w:val="1900008E"/>
    <w:rsid w:val="198C4B50"/>
    <w:rsid w:val="19DA4F78"/>
    <w:rsid w:val="19F13F4F"/>
    <w:rsid w:val="1A102675"/>
    <w:rsid w:val="1B280245"/>
    <w:rsid w:val="1B581220"/>
    <w:rsid w:val="1B843575"/>
    <w:rsid w:val="1BBE4697"/>
    <w:rsid w:val="1BCA76F9"/>
    <w:rsid w:val="1C331DC6"/>
    <w:rsid w:val="1D4D5B7F"/>
    <w:rsid w:val="1D552DD9"/>
    <w:rsid w:val="1DAB6D83"/>
    <w:rsid w:val="1E3173A3"/>
    <w:rsid w:val="1E792E51"/>
    <w:rsid w:val="1F0F5A19"/>
    <w:rsid w:val="1F1D6E1F"/>
    <w:rsid w:val="1F3E7F7D"/>
    <w:rsid w:val="1F51312D"/>
    <w:rsid w:val="1FC9553A"/>
    <w:rsid w:val="2034503A"/>
    <w:rsid w:val="204D3B12"/>
    <w:rsid w:val="205A2AB3"/>
    <w:rsid w:val="20B6224D"/>
    <w:rsid w:val="21025026"/>
    <w:rsid w:val="21036497"/>
    <w:rsid w:val="21C9316A"/>
    <w:rsid w:val="22A04AF7"/>
    <w:rsid w:val="22A73C8E"/>
    <w:rsid w:val="22B445F4"/>
    <w:rsid w:val="22D3594B"/>
    <w:rsid w:val="22F12819"/>
    <w:rsid w:val="234F46D7"/>
    <w:rsid w:val="23753F06"/>
    <w:rsid w:val="238E1AAE"/>
    <w:rsid w:val="24030B6D"/>
    <w:rsid w:val="241B4320"/>
    <w:rsid w:val="242E0FE9"/>
    <w:rsid w:val="24345B9A"/>
    <w:rsid w:val="245517BD"/>
    <w:rsid w:val="2483647E"/>
    <w:rsid w:val="256F076F"/>
    <w:rsid w:val="25AF7681"/>
    <w:rsid w:val="26820AF7"/>
    <w:rsid w:val="27947E62"/>
    <w:rsid w:val="27BF42BB"/>
    <w:rsid w:val="27EB2573"/>
    <w:rsid w:val="285874BF"/>
    <w:rsid w:val="286E70E5"/>
    <w:rsid w:val="292668E3"/>
    <w:rsid w:val="29361BBD"/>
    <w:rsid w:val="298A1023"/>
    <w:rsid w:val="2A124404"/>
    <w:rsid w:val="2A1B5D68"/>
    <w:rsid w:val="2A2C294D"/>
    <w:rsid w:val="2A460C0A"/>
    <w:rsid w:val="2A5975B6"/>
    <w:rsid w:val="2A991D32"/>
    <w:rsid w:val="2AB618AE"/>
    <w:rsid w:val="2AB92324"/>
    <w:rsid w:val="2AD6555A"/>
    <w:rsid w:val="2B376BE0"/>
    <w:rsid w:val="2BFA3BD7"/>
    <w:rsid w:val="2C1B1E9D"/>
    <w:rsid w:val="2CAB68C5"/>
    <w:rsid w:val="2E354AE5"/>
    <w:rsid w:val="2E375159"/>
    <w:rsid w:val="2E91385D"/>
    <w:rsid w:val="2EBC6D03"/>
    <w:rsid w:val="2ED35539"/>
    <w:rsid w:val="2F196945"/>
    <w:rsid w:val="2F1F666C"/>
    <w:rsid w:val="2F346304"/>
    <w:rsid w:val="2FD32A37"/>
    <w:rsid w:val="30551FFC"/>
    <w:rsid w:val="30CB6CEC"/>
    <w:rsid w:val="311F702A"/>
    <w:rsid w:val="31A82883"/>
    <w:rsid w:val="320E3E15"/>
    <w:rsid w:val="32B15B31"/>
    <w:rsid w:val="32C937E9"/>
    <w:rsid w:val="333F6AA7"/>
    <w:rsid w:val="3480359E"/>
    <w:rsid w:val="34BE4ED5"/>
    <w:rsid w:val="35476F5E"/>
    <w:rsid w:val="354D3F58"/>
    <w:rsid w:val="359A216E"/>
    <w:rsid w:val="36631FD8"/>
    <w:rsid w:val="36C419F2"/>
    <w:rsid w:val="36E72D9B"/>
    <w:rsid w:val="36FD7080"/>
    <w:rsid w:val="379F2ED6"/>
    <w:rsid w:val="37CA172C"/>
    <w:rsid w:val="37DC2068"/>
    <w:rsid w:val="38071350"/>
    <w:rsid w:val="38224FD0"/>
    <w:rsid w:val="38C43569"/>
    <w:rsid w:val="39775E90"/>
    <w:rsid w:val="39AC0F1B"/>
    <w:rsid w:val="3A3E2041"/>
    <w:rsid w:val="3B131EF6"/>
    <w:rsid w:val="3B490D86"/>
    <w:rsid w:val="3BD74075"/>
    <w:rsid w:val="3C2F2290"/>
    <w:rsid w:val="3E32033E"/>
    <w:rsid w:val="3E6E3802"/>
    <w:rsid w:val="3EA67C14"/>
    <w:rsid w:val="3EAD1B36"/>
    <w:rsid w:val="3ECC5047"/>
    <w:rsid w:val="3F056B9E"/>
    <w:rsid w:val="3F354A62"/>
    <w:rsid w:val="3FB01289"/>
    <w:rsid w:val="3FBB06A4"/>
    <w:rsid w:val="3FE233B8"/>
    <w:rsid w:val="3FF54C55"/>
    <w:rsid w:val="40181F9C"/>
    <w:rsid w:val="40463495"/>
    <w:rsid w:val="406370BC"/>
    <w:rsid w:val="40FB7670"/>
    <w:rsid w:val="41B60000"/>
    <w:rsid w:val="423C06E2"/>
    <w:rsid w:val="4271642C"/>
    <w:rsid w:val="42815397"/>
    <w:rsid w:val="42C94634"/>
    <w:rsid w:val="435E04F8"/>
    <w:rsid w:val="437C10A3"/>
    <w:rsid w:val="43900C29"/>
    <w:rsid w:val="43B7021F"/>
    <w:rsid w:val="45540446"/>
    <w:rsid w:val="4565640C"/>
    <w:rsid w:val="458F3937"/>
    <w:rsid w:val="459F641E"/>
    <w:rsid w:val="45A93DC9"/>
    <w:rsid w:val="45BB5620"/>
    <w:rsid w:val="45F127ED"/>
    <w:rsid w:val="46263D02"/>
    <w:rsid w:val="46A80839"/>
    <w:rsid w:val="46CD66A0"/>
    <w:rsid w:val="46FF31D3"/>
    <w:rsid w:val="472803B7"/>
    <w:rsid w:val="478411E4"/>
    <w:rsid w:val="47895DDB"/>
    <w:rsid w:val="486E1F78"/>
    <w:rsid w:val="4871336C"/>
    <w:rsid w:val="488B59A4"/>
    <w:rsid w:val="48CC5267"/>
    <w:rsid w:val="494502E1"/>
    <w:rsid w:val="49EE30FB"/>
    <w:rsid w:val="4A010AC9"/>
    <w:rsid w:val="4A7F0ADF"/>
    <w:rsid w:val="4AA612F0"/>
    <w:rsid w:val="4B0D3113"/>
    <w:rsid w:val="4B7523C9"/>
    <w:rsid w:val="4C6B0DDA"/>
    <w:rsid w:val="4C6E1306"/>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F765EC"/>
    <w:rsid w:val="542B7170"/>
    <w:rsid w:val="54E91D9C"/>
    <w:rsid w:val="55A47BB4"/>
    <w:rsid w:val="56B44788"/>
    <w:rsid w:val="57BB6218"/>
    <w:rsid w:val="57FF3AAA"/>
    <w:rsid w:val="580A65D5"/>
    <w:rsid w:val="58DD2EEE"/>
    <w:rsid w:val="58E96C7A"/>
    <w:rsid w:val="59263C31"/>
    <w:rsid w:val="59AD3C67"/>
    <w:rsid w:val="5A4B183F"/>
    <w:rsid w:val="5B0D630F"/>
    <w:rsid w:val="5B602150"/>
    <w:rsid w:val="5B9919B4"/>
    <w:rsid w:val="5BA475F9"/>
    <w:rsid w:val="5BB70148"/>
    <w:rsid w:val="5C3C3DDC"/>
    <w:rsid w:val="5D160516"/>
    <w:rsid w:val="5D713BC5"/>
    <w:rsid w:val="5D7D0F36"/>
    <w:rsid w:val="5DB61BFF"/>
    <w:rsid w:val="5DEF454B"/>
    <w:rsid w:val="5E5A6C63"/>
    <w:rsid w:val="5F3C6712"/>
    <w:rsid w:val="5F4B58F3"/>
    <w:rsid w:val="604A333E"/>
    <w:rsid w:val="6053481F"/>
    <w:rsid w:val="60553A8D"/>
    <w:rsid w:val="606E0DED"/>
    <w:rsid w:val="60AB2000"/>
    <w:rsid w:val="61C97391"/>
    <w:rsid w:val="61D85325"/>
    <w:rsid w:val="62860AAA"/>
    <w:rsid w:val="628B7CEE"/>
    <w:rsid w:val="629D5796"/>
    <w:rsid w:val="63FA4C5C"/>
    <w:rsid w:val="640906AA"/>
    <w:rsid w:val="64102A52"/>
    <w:rsid w:val="64926F27"/>
    <w:rsid w:val="64BC6713"/>
    <w:rsid w:val="659455AE"/>
    <w:rsid w:val="662D3E06"/>
    <w:rsid w:val="66A72F3A"/>
    <w:rsid w:val="66F54088"/>
    <w:rsid w:val="671E2162"/>
    <w:rsid w:val="67C2281F"/>
    <w:rsid w:val="67DC43BB"/>
    <w:rsid w:val="680C1A56"/>
    <w:rsid w:val="68D8721E"/>
    <w:rsid w:val="6AE12B3F"/>
    <w:rsid w:val="6B610D05"/>
    <w:rsid w:val="6BAC21D5"/>
    <w:rsid w:val="6CED1CB3"/>
    <w:rsid w:val="6D3B42C3"/>
    <w:rsid w:val="6D5A3D63"/>
    <w:rsid w:val="6D9A4080"/>
    <w:rsid w:val="6E7E575F"/>
    <w:rsid w:val="6EBE26DA"/>
    <w:rsid w:val="6EF15941"/>
    <w:rsid w:val="6F926461"/>
    <w:rsid w:val="6F9921A1"/>
    <w:rsid w:val="6FA538B5"/>
    <w:rsid w:val="720B7A64"/>
    <w:rsid w:val="720F6016"/>
    <w:rsid w:val="73407EBD"/>
    <w:rsid w:val="73932176"/>
    <w:rsid w:val="73EF4563"/>
    <w:rsid w:val="74175679"/>
    <w:rsid w:val="744124AA"/>
    <w:rsid w:val="74664F47"/>
    <w:rsid w:val="756E538F"/>
    <w:rsid w:val="758C1972"/>
    <w:rsid w:val="76BF0019"/>
    <w:rsid w:val="76C7589D"/>
    <w:rsid w:val="76F41323"/>
    <w:rsid w:val="778222EA"/>
    <w:rsid w:val="77A30DC4"/>
    <w:rsid w:val="77E0572E"/>
    <w:rsid w:val="77ED4104"/>
    <w:rsid w:val="78B52C2B"/>
    <w:rsid w:val="78EF4372"/>
    <w:rsid w:val="79667E22"/>
    <w:rsid w:val="79771B00"/>
    <w:rsid w:val="7980282D"/>
    <w:rsid w:val="798F6426"/>
    <w:rsid w:val="79B94653"/>
    <w:rsid w:val="7A327037"/>
    <w:rsid w:val="7ACA272A"/>
    <w:rsid w:val="7B0E7C70"/>
    <w:rsid w:val="7B2E004A"/>
    <w:rsid w:val="7B76641B"/>
    <w:rsid w:val="7BBF1397"/>
    <w:rsid w:val="7E0B216F"/>
    <w:rsid w:val="7E5F1CAF"/>
    <w:rsid w:val="7E6F339A"/>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标题 2 字符"/>
    <w:link w:val="3"/>
    <w:uiPriority w:val="0"/>
    <w:rPr>
      <w:rFonts w:ascii="Arial" w:hAnsi="Arial" w:eastAsia="宋体"/>
      <w:b/>
      <w:sz w:val="24"/>
    </w:rPr>
  </w:style>
  <w:style w:type="character" w:customStyle="1" w:styleId="20">
    <w:name w:val="标题 1 字符"/>
    <w:link w:val="2"/>
    <w:uiPriority w:val="0"/>
    <w:rPr>
      <w:rFonts w:eastAsia="宋体"/>
      <w:b/>
      <w:kern w:val="44"/>
      <w:sz w:val="44"/>
    </w:rPr>
  </w:style>
  <w:style w:type="character" w:customStyle="1" w:styleId="21">
    <w:name w:val="批注框文本 字符"/>
    <w:link w:val="6"/>
    <w:uiPriority w:val="0"/>
    <w:rPr>
      <w:rFonts w:ascii="Calibri" w:hAnsi="Calibri" w:cs="黑体"/>
      <w:kern w:val="2"/>
      <w:sz w:val="18"/>
      <w:szCs w:val="18"/>
    </w:rPr>
  </w:style>
  <w:style w:type="character" w:customStyle="1" w:styleId="22">
    <w:name w:val="标题 3 字符"/>
    <w:link w:val="4"/>
    <w:uiPriority w:val="0"/>
    <w:rPr>
      <w:rFonts w:hAnsi="Calibri" w:eastAsia="宋体"/>
      <w:b/>
      <w:sz w:val="24"/>
    </w:rPr>
  </w:style>
  <w:style w:type="character" w:customStyle="1" w:styleId="23">
    <w:name w:val="批注文字 字符"/>
    <w:link w:val="5"/>
    <w:uiPriority w:val="0"/>
    <w:rPr>
      <w:rFonts w:ascii="Calibri" w:hAnsi="Calibri" w:cs="黑体"/>
      <w:kern w:val="2"/>
      <w:sz w:val="21"/>
      <w:szCs w:val="24"/>
    </w:rPr>
  </w:style>
  <w:style w:type="character" w:customStyle="1" w:styleId="24">
    <w:name w:val="批注主题 字符"/>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34940</Words>
  <Characters>36891</Characters>
  <Lines>267</Lines>
  <Paragraphs>75</Paragraphs>
  <TotalTime>0</TotalTime>
  <ScaleCrop>false</ScaleCrop>
  <LinksUpToDate>false</LinksUpToDate>
  <CharactersWithSpaces>37117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2024-06-19T06:08:25Z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