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添益(安享优选)28天持有期理财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添益(安享优选)28天持有期理财</w:t>
      </w:r>
      <w:r>
        <w:rPr>
          <w:rFonts w:hint="eastAsia" w:ascii="宋体" w:hAnsi="宋体" w:eastAsia="宋体" w:cs="宋体"/>
          <w:b/>
          <w:bCs/>
          <w:sz w:val="44"/>
          <w:szCs w:val="44"/>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杭银理财幸福99添益(安享优选)28天持有期理财风险揭示书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杭银理财幸福99添益(安享优选)28天持有期理财产品说明书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val="en-US" w:eastAsia="zh-CN"/>
        </w:rPr>
        <w:t>添益(安享优选)28天持有期理财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val="en-US"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2"/>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1"/>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为杭州银行股份有限公司，杭银理财系杭州银行全资子公司，双方存在关联关系。杭州银行作为本理财</w:t>
      </w:r>
      <w:r>
        <w:rPr>
          <w:rFonts w:hint="eastAsia" w:ascii="宋体" w:hAnsi="宋体" w:cs="宋体"/>
          <w:b/>
          <w:sz w:val="24"/>
          <w:highlight w:val="none"/>
          <w:lang w:eastAsia="zh-CN"/>
        </w:rPr>
        <w:t>计划</w:t>
      </w:r>
      <w:r>
        <w:rPr>
          <w:rFonts w:ascii="宋体" w:hAnsi="宋体" w:cs="宋体"/>
          <w:b/>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sz w:val="24"/>
          <w:highlight w:val="none"/>
          <w:lang w:eastAsia="zh-CN"/>
        </w:rPr>
        <w:t>理财计划</w:t>
      </w:r>
      <w:r>
        <w:rPr>
          <w:rFonts w:ascii="宋体" w:hAnsi="宋体" w:cs="宋体"/>
          <w:b/>
          <w:sz w:val="24"/>
          <w:highlight w:val="none"/>
        </w:rPr>
        <w:t>收益，不承担</w:t>
      </w:r>
      <w:r>
        <w:rPr>
          <w:rFonts w:hint="eastAsia" w:ascii="宋体" w:hAnsi="宋体" w:cs="宋体"/>
          <w:b/>
          <w:sz w:val="24"/>
          <w:highlight w:val="none"/>
          <w:lang w:eastAsia="zh-CN"/>
        </w:rPr>
        <w:t>理财计划</w:t>
      </w:r>
      <w:r>
        <w:rPr>
          <w:rFonts w:ascii="宋体" w:hAnsi="宋体" w:cs="宋体"/>
          <w:b/>
          <w:sz w:val="24"/>
          <w:highlight w:val="none"/>
        </w:rPr>
        <w:t>的投资、兑付和风险管理责任。</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资金流动性风险：本理财计划认购/申购份额确认后，投资者需持有份额一定期限后才能申请赎回，期间不得提前赎回。</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收益不达业绩比较基准风险：本理财计划的投资收益与投资者的申购、赎回时点密切相关，收益存在一定的波动性，理财计划本金出现损失的可能性不容忽视。</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未知价风险：产品以产品申购和赎回确认时的单位净值，按照“金额申购、份额赎回”的原则计算投资者申购份额和赎回资金，产品净值可能会有波动</w:t>
      </w:r>
      <w:r>
        <w:rPr>
          <w:rFonts w:hint="eastAsia" w:ascii="宋体" w:hAnsi="宋体" w:cs="宋体"/>
          <w:b/>
          <w:sz w:val="24"/>
          <w:highlight w:val="none"/>
          <w:lang w:eastAsia="zh-CN"/>
        </w:rPr>
        <w:t>。</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lang w:eastAsia="zh-CN"/>
        </w:rPr>
        <w:t>无固定期限</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w:t>
      </w:r>
      <w:r>
        <w:rPr>
          <w:rFonts w:hint="eastAsia" w:ascii="宋体" w:hAnsi="宋体" w:cs="宋体"/>
          <w:b/>
          <w:sz w:val="24"/>
          <w:highlight w:val="none"/>
          <w:lang w:eastAsia="zh-CN"/>
        </w:rPr>
        <w:t>较</w:t>
      </w:r>
      <w:r>
        <w:rPr>
          <w:rFonts w:hint="eastAsia" w:ascii="宋体" w:hAnsi="宋体" w:cs="宋体"/>
          <w:b/>
          <w:sz w:val="24"/>
          <w:highlight w:val="none"/>
          <w:lang w:val="en-US" w:eastAsia="zh-CN"/>
        </w:rPr>
        <w:t>低</w:t>
      </w:r>
      <w:r>
        <w:rPr>
          <w:rFonts w:hint="eastAsia" w:ascii="宋体" w:hAnsi="宋体" w:cs="宋体"/>
          <w:b/>
          <w:sz w:val="24"/>
          <w:highlight w:val="none"/>
        </w:rPr>
        <w:t>，收益波动</w:t>
      </w:r>
      <w:r>
        <w:rPr>
          <w:rFonts w:hint="eastAsia" w:ascii="宋体" w:hAnsi="宋体" w:cs="宋体"/>
          <w:b/>
          <w:sz w:val="24"/>
          <w:highlight w:val="none"/>
          <w:lang w:eastAsia="zh-CN"/>
        </w:rPr>
        <w:t>较</w:t>
      </w:r>
      <w:r>
        <w:rPr>
          <w:rFonts w:hint="eastAsia" w:ascii="宋体" w:hAnsi="宋体" w:cs="宋体"/>
          <w:b/>
          <w:sz w:val="24"/>
          <w:highlight w:val="none"/>
          <w:lang w:val="en-US" w:eastAsia="zh-CN"/>
        </w:rPr>
        <w:t>小</w:t>
      </w:r>
      <w:r>
        <w:rPr>
          <w:rFonts w:hint="eastAsia" w:ascii="宋体" w:hAnsi="宋体" w:cs="宋体"/>
          <w:b/>
          <w:sz w:val="24"/>
          <w:highlight w:val="none"/>
        </w:rPr>
        <w:t>，</w:t>
      </w:r>
      <w:r>
        <w:rPr>
          <w:rFonts w:hint="eastAsia" w:ascii="宋体" w:hAnsi="宋体" w:cs="宋体"/>
          <w:b/>
          <w:sz w:val="24"/>
          <w:highlight w:val="none"/>
          <w:lang w:eastAsia="zh-CN"/>
        </w:rPr>
        <w:t>虽然存在一些可能对产品本金和收益安全产生不利影响的因素，但</w:t>
      </w:r>
      <w:r>
        <w:rPr>
          <w:rFonts w:hint="eastAsia" w:ascii="宋体" w:hAnsi="宋体" w:cs="宋体"/>
          <w:b/>
          <w:sz w:val="24"/>
          <w:highlight w:val="none"/>
        </w:rPr>
        <w:t>产品本金</w:t>
      </w:r>
      <w:r>
        <w:rPr>
          <w:rFonts w:hint="eastAsia" w:ascii="宋体" w:hAnsi="宋体" w:cs="宋体"/>
          <w:b/>
          <w:sz w:val="24"/>
          <w:highlight w:val="none"/>
          <w:lang w:eastAsia="zh-CN"/>
        </w:rPr>
        <w:t>出现损失的可能性较小</w:t>
      </w:r>
      <w:r>
        <w:rPr>
          <w:rFonts w:hint="eastAsia" w:ascii="宋体" w:hAnsi="宋体" w:cs="宋体"/>
          <w:b/>
          <w:sz w:val="24"/>
          <w:highlight w:val="none"/>
        </w:rPr>
        <w:t>〗。</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w:t>
      </w:r>
      <w:r>
        <w:rPr>
          <w:rFonts w:hint="eastAsia" w:ascii="宋体" w:hAnsi="宋体" w:cs="宋体"/>
          <w:b/>
          <w:sz w:val="24"/>
          <w:highlight w:val="none"/>
          <w:lang w:eastAsia="zh-CN"/>
        </w:rPr>
        <w:t>、</w:t>
      </w:r>
      <w:r>
        <w:rPr>
          <w:rFonts w:hint="eastAsia" w:ascii="宋体" w:hAnsi="宋体" w:cs="宋体"/>
          <w:b/>
          <w:sz w:val="24"/>
          <w:highlight w:val="none"/>
        </w:rPr>
        <w:t>平衡型、成长型、进取型〗的个人投资者，个人投资者的风险承受能力评估以销售机构为准。</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理财计划管理人有权按照国内外反洗钱相关适用的法律法规和监管要求，从销售机构获得相应必要的投资者身份信息并报送投资者身份信息及其持有理财产品信息。销售机构将在合法、合理且必要时向管理人提供投资者身份识别信息（投资者身份识别信息包括但不限于：投资者的姓名、性别、国籍、职业、住所地或者工作单位地址、常居地地址、联系方式、身份证明文件的种类、号码和有效期限、代理人信息、受益所有人信息），以及在合法、合理且必要时进一步提供身份证明文件的复印件和影印件以及其他必要信息。投资者签署后即表示同意并配合提供前述信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ind w:firstLine="480" w:firstLineChars="200"/>
        <w:jc w:val="right"/>
        <w:rPr>
          <w:rFonts w:hint="eastAsia" w:ascii="宋体" w:hAnsi="宋体" w:cs="宋体"/>
          <w:b/>
          <w:color w:val="auto"/>
          <w:highlight w:val="none"/>
        </w:rPr>
      </w:pPr>
      <w:r>
        <w:rPr>
          <w:rFonts w:hint="eastAsia" w:ascii="宋体" w:hAnsi="宋体" w:cs="宋体"/>
          <w:bCs/>
          <w:sz w:val="24"/>
          <w:highlight w:val="none"/>
        </w:rPr>
        <w:t>风险提示方：杭银理财有限责任公司</w:t>
      </w:r>
    </w:p>
    <w:p>
      <w:pPr>
        <w:pStyle w:val="17"/>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br w:type="page"/>
      </w:r>
      <w:r>
        <w:rPr>
          <w:rFonts w:hint="eastAsia" w:ascii="宋体" w:hAnsi="宋体" w:cs="宋体"/>
          <w:b/>
          <w:color w:val="auto"/>
          <w:highlight w:val="none"/>
        </w:rPr>
        <w:t>投资者确认栏（个人投资者填写）</w:t>
      </w:r>
    </w:p>
    <w:p>
      <w:pPr>
        <w:pStyle w:val="17"/>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7"/>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0" w:firstLineChars="0"/>
        <w:jc w:val="both"/>
        <w:rPr>
          <w:rFonts w:hint="eastAsia" w:ascii="宋体" w:hAnsi="宋体" w:eastAsia="宋体" w:cs="宋体"/>
          <w:b/>
          <w:bCs/>
          <w:color w:val="auto"/>
          <w:highlight w:val="none"/>
          <w:u w:val="none"/>
        </w:rPr>
      </w:pPr>
    </w:p>
    <w:p>
      <w:pPr>
        <w:pStyle w:val="17"/>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br w:type="page"/>
      </w:r>
      <w:r>
        <w:rPr>
          <w:rFonts w:hint="eastAsia" w:ascii="宋体" w:hAnsi="宋体" w:eastAsia="宋体" w:cs="宋体"/>
          <w:b/>
          <w:bCs/>
          <w:color w:val="auto"/>
          <w:highlight w:val="none"/>
          <w:u w:val="none"/>
        </w:rPr>
        <w:t>投资者确认栏（机构投资者）</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7"/>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val="en-US" w:eastAsia="zh-CN"/>
        </w:rPr>
        <w:t>添益(安享优选)28天持有期理财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〖Z7002224000013〗</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杭银理财有限责任公司简称杭银理财，官网网站为https://www.hzbankwealth.com.cn</w:t>
      </w:r>
      <w:r>
        <w:rPr>
          <w:rFonts w:hint="eastAsia" w:ascii="宋体" w:hAnsi="宋体" w:cs="宋体"/>
          <w:bCs/>
          <w:color w:val="auto"/>
          <w:kern w:val="2"/>
          <w:highlight w:val="none"/>
          <w:u w:val="none"/>
          <w:lang w:eastAsia="zh-CN"/>
        </w:rPr>
        <w:t>，</w:t>
      </w:r>
      <w:r>
        <w:rPr>
          <w:rFonts w:hint="eastAsia" w:ascii="宋体" w:hAnsi="宋体" w:cs="宋体"/>
          <w:bCs/>
          <w:color w:val="auto"/>
          <w:kern w:val="2"/>
          <w:highlight w:val="none"/>
          <w:u w:val="none"/>
          <w:lang w:val="en-US" w:eastAsia="zh-CN"/>
        </w:rPr>
        <w:t>客服电话400-8950-999</w:t>
      </w:r>
      <w:r>
        <w:rPr>
          <w:rFonts w:hint="eastAsia" w:ascii="宋体" w:hAnsi="宋体" w:cs="宋体"/>
          <w:bCs/>
          <w:color w:val="auto"/>
          <w:kern w:val="2"/>
          <w:highlight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val="en-US"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添益(安享优选)28天持有期理财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添益(安享优选)28天持有期理财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添益(安享优选)28天持有期理财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添益(安享优选)28天持有期理财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99添益(安享优选)28天持有期理财合同不可分割组成部分的理财计划销售协议书，以及对该文件的有效修改与补充。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《理财计划销售协议书》五</w:t>
      </w:r>
      <w:r>
        <w:rPr>
          <w:rFonts w:hint="eastAsia" w:ascii="宋体" w:hAnsi="宋体" w:cs="宋体"/>
          <w:bCs/>
          <w:color w:val="auto"/>
          <w:kern w:val="2"/>
          <w:highlight w:val="none"/>
        </w:rPr>
        <w:t>个部分。</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添益(安享优选)28天持有期理财</w:t>
      </w:r>
      <w:r>
        <w:rPr>
          <w:rFonts w:hint="eastAsia" w:ascii="宋体" w:hAnsi="宋体" w:cs="宋体"/>
          <w:bCs/>
          <w:highlight w:val="none"/>
        </w:rPr>
        <w:t>。</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7"/>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7"/>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持有期：</w:t>
      </w:r>
      <w:r>
        <w:rPr>
          <w:rFonts w:hint="eastAsia" w:ascii="宋体" w:hAnsi="宋体" w:cs="宋体"/>
          <w:bCs/>
          <w:color w:val="auto"/>
          <w:kern w:val="2"/>
          <w:highlight w:val="none"/>
        </w:rPr>
        <w:t>指投资者认购</w:t>
      </w:r>
      <w:r>
        <w:rPr>
          <w:rFonts w:hint="eastAsia" w:ascii="宋体" w:hAnsi="宋体" w:cs="宋体"/>
          <w:bCs/>
          <w:color w:val="auto"/>
          <w:kern w:val="2"/>
          <w:highlight w:val="none"/>
          <w:lang w:val="en-US" w:eastAsia="zh-CN"/>
        </w:rPr>
        <w:t>或</w:t>
      </w:r>
      <w:r>
        <w:rPr>
          <w:rFonts w:hint="eastAsia" w:ascii="宋体" w:hAnsi="宋体" w:cs="宋体"/>
          <w:bCs/>
          <w:color w:val="auto"/>
          <w:kern w:val="2"/>
          <w:highlight w:val="none"/>
        </w:rPr>
        <w:t>申购份额后，需持有固定期限后才可进行赎回。</w:t>
      </w:r>
    </w:p>
    <w:p>
      <w:pPr>
        <w:pStyle w:val="17"/>
        <w:numPr>
          <w:ilvl w:val="0"/>
          <w:numId w:val="15"/>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指管理人向投资者提供申购、赎回交易的时间。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指管理人确认投资者申购、赎回交易是否有效的日期。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7"/>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7"/>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7"/>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7"/>
        <w:numPr>
          <w:ilvl w:val="0"/>
          <w:numId w:val="0"/>
        </w:numPr>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R3</w:t>
            </w:r>
          </w:p>
        </w:tc>
        <w:tc>
          <w:tcPr>
            <w:tcW w:w="1382" w:type="dxa"/>
            <w:noWrap w:val="0"/>
            <w:vAlign w:val="top"/>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中</w:t>
            </w:r>
          </w:p>
        </w:tc>
        <w:tc>
          <w:tcPr>
            <w:tcW w:w="4755" w:type="dxa"/>
            <w:noWrap w:val="0"/>
            <w:vAlign w:val="top"/>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平衡型</w:t>
            </w:r>
            <w:r>
              <w:rPr>
                <w:rFonts w:hint="eastAsia" w:ascii="宋体" w:hAnsi="宋体" w:cs="宋体"/>
                <w:b w:val="0"/>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7"/>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投资者风险承受能力评级水平以销售机构评估为准。</w:t>
      </w:r>
    </w:p>
    <w:p>
      <w:pPr>
        <w:pStyle w:val="17"/>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sz w:val="21"/>
                <w:szCs w:val="21"/>
                <w:highlight w:val="none"/>
              </w:rPr>
              <w:t>杭银理财幸福99</w:t>
            </w:r>
            <w:r>
              <w:rPr>
                <w:rFonts w:hint="eastAsia" w:ascii="宋体" w:hAnsi="宋体" w:cs="宋体"/>
                <w:sz w:val="21"/>
                <w:szCs w:val="21"/>
                <w:highlight w:val="none"/>
                <w:lang w:eastAsia="zh-CN"/>
              </w:rPr>
              <w:t>添益(安享优选)28天持有期理财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添益(安享优选)28天持有期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TYGC28D2401</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本理财计划在全国银行业理财信息登记系统的登记编码是〖Z7002224000013〗，投资者可依据该编码在“中国理财网（www.chinawealth.com.cn）”查询本理财计划信息。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 w:val="0"/>
                <w:color w:val="000000"/>
                <w:sz w:val="21"/>
                <w:szCs w:val="21"/>
                <w:highlight w:val="none"/>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color w:val="000000"/>
                <w:sz w:val="21"/>
                <w:szCs w:val="21"/>
                <w:highlight w:val="none"/>
                <w:lang w:val="en-US" w:eastAsia="zh-CN"/>
              </w:rPr>
              <w:t>稳健型、</w:t>
            </w:r>
            <w:r>
              <w:rPr>
                <w:rFonts w:hint="eastAsia" w:ascii="宋体" w:hAnsi="宋体" w:cs="宋体"/>
                <w:b/>
                <w:color w:val="000000"/>
                <w:sz w:val="21"/>
                <w:szCs w:val="21"/>
                <w:highlight w:val="none"/>
              </w:rPr>
              <w:t>平衡型、成长型、进取型〗的个人投资者。</w:t>
            </w:r>
            <w:r>
              <w:rPr>
                <w:rFonts w:hint="eastAsia" w:ascii="宋体" w:hAnsi="宋体" w:cs="宋体"/>
                <w:bCs w:val="0"/>
                <w:color w:val="000000"/>
                <w:sz w:val="21"/>
                <w:szCs w:val="21"/>
                <w:highlight w:val="none"/>
              </w:rPr>
              <w:t>投资者风险承受能力评级水平以销售机构评估为准。</w:t>
            </w:r>
          </w:p>
          <w:p>
            <w:pPr>
              <w:widowControl/>
              <w:spacing w:line="360" w:lineRule="auto"/>
              <w:contextualSpacing/>
              <w:rPr>
                <w:rFonts w:hint="eastAsia" w:ascii="宋体" w:hAnsi="宋体" w:cs="宋体"/>
                <w:b w:val="0"/>
                <w:bCs/>
                <w:color w:val="000000"/>
                <w:sz w:val="21"/>
                <w:szCs w:val="21"/>
                <w:highlight w:val="none"/>
                <w:lang w:eastAsia="zh-CN"/>
              </w:rPr>
            </w:pPr>
            <w:r>
              <w:rPr>
                <w:rFonts w:hint="eastAsia" w:ascii="宋体" w:hAnsi="宋体" w:cs="宋体"/>
                <w:b w:val="0"/>
                <w:bCs/>
                <w:color w:val="000000"/>
                <w:sz w:val="21"/>
                <w:szCs w:val="21"/>
                <w:highlight w:val="none"/>
                <w:lang w:eastAsia="zh-CN"/>
              </w:rPr>
              <w:t>其中：</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B份额（销售代码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TYGC28D2401B</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rPr>
              <w:t>普通个人投资者和机构客户</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r>
              <w:rPr>
                <w:rFonts w:hint="eastAsia" w:ascii="宋体" w:hAnsi="宋体" w:cs="宋体"/>
                <w:b w:val="0"/>
                <w:bCs/>
                <w:color w:val="000000"/>
                <w:sz w:val="21"/>
                <w:szCs w:val="21"/>
                <w:highlight w:val="none"/>
                <w:lang w:val="en-US" w:eastAsia="zh-CN"/>
              </w:rPr>
              <w:t>。</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C份额（销售代码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TYGC28D2401C</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rPr>
              <w:t>普通个人投资者和机构客户</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r>
              <w:rPr>
                <w:rFonts w:hint="eastAsia" w:ascii="宋体" w:hAnsi="宋体" w:cs="宋体"/>
                <w:b w:val="0"/>
                <w:bCs/>
                <w:color w:val="000000"/>
                <w:sz w:val="21"/>
                <w:szCs w:val="21"/>
                <w:highlight w:val="none"/>
                <w:lang w:val="en-US" w:eastAsia="zh-CN"/>
              </w:rPr>
              <w:t>。</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D份额（销售代码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TYGC28D2401D</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rPr>
              <w:t>普通个人投资者和机构客户</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r>
              <w:rPr>
                <w:rFonts w:hint="eastAsia" w:ascii="宋体" w:hAnsi="宋体" w:cs="宋体"/>
                <w:b w:val="0"/>
                <w:bCs/>
                <w:color w:val="000000"/>
                <w:sz w:val="21"/>
                <w:szCs w:val="21"/>
                <w:highlight w:val="none"/>
                <w:lang w:val="en-US" w:eastAsia="zh-CN"/>
              </w:rPr>
              <w:t>。</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E份额（销售代码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TYGC28D2401E</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rPr>
              <w:t>普通个人投资者和机构客户</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r>
              <w:rPr>
                <w:rFonts w:hint="eastAsia" w:ascii="宋体" w:hAnsi="宋体" w:cs="宋体"/>
                <w:b w:val="0"/>
                <w:bCs/>
                <w:color w:val="000000"/>
                <w:sz w:val="21"/>
                <w:szCs w:val="21"/>
                <w:highlight w:val="none"/>
                <w:lang w:val="en-US" w:eastAsia="zh-CN"/>
              </w:rPr>
              <w:t>。</w:t>
            </w:r>
          </w:p>
          <w:p>
            <w:pPr>
              <w:widowControl/>
              <w:spacing w:line="360" w:lineRule="auto"/>
              <w:contextualSpacing/>
              <w:rPr>
                <w:rFonts w:hint="default"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P份额（芙蓉锦程·优选）（销售代码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TYGC28D2401P</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rPr>
              <w:t>普通个人投资者和机构客户</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r>
              <w:rPr>
                <w:rFonts w:hint="eastAsia" w:ascii="宋体" w:hAnsi="宋体" w:cs="宋体"/>
                <w:b w:val="0"/>
                <w:bCs/>
                <w:color w:val="00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固定收益</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分级产品</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eastAsia="zh-CN"/>
              </w:rPr>
              <w:t>否</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可通过杭银理财直销渠道</w:t>
            </w:r>
            <w:r>
              <w:rPr>
                <w:rFonts w:hint="eastAsia" w:ascii="宋体" w:hAnsi="宋体" w:cs="宋体"/>
                <w:color w:val="000000"/>
                <w:sz w:val="21"/>
                <w:szCs w:val="21"/>
                <w:highlight w:val="none"/>
                <w:lang w:eastAsia="zh-CN"/>
              </w:rPr>
              <w:t>和代理</w:t>
            </w:r>
            <w:r>
              <w:rPr>
                <w:rFonts w:hint="eastAsia" w:ascii="宋体" w:hAnsi="宋体" w:cs="宋体"/>
                <w:color w:val="000000"/>
                <w:sz w:val="21"/>
                <w:szCs w:val="21"/>
                <w:highlight w:val="none"/>
              </w:rPr>
              <w:t>销售机构的〖营业网点、网上银行、手机银行〗等渠道购买</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通过代理销售机构购买的，具体销售渠道以代理销售机构披露为准。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100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2024</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2024</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w:t>
            </w:r>
            <w:r>
              <w:rPr>
                <w:rFonts w:hint="eastAsia" w:ascii="宋体" w:hAnsi="宋体" w:cs="宋体"/>
                <w:color w:val="000000"/>
                <w:sz w:val="21"/>
                <w:szCs w:val="21"/>
                <w:highlight w:val="none"/>
                <w:lang w:eastAsia="zh-CN"/>
              </w:rPr>
              <w:t>15：45</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2024</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封闭期</w:t>
            </w:r>
          </w:p>
        </w:tc>
        <w:tc>
          <w:tcPr>
            <w:tcW w:w="7185" w:type="dxa"/>
            <w:noWrap w:val="0"/>
            <w:vAlign w:val="center"/>
          </w:tcPr>
          <w:p>
            <w:pPr>
              <w:widowControl/>
              <w:spacing w:line="360" w:lineRule="auto"/>
              <w:contextualSpacing/>
              <w:rPr>
                <w:rFonts w:hint="eastAsia" w:ascii="宋体" w:hAnsi="宋体" w:eastAsia="宋体" w:cs="宋体"/>
                <w:sz w:val="21"/>
                <w:szCs w:val="21"/>
                <w:highlight w:val="none"/>
                <w:lang w:eastAsia="zh-CN"/>
              </w:rPr>
            </w:pPr>
            <w:r>
              <w:rPr>
                <w:rFonts w:hint="eastAsia" w:ascii="宋体" w:hAnsi="宋体" w:cs="宋体"/>
                <w:color w:val="000000"/>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bCs/>
                <w:color w:val="FF0000"/>
                <w:sz w:val="21"/>
                <w:szCs w:val="21"/>
                <w:highlight w:val="none"/>
                <w:lang w:val="en-US" w:eastAsia="zh-CN"/>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sz w:val="21"/>
                <w:szCs w:val="21"/>
                <w:highlight w:val="none"/>
              </w:rPr>
              <w:t>〖</w:t>
            </w:r>
            <w:r>
              <w:rPr>
                <w:rFonts w:hint="eastAsia" w:ascii="宋体" w:hAnsi="宋体" w:cs="宋体"/>
                <w:sz w:val="21"/>
                <w:szCs w:val="21"/>
                <w:highlight w:val="none"/>
                <w:lang w:val="en-US" w:eastAsia="zh-CN"/>
              </w:rPr>
              <w:t>D</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sz w:val="21"/>
                <w:szCs w:val="21"/>
                <w:highlight w:val="none"/>
              </w:rPr>
              <w:t>〖</w:t>
            </w:r>
            <w:r>
              <w:rPr>
                <w:rFonts w:hint="eastAsia" w:ascii="宋体" w:hAnsi="宋体" w:cs="宋体"/>
                <w:sz w:val="21"/>
                <w:szCs w:val="21"/>
                <w:highlight w:val="none"/>
                <w:lang w:val="en-US" w:eastAsia="zh-CN"/>
              </w:rPr>
              <w:t>E</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sz w:val="21"/>
                <w:szCs w:val="21"/>
                <w:highlight w:val="none"/>
              </w:rPr>
              <w:t>〖</w:t>
            </w:r>
            <w:r>
              <w:rPr>
                <w:rFonts w:hint="eastAsia" w:ascii="宋体" w:hAnsi="宋体" w:cs="宋体"/>
                <w:sz w:val="21"/>
                <w:szCs w:val="21"/>
                <w:highlight w:val="none"/>
                <w:lang w:val="en-US" w:eastAsia="zh-CN"/>
              </w:rPr>
              <w:t>P</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2000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万元，则管理人可宣布本理财计划不成立并在原定理财计划成立日后</w:t>
            </w:r>
            <w:r>
              <w:rPr>
                <w:rFonts w:hint="eastAsia" w:ascii="宋体" w:hAnsi="宋体" w:cs="宋体"/>
                <w:sz w:val="21"/>
                <w:szCs w:val="21"/>
                <w:highlight w:val="none"/>
              </w:rPr>
              <w:t>〖</w:t>
            </w:r>
            <w:r>
              <w:rPr>
                <w:rFonts w:hint="eastAsia" w:ascii="宋体" w:hAnsi="宋体" w:cs="宋体"/>
                <w:color w:val="000000"/>
                <w:sz w:val="21"/>
                <w:szCs w:val="21"/>
                <w:highlight w:val="none"/>
              </w:rPr>
              <w:t>2</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理财计划</w:t>
            </w:r>
            <w:r>
              <w:rPr>
                <w:rFonts w:hint="eastAsia" w:ascii="宋体" w:hAnsi="宋体" w:cs="宋体"/>
                <w:color w:val="000000"/>
                <w:sz w:val="21"/>
                <w:szCs w:val="21"/>
                <w:highlight w:val="none"/>
                <w:lang w:val="en-US" w:eastAsia="zh-CN"/>
              </w:rPr>
              <w:t>的</w:t>
            </w:r>
            <w:r>
              <w:rPr>
                <w:rFonts w:hint="eastAsia" w:ascii="宋体" w:hAnsi="宋体" w:cs="宋体"/>
                <w:color w:val="000000"/>
                <w:sz w:val="21"/>
                <w:szCs w:val="21"/>
                <w:highlight w:val="none"/>
              </w:rPr>
              <w:t>开放期为〖封闭期后的每个交易日〗。如遇特殊情况，则以管理人公告为准。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持有期</w:t>
            </w:r>
          </w:p>
        </w:tc>
        <w:tc>
          <w:tcPr>
            <w:tcW w:w="7185" w:type="dxa"/>
            <w:noWrap w:val="0"/>
            <w:vAlign w:val="center"/>
          </w:tcPr>
          <w:p>
            <w:pPr>
              <w:widowControl/>
              <w:spacing w:line="360" w:lineRule="auto"/>
              <w:contextualSpacing/>
              <w:jc w:val="left"/>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rPr>
              <w:t>本理财计划的持有期为</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28</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，投资者认购/申购份额确认成功后，每一笔份额需自产品成立日（含）/确认日（含）起最低持有满</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28</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后方可按规则申请赎回。如投资者多次购买产品，其中持有</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28</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及以上的份额，可申请赎回；持有</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28</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以内的份额，不可申请赎回。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1.本理财计划在每个开放期的工作时间均可进行申购</w:t>
            </w:r>
            <w:r>
              <w:rPr>
                <w:rFonts w:hint="eastAsia" w:ascii="宋体" w:hAnsi="宋体" w:cs="宋体"/>
                <w:color w:val="000000"/>
                <w:sz w:val="21"/>
                <w:szCs w:val="21"/>
                <w:highlight w:val="none"/>
                <w:lang w:val="en-US" w:eastAsia="zh-CN"/>
              </w:rPr>
              <w:t>和撤单</w:t>
            </w:r>
            <w:r>
              <w:rPr>
                <w:rFonts w:hint="eastAsia" w:ascii="宋体" w:hAnsi="宋体" w:cs="宋体"/>
                <w:color w:val="000000"/>
                <w:sz w:val="21"/>
                <w:szCs w:val="21"/>
                <w:highlight w:val="none"/>
              </w:rPr>
              <w:t>，申购申请将在申购确认日，即</w:t>
            </w:r>
            <w:r>
              <w:rPr>
                <w:rFonts w:hint="eastAsia" w:ascii="宋体" w:hAnsi="宋体" w:cs="宋体"/>
                <w:color w:val="000000"/>
                <w:sz w:val="21"/>
                <w:szCs w:val="21"/>
                <w:highlight w:val="none"/>
                <w:lang w:val="en-US" w:eastAsia="zh-CN"/>
              </w:rPr>
              <w:t>申购申请日后</w:t>
            </w:r>
            <w:r>
              <w:rPr>
                <w:rFonts w:hint="eastAsia" w:ascii="宋体" w:hAnsi="宋体" w:cs="宋体"/>
                <w:color w:val="000000"/>
                <w:sz w:val="21"/>
                <w:szCs w:val="21"/>
                <w:highlight w:val="none"/>
              </w:rPr>
              <w:t>的第</w:t>
            </w:r>
            <w:r>
              <w:rPr>
                <w:rFonts w:hint="eastAsia" w:ascii="宋体" w:hAnsi="宋体" w:cs="宋体"/>
                <w:sz w:val="21"/>
                <w:szCs w:val="21"/>
                <w:highlight w:val="none"/>
              </w:rPr>
              <w:t>〖1〗个</w:t>
            </w:r>
            <w:r>
              <w:rPr>
                <w:rFonts w:hint="eastAsia" w:ascii="宋体" w:hAnsi="宋体" w:cs="宋体"/>
                <w:sz w:val="21"/>
                <w:szCs w:val="21"/>
                <w:highlight w:val="none"/>
                <w:lang w:val="en-US" w:eastAsia="zh-CN"/>
              </w:rPr>
              <w:t>交易</w:t>
            </w:r>
            <w:r>
              <w:rPr>
                <w:rFonts w:hint="eastAsia" w:ascii="宋体" w:hAnsi="宋体" w:cs="宋体"/>
                <w:bCs/>
                <w:sz w:val="21"/>
                <w:szCs w:val="21"/>
                <w:highlight w:val="none"/>
              </w:rPr>
              <w:t>日进行确认。</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2.满足最低持有期后</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本理财计划在每个开放期的工作时间均可进行赎回</w:t>
            </w:r>
            <w:r>
              <w:rPr>
                <w:rFonts w:hint="eastAsia" w:ascii="宋体" w:hAnsi="宋体" w:cs="宋体"/>
                <w:color w:val="000000"/>
                <w:sz w:val="21"/>
                <w:szCs w:val="21"/>
                <w:highlight w:val="none"/>
                <w:lang w:val="en-US" w:eastAsia="zh-CN"/>
              </w:rPr>
              <w:t>和撤单</w:t>
            </w:r>
            <w:r>
              <w:rPr>
                <w:rFonts w:hint="eastAsia" w:ascii="宋体" w:hAnsi="宋体" w:cs="宋体"/>
                <w:color w:val="000000"/>
                <w:sz w:val="21"/>
                <w:szCs w:val="21"/>
                <w:highlight w:val="none"/>
              </w:rPr>
              <w:t>，赎回申请将在赎回确认日，即</w:t>
            </w:r>
            <w:r>
              <w:rPr>
                <w:rFonts w:hint="eastAsia" w:ascii="宋体" w:hAnsi="宋体" w:cs="宋体"/>
                <w:color w:val="000000"/>
                <w:sz w:val="21"/>
                <w:szCs w:val="21"/>
                <w:highlight w:val="none"/>
                <w:lang w:val="en-US" w:eastAsia="zh-CN"/>
              </w:rPr>
              <w:t>赎回申请日</w:t>
            </w:r>
            <w:r>
              <w:rPr>
                <w:rFonts w:hint="eastAsia" w:ascii="宋体" w:hAnsi="宋体" w:cs="宋体"/>
                <w:color w:val="000000"/>
                <w:sz w:val="21"/>
                <w:szCs w:val="21"/>
                <w:highlight w:val="none"/>
              </w:rPr>
              <w:t>后的第</w:t>
            </w:r>
            <w:r>
              <w:rPr>
                <w:rFonts w:hint="eastAsia" w:ascii="宋体" w:hAnsi="宋体" w:cs="宋体"/>
                <w:sz w:val="21"/>
                <w:szCs w:val="21"/>
                <w:highlight w:val="none"/>
              </w:rPr>
              <w:t>〖1〗个</w:t>
            </w:r>
            <w:r>
              <w:rPr>
                <w:rFonts w:hint="eastAsia" w:ascii="宋体" w:hAnsi="宋体" w:cs="宋体"/>
                <w:sz w:val="21"/>
                <w:szCs w:val="21"/>
                <w:highlight w:val="none"/>
                <w:lang w:val="en-US" w:eastAsia="zh-CN"/>
              </w:rPr>
              <w:t>交易</w:t>
            </w:r>
            <w:r>
              <w:rPr>
                <w:rFonts w:hint="eastAsia" w:ascii="宋体" w:hAnsi="宋体" w:cs="宋体"/>
                <w:bCs/>
                <w:sz w:val="21"/>
                <w:szCs w:val="21"/>
                <w:highlight w:val="none"/>
              </w:rPr>
              <w:t>日进行确认。</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kern w:val="2"/>
                <w:sz w:val="21"/>
                <w:szCs w:val="21"/>
                <w:highlight w:val="none"/>
                <w:lang w:val="en-US" w:eastAsia="zh-CN"/>
              </w:rPr>
              <w:t>3.</w:t>
            </w:r>
            <w:r>
              <w:rPr>
                <w:rFonts w:hint="eastAsia" w:ascii="宋体" w:hAnsi="宋体" w:cs="宋体"/>
                <w:color w:val="auto"/>
                <w:kern w:val="2"/>
                <w:sz w:val="21"/>
                <w:szCs w:val="21"/>
                <w:highlight w:val="none"/>
              </w:rPr>
              <w:t>在交易日的</w:t>
            </w:r>
            <w:r>
              <w:rPr>
                <w:rFonts w:hint="eastAsia" w:ascii="宋体" w:hAnsi="宋体" w:cs="宋体"/>
                <w:color w:val="auto"/>
                <w:kern w:val="2"/>
                <w:sz w:val="21"/>
                <w:szCs w:val="21"/>
                <w:highlight w:val="none"/>
                <w:lang w:eastAsia="zh-CN"/>
              </w:rPr>
              <w:t>1</w:t>
            </w:r>
            <w:r>
              <w:rPr>
                <w:rFonts w:hint="eastAsia" w:ascii="宋体" w:hAnsi="宋体" w:cs="宋体"/>
                <w:color w:val="auto"/>
                <w:kern w:val="2"/>
                <w:sz w:val="21"/>
                <w:szCs w:val="21"/>
                <w:highlight w:val="none"/>
                <w:lang w:val="en-US" w:eastAsia="zh-CN"/>
              </w:rPr>
              <w:t>7</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00</w:t>
            </w:r>
            <w:r>
              <w:rPr>
                <w:rFonts w:hint="eastAsia" w:ascii="宋体" w:hAnsi="宋体" w:cs="宋体"/>
                <w:color w:val="auto"/>
                <w:kern w:val="2"/>
                <w:sz w:val="21"/>
                <w:szCs w:val="21"/>
                <w:highlight w:val="none"/>
              </w:rPr>
              <w:t>之前提交的申购和赎回申请，申请日为提出申请当日；在交易日</w:t>
            </w:r>
            <w:r>
              <w:rPr>
                <w:rFonts w:hint="eastAsia" w:ascii="宋体" w:hAnsi="宋体" w:cs="宋体"/>
                <w:color w:val="auto"/>
                <w:kern w:val="2"/>
                <w:sz w:val="21"/>
                <w:szCs w:val="21"/>
                <w:highlight w:val="none"/>
                <w:lang w:eastAsia="zh-CN"/>
              </w:rPr>
              <w:t>1</w:t>
            </w:r>
            <w:r>
              <w:rPr>
                <w:rFonts w:hint="eastAsia" w:ascii="宋体" w:hAnsi="宋体" w:cs="宋体"/>
                <w:color w:val="auto"/>
                <w:kern w:val="2"/>
                <w:sz w:val="21"/>
                <w:szCs w:val="21"/>
                <w:highlight w:val="none"/>
                <w:lang w:val="en-US" w:eastAsia="zh-CN"/>
              </w:rPr>
              <w:t>7</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00</w:t>
            </w:r>
            <w:r>
              <w:rPr>
                <w:rFonts w:hint="eastAsia" w:ascii="宋体" w:hAnsi="宋体" w:cs="宋体"/>
                <w:color w:val="auto"/>
                <w:kern w:val="2"/>
                <w:sz w:val="21"/>
                <w:szCs w:val="21"/>
                <w:highlight w:val="none"/>
              </w:rPr>
              <w:t>之后及非交易日提交的申购和赎回申请，申请日为提出申请日的下一交易日</w:t>
            </w:r>
            <w:r>
              <w:rPr>
                <w:rFonts w:hint="eastAsia" w:ascii="宋体" w:hAnsi="宋体" w:cs="宋体"/>
                <w:color w:val="auto"/>
                <w:kern w:val="2"/>
                <w:sz w:val="21"/>
                <w:szCs w:val="21"/>
                <w:highlight w:val="none"/>
                <w:lang w:eastAsia="zh-CN"/>
              </w:rPr>
              <w:t>。</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.工作时间为每个</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日上午〖9:00〗至下午〖1</w:t>
            </w: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00</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w:t>
            </w:r>
            <w:r>
              <w:rPr>
                <w:rFonts w:hint="eastAsia" w:ascii="宋体" w:hAnsi="宋体" w:cs="宋体"/>
                <w:color w:val="000000"/>
                <w:kern w:val="0"/>
                <w:sz w:val="21"/>
                <w:szCs w:val="21"/>
                <w:highlight w:val="none"/>
                <w:lang w:val="en-US" w:eastAsia="zh-CN"/>
              </w:rPr>
              <w:t>销售要素</w:t>
            </w:r>
            <w:r>
              <w:rPr>
                <w:rFonts w:hint="eastAsia" w:ascii="宋体" w:hAnsi="宋体" w:cs="宋体"/>
                <w:color w:val="000000"/>
                <w:kern w:val="0"/>
                <w:sz w:val="21"/>
                <w:szCs w:val="21"/>
                <w:highlight w:val="none"/>
              </w:rPr>
              <w:t>为准）</w:t>
            </w:r>
          </w:p>
          <w:p>
            <w:pPr>
              <w:widowControl/>
              <w:spacing w:line="360" w:lineRule="auto"/>
              <w:contextualSpacing/>
              <w:rPr>
                <w:rFonts w:hint="default" w:ascii="宋体" w:hAnsi="宋体" w:eastAsia="宋体" w:cs="宋体"/>
                <w:bCs/>
                <w:color w:val="FF0000"/>
                <w:sz w:val="21"/>
                <w:szCs w:val="21"/>
                <w:highlight w:val="none"/>
                <w:lang w:val="en-US" w:eastAsia="zh-CN"/>
              </w:rPr>
            </w:pPr>
            <w:r>
              <w:rPr>
                <w:rFonts w:hint="eastAsia" w:ascii="宋体" w:hAnsi="宋体" w:cs="宋体"/>
                <w:bCs/>
                <w:color w:val="auto"/>
                <w:sz w:val="21"/>
                <w:szCs w:val="21"/>
                <w:highlight w:val="none"/>
                <w:lang w:val="en-US" w:eastAsia="zh-CN"/>
              </w:rPr>
              <w:t>5.上述交易安排如有调整，请以管理人公告为准。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B份额：</w:t>
            </w:r>
            <w:r>
              <w:rPr>
                <w:rFonts w:hint="eastAsia" w:ascii="宋体" w:hAnsi="宋体" w:cs="宋体"/>
                <w:sz w:val="21"/>
                <w:szCs w:val="21"/>
                <w:highlight w:val="none"/>
              </w:rPr>
              <w:t>单户</w:t>
            </w:r>
            <w:r>
              <w:rPr>
                <w:rFonts w:hint="eastAsia" w:ascii="宋体" w:hAnsi="宋体" w:cs="宋体"/>
                <w:sz w:val="21"/>
                <w:szCs w:val="21"/>
                <w:highlight w:val="none"/>
                <w:lang w:val="en-US" w:eastAsia="zh-CN"/>
              </w:rPr>
              <w:t>持有</w:t>
            </w:r>
            <w:r>
              <w:rPr>
                <w:rFonts w:hint="eastAsia" w:ascii="宋体" w:hAnsi="宋体" w:cs="宋体"/>
                <w:sz w:val="21"/>
                <w:szCs w:val="21"/>
                <w:highlight w:val="none"/>
              </w:rPr>
              <w:t>上限〖</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sz w:val="21"/>
                <w:szCs w:val="21"/>
                <w:highlight w:val="none"/>
                <w:lang w:val="en-US" w:eastAsia="zh-CN"/>
              </w:rPr>
              <w:t>亿</w:t>
            </w:r>
            <w:r>
              <w:rPr>
                <w:rFonts w:hint="eastAsia" w:ascii="宋体" w:hAnsi="宋体" w:cs="宋体"/>
                <w:sz w:val="21"/>
                <w:szCs w:val="21"/>
                <w:highlight w:val="none"/>
              </w:rPr>
              <w:t>元</w:t>
            </w:r>
            <w:r>
              <w:rPr>
                <w:rFonts w:hint="eastAsia" w:ascii="宋体" w:hAnsi="宋体" w:cs="宋体"/>
                <w:sz w:val="21"/>
                <w:szCs w:val="21"/>
                <w:highlight w:val="none"/>
                <w:lang w:eastAsia="zh-CN"/>
              </w:rPr>
              <w:t>。</w:t>
            </w:r>
          </w:p>
          <w:p>
            <w:pPr>
              <w:widowControl/>
              <w:spacing w:line="360" w:lineRule="auto"/>
              <w:contextualSpacing/>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C、D、E、P份额：</w:t>
            </w:r>
            <w:r>
              <w:rPr>
                <w:rFonts w:hint="eastAsia" w:ascii="宋体" w:hAnsi="宋体" w:cs="宋体"/>
                <w:sz w:val="21"/>
                <w:szCs w:val="21"/>
                <w:highlight w:val="none"/>
              </w:rPr>
              <w:t>单户</w:t>
            </w:r>
            <w:r>
              <w:rPr>
                <w:rFonts w:hint="eastAsia" w:ascii="宋体" w:hAnsi="宋体" w:cs="宋体"/>
                <w:sz w:val="21"/>
                <w:szCs w:val="21"/>
                <w:highlight w:val="none"/>
                <w:lang w:val="en-US" w:eastAsia="zh-CN"/>
              </w:rPr>
              <w:t>持有</w:t>
            </w:r>
            <w:r>
              <w:rPr>
                <w:rFonts w:hint="eastAsia" w:ascii="宋体" w:hAnsi="宋体" w:cs="宋体"/>
                <w:sz w:val="21"/>
                <w:szCs w:val="21"/>
                <w:highlight w:val="none"/>
              </w:rPr>
              <w:t>上限〖</w:t>
            </w:r>
            <w:r>
              <w:rPr>
                <w:rFonts w:hint="eastAsia" w:ascii="宋体" w:hAnsi="宋体" w:cs="宋体"/>
                <w:sz w:val="21"/>
                <w:szCs w:val="21"/>
                <w:highlight w:val="none"/>
                <w:lang w:val="en-US" w:eastAsia="zh-CN"/>
              </w:rPr>
              <w:t>5</w:t>
            </w:r>
            <w:r>
              <w:rPr>
                <w:rFonts w:hint="eastAsia" w:ascii="宋体" w:hAnsi="宋体" w:cs="宋体"/>
                <w:sz w:val="21"/>
                <w:szCs w:val="21"/>
                <w:highlight w:val="none"/>
              </w:rPr>
              <w:t>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六</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color w:val="000000"/>
                <w:sz w:val="21"/>
                <w:szCs w:val="21"/>
                <w:highlight w:val="none"/>
                <w:lang w:val="en-US" w:eastAsia="zh-CN"/>
              </w:rPr>
              <w:t>小数点六位以后去尾。</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1.赎回资金确认后，最快</w:t>
            </w:r>
            <w:r>
              <w:rPr>
                <w:rFonts w:hint="eastAsia" w:ascii="宋体" w:hAnsi="宋体" w:cs="宋体"/>
                <w:color w:val="000000"/>
                <w:sz w:val="21"/>
                <w:szCs w:val="21"/>
                <w:highlight w:val="none"/>
                <w:lang w:val="en-US" w:eastAsia="zh-CN"/>
              </w:rPr>
              <w:t>于确认日当</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，最晚</w:t>
            </w:r>
            <w:r>
              <w:rPr>
                <w:rFonts w:hint="eastAsia" w:ascii="宋体" w:hAnsi="宋体" w:cs="宋体"/>
                <w:color w:val="000000"/>
                <w:sz w:val="21"/>
                <w:szCs w:val="21"/>
                <w:highlight w:val="none"/>
                <w:lang w:val="en-US" w:eastAsia="zh-CN"/>
              </w:rPr>
              <w:t>于确认日后</w:t>
            </w:r>
            <w:r>
              <w:rPr>
                <w:rFonts w:hint="eastAsia" w:ascii="宋体" w:hAnsi="宋体" w:cs="宋体"/>
                <w:sz w:val="21"/>
                <w:szCs w:val="21"/>
                <w:highlight w:val="none"/>
              </w:rPr>
              <w:t>〖</w:t>
            </w:r>
            <w:r>
              <w:rPr>
                <w:rFonts w:hint="eastAsia" w:ascii="宋体" w:hAnsi="宋体" w:cs="宋体"/>
                <w:sz w:val="21"/>
                <w:szCs w:val="21"/>
                <w:highlight w:val="none"/>
                <w:lang w:val="en-US" w:eastAsia="zh-CN"/>
              </w:rPr>
              <w:t>2</w:t>
            </w:r>
            <w:r>
              <w:rPr>
                <w:rFonts w:hint="eastAsia" w:ascii="宋体" w:hAnsi="宋体" w:cs="宋体"/>
                <w:sz w:val="21"/>
                <w:szCs w:val="21"/>
                <w:highlight w:val="none"/>
              </w:rPr>
              <w:t>〗</w:t>
            </w:r>
            <w:r>
              <w:rPr>
                <w:rFonts w:hint="eastAsia" w:ascii="宋体" w:hAnsi="宋体" w:cs="宋体"/>
                <w:color w:val="000000"/>
                <w:sz w:val="21"/>
                <w:szCs w:val="21"/>
                <w:highlight w:val="none"/>
              </w:rPr>
              <w:t>个</w:t>
            </w:r>
            <w:r>
              <w:rPr>
                <w:rFonts w:hint="eastAsia" w:ascii="宋体" w:hAnsi="宋体" w:cs="宋体"/>
                <w:color w:val="000000"/>
                <w:sz w:val="21"/>
                <w:szCs w:val="21"/>
                <w:highlight w:val="none"/>
                <w:lang w:eastAsia="zh-CN"/>
              </w:rPr>
              <w:t>交易日</w:t>
            </w:r>
            <w:r>
              <w:rPr>
                <w:rFonts w:hint="eastAsia" w:ascii="宋体" w:hAnsi="宋体" w:cs="宋体"/>
                <w:color w:val="000000"/>
                <w:sz w:val="21"/>
                <w:szCs w:val="21"/>
                <w:highlight w:val="none"/>
              </w:rPr>
              <w:t>内（遇节假日顺延）理财资金与收益一次性支付。如遇资金在途或法定</w:t>
            </w:r>
            <w:r>
              <w:rPr>
                <w:rFonts w:hint="eastAsia" w:ascii="宋体" w:hAnsi="宋体" w:cs="宋体"/>
                <w:color w:val="000000"/>
                <w:sz w:val="21"/>
                <w:szCs w:val="21"/>
                <w:highlight w:val="none"/>
                <w:lang w:val="en-US" w:eastAsia="zh-CN"/>
              </w:rPr>
              <w:t>工作</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color w:val="000000"/>
                <w:sz w:val="21"/>
                <w:szCs w:val="21"/>
                <w:highlight w:val="none"/>
                <w:lang w:val="en-US" w:eastAsia="zh-CN"/>
              </w:rPr>
              <w:t>于到期日后〖1〗个交易</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，最晚</w:t>
            </w:r>
            <w:r>
              <w:rPr>
                <w:rFonts w:hint="eastAsia" w:ascii="宋体" w:hAnsi="宋体" w:cs="宋体"/>
                <w:color w:val="000000"/>
                <w:sz w:val="21"/>
                <w:szCs w:val="21"/>
                <w:highlight w:val="none"/>
                <w:lang w:val="en-US" w:eastAsia="zh-CN"/>
              </w:rPr>
              <w:t>于到期日后</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w:t>
            </w:r>
            <w:r>
              <w:rPr>
                <w:rFonts w:hint="eastAsia" w:ascii="宋体" w:hAnsi="宋体" w:cs="宋体"/>
                <w:color w:val="000000"/>
                <w:sz w:val="21"/>
                <w:szCs w:val="21"/>
                <w:highlight w:val="none"/>
                <w:lang w:eastAsia="zh-CN"/>
              </w:rPr>
              <w:t>交易日</w:t>
            </w:r>
            <w:r>
              <w:rPr>
                <w:rFonts w:hint="eastAsia" w:ascii="宋体" w:hAnsi="宋体" w:cs="宋体"/>
                <w:color w:val="000000"/>
                <w:sz w:val="21"/>
                <w:szCs w:val="21"/>
                <w:highlight w:val="none"/>
              </w:rPr>
              <w:t>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在满足收益分配基准日理财计划份额净值大于1元的情况下，管理人将</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lang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2.15%-3.70%</w:t>
            </w:r>
            <w:r>
              <w:rPr>
                <w:rFonts w:hint="eastAsia" w:ascii="宋体" w:hAnsi="宋体" w:cs="宋体"/>
                <w:sz w:val="21"/>
                <w:szCs w:val="21"/>
                <w:highlight w:val="none"/>
              </w:rPr>
              <w:t>〗（年化）</w:t>
            </w:r>
            <w:r>
              <w:rPr>
                <w:rFonts w:hint="eastAsia" w:ascii="宋体" w:hAnsi="宋体" w:cs="宋体"/>
                <w:sz w:val="21"/>
                <w:szCs w:val="21"/>
                <w:highlight w:val="none"/>
                <w:lang w:eastAsia="zh-CN"/>
              </w:rPr>
              <w:t>。</w:t>
            </w:r>
          </w:p>
          <w:p>
            <w:pPr>
              <w:widowControl/>
              <w:spacing w:line="360" w:lineRule="auto"/>
              <w:contextualSpacing/>
              <w:rPr>
                <w:rFonts w:hint="eastAsia" w:ascii="宋体" w:hAnsi="宋体" w:cs="宋体"/>
                <w:sz w:val="21"/>
                <w:szCs w:val="21"/>
                <w:highlight w:val="none"/>
                <w:lang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2.20%-3.75%</w:t>
            </w:r>
            <w:r>
              <w:rPr>
                <w:rFonts w:hint="eastAsia" w:ascii="宋体" w:hAnsi="宋体" w:cs="宋体"/>
                <w:sz w:val="21"/>
                <w:szCs w:val="21"/>
                <w:highlight w:val="none"/>
              </w:rPr>
              <w:t>〗（年化）</w:t>
            </w:r>
            <w:r>
              <w:rPr>
                <w:rFonts w:hint="eastAsia" w:ascii="宋体" w:hAnsi="宋体" w:cs="宋体"/>
                <w:sz w:val="21"/>
                <w:szCs w:val="21"/>
                <w:highlight w:val="none"/>
                <w:lang w:eastAsia="zh-CN"/>
              </w:rPr>
              <w:t>。</w:t>
            </w:r>
          </w:p>
          <w:p>
            <w:pPr>
              <w:widowControl/>
              <w:spacing w:line="360" w:lineRule="auto"/>
              <w:contextualSpacing/>
              <w:rPr>
                <w:rFonts w:hint="eastAsia" w:ascii="宋体" w:hAnsi="宋体" w:cs="宋体"/>
                <w:sz w:val="21"/>
                <w:szCs w:val="21"/>
                <w:highlight w:val="none"/>
                <w:lang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D份额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2.15%-3.70%</w:t>
            </w:r>
            <w:r>
              <w:rPr>
                <w:rFonts w:hint="eastAsia" w:ascii="宋体" w:hAnsi="宋体" w:cs="宋体"/>
                <w:sz w:val="21"/>
                <w:szCs w:val="21"/>
                <w:highlight w:val="none"/>
              </w:rPr>
              <w:t>〗（年化）</w:t>
            </w:r>
            <w:r>
              <w:rPr>
                <w:rFonts w:hint="eastAsia" w:ascii="宋体" w:hAnsi="宋体" w:cs="宋体"/>
                <w:sz w:val="21"/>
                <w:szCs w:val="21"/>
                <w:highlight w:val="none"/>
                <w:lang w:eastAsia="zh-CN"/>
              </w:rPr>
              <w:t>。</w:t>
            </w:r>
          </w:p>
          <w:p>
            <w:pPr>
              <w:widowControl/>
              <w:spacing w:line="360" w:lineRule="auto"/>
              <w:contextualSpacing/>
              <w:rPr>
                <w:rFonts w:hint="eastAsia" w:ascii="宋体" w:hAnsi="宋体" w:cs="宋体"/>
                <w:sz w:val="21"/>
                <w:szCs w:val="21"/>
                <w:highlight w:val="none"/>
                <w:lang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E份额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2.25%-3.80%</w:t>
            </w:r>
            <w:r>
              <w:rPr>
                <w:rFonts w:hint="eastAsia" w:ascii="宋体" w:hAnsi="宋体" w:cs="宋体"/>
                <w:sz w:val="21"/>
                <w:szCs w:val="21"/>
                <w:highlight w:val="none"/>
              </w:rPr>
              <w:t>〗（年化）</w:t>
            </w:r>
            <w:r>
              <w:rPr>
                <w:rFonts w:hint="eastAsia" w:ascii="宋体" w:hAnsi="宋体" w:cs="宋体"/>
                <w:sz w:val="21"/>
                <w:szCs w:val="21"/>
                <w:highlight w:val="none"/>
                <w:lang w:eastAsia="zh-CN"/>
              </w:rPr>
              <w:t>。</w:t>
            </w:r>
          </w:p>
          <w:p>
            <w:pPr>
              <w:widowControl/>
              <w:spacing w:line="360" w:lineRule="auto"/>
              <w:contextualSpacing/>
              <w:rPr>
                <w:rFonts w:hint="eastAsia" w:ascii="宋体" w:hAnsi="宋体" w:cs="宋体"/>
                <w:sz w:val="21"/>
                <w:szCs w:val="21"/>
                <w:highlight w:val="none"/>
                <w:lang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P份额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2.15%-3.70%</w:t>
            </w:r>
            <w:r>
              <w:rPr>
                <w:rFonts w:hint="eastAsia" w:ascii="宋体" w:hAnsi="宋体" w:cs="宋体"/>
                <w:sz w:val="21"/>
                <w:szCs w:val="21"/>
                <w:highlight w:val="none"/>
              </w:rPr>
              <w:t>〗（年化）</w:t>
            </w:r>
            <w:r>
              <w:rPr>
                <w:rFonts w:hint="eastAsia" w:ascii="宋体" w:hAnsi="宋体" w:cs="宋体"/>
                <w:sz w:val="21"/>
                <w:szCs w:val="21"/>
                <w:highlight w:val="none"/>
                <w:lang w:eastAsia="zh-CN"/>
              </w:rPr>
              <w:t>。</w:t>
            </w:r>
          </w:p>
          <w:p>
            <w:pPr>
              <w:widowControl/>
              <w:spacing w:line="360" w:lineRule="auto"/>
              <w:jc w:val="left"/>
              <w:rPr>
                <w:rFonts w:hint="eastAsia" w:ascii="宋体" w:hAnsi="宋体" w:cs="宋体"/>
                <w:b/>
                <w:bCs/>
                <w:sz w:val="21"/>
                <w:szCs w:val="21"/>
                <w:highlight w:val="none"/>
              </w:rPr>
            </w:pPr>
            <w:r>
              <w:rPr>
                <w:rFonts w:hint="eastAsia" w:ascii="宋体" w:hAnsi="宋体" w:cs="宋体"/>
                <w:b/>
                <w:bCs/>
                <w:sz w:val="21"/>
                <w:szCs w:val="21"/>
                <w:highlight w:val="none"/>
              </w:rPr>
              <w:t>业绩基准测算依据：本理财计划</w:t>
            </w:r>
            <w:r>
              <w:rPr>
                <w:rFonts w:hint="eastAsia" w:ascii="宋体" w:hAnsi="宋体" w:cs="宋体"/>
                <w:b/>
                <w:bCs/>
                <w:sz w:val="21"/>
                <w:szCs w:val="21"/>
                <w:highlight w:val="none"/>
                <w:lang w:val="en-US" w:eastAsia="zh-CN"/>
              </w:rPr>
              <w:t>重点</w:t>
            </w:r>
            <w:r>
              <w:rPr>
                <w:rFonts w:hint="eastAsia" w:ascii="宋体" w:hAnsi="宋体" w:cs="宋体"/>
                <w:b/>
                <w:bCs/>
                <w:sz w:val="21"/>
                <w:szCs w:val="21"/>
                <w:highlight w:val="none"/>
              </w:rPr>
              <w:t>投资于</w:t>
            </w:r>
            <w:r>
              <w:rPr>
                <w:rFonts w:hint="eastAsia" w:ascii="宋体" w:hAnsi="宋体" w:cs="宋体"/>
                <w:b/>
                <w:bCs/>
                <w:sz w:val="21"/>
                <w:szCs w:val="21"/>
                <w:highlight w:val="none"/>
                <w:lang w:val="en-US" w:eastAsia="zh-CN"/>
              </w:rPr>
              <w:t>同业存单、存款、信用债等资产，根据当前市场环境，拟投资产收益率在2.1%-3.8%左右，同时根据流动性管理需要和监管要求配置不低于5%的高流动性资产。综合来看，扣除相关税费成本后，B、D、P份额业绩比较基准的中枢预计在2.4%左右，C份额业绩比较基准的中枢预计在2.45%左右、E份额业绩比较基准的中枢预计在2.5%左右</w:t>
            </w:r>
            <w:r>
              <w:rPr>
                <w:rFonts w:hint="eastAsia" w:ascii="宋体" w:hAnsi="宋体" w:cs="宋体"/>
                <w:b/>
                <w:bCs/>
                <w:sz w:val="21"/>
                <w:szCs w:val="21"/>
                <w:highlight w:val="none"/>
              </w:rPr>
              <w:t>。</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2</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本理财计划为净值型理财产品，其业绩表现将随市场波动具有不确定性。本公司提醒投资者关注，业绩比较基准</w:t>
            </w:r>
            <w:r>
              <w:rPr>
                <w:rFonts w:hint="eastAsia" w:ascii="宋体" w:hAnsi="宋体" w:cs="宋体"/>
                <w:b/>
                <w:sz w:val="21"/>
                <w:szCs w:val="21"/>
                <w:highlight w:val="none"/>
                <w:lang w:val="en-US" w:eastAsia="zh-CN"/>
              </w:rPr>
              <w:t>不是预期收益率，并</w:t>
            </w:r>
            <w:r>
              <w:rPr>
                <w:rFonts w:hint="eastAsia" w:ascii="宋体" w:hAnsi="宋体" w:cs="宋体"/>
                <w:b/>
                <w:sz w:val="21"/>
                <w:szCs w:val="21"/>
                <w:highlight w:val="none"/>
              </w:rPr>
              <w:t>不代表理财计划的未来表现和实际收益，也不构成对理财计划收益的承诺。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0.15%</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D</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E</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0.10%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P</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3.固定管理费：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0.10%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D</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E</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P</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bCs/>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000000"/>
                <w:sz w:val="21"/>
                <w:szCs w:val="21"/>
                <w:highlight w:val="none"/>
              </w:rPr>
              <w:t>7.浮动管理费。本理财计划免除</w:t>
            </w:r>
            <w:r>
              <w:rPr>
                <w:rFonts w:hint="eastAsia" w:ascii="宋体" w:hAnsi="宋体" w:cs="宋体"/>
                <w:color w:val="000000"/>
                <w:sz w:val="21"/>
                <w:szCs w:val="21"/>
                <w:highlight w:val="none"/>
                <w:lang w:val="en-US" w:eastAsia="zh-CN"/>
              </w:rPr>
              <w:t>浮动管理</w:t>
            </w:r>
            <w:r>
              <w:rPr>
                <w:rFonts w:hint="eastAsia" w:ascii="宋体" w:hAnsi="宋体" w:cs="宋体"/>
                <w:color w:val="000000"/>
                <w:sz w:val="21"/>
                <w:szCs w:val="21"/>
                <w:highlight w:val="none"/>
              </w:rPr>
              <w:t>费</w:t>
            </w:r>
            <w:r>
              <w:rPr>
                <w:rFonts w:hint="eastAsia" w:ascii="宋体" w:hAnsi="宋体" w:cs="宋体"/>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w:t>
            </w:r>
            <w:r>
              <w:rPr>
                <w:rFonts w:hint="eastAsia" w:ascii="宋体" w:hAnsi="宋体" w:cs="宋体"/>
                <w:b/>
                <w:color w:val="00000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认购期内按照活期存款利率计息，认购期内的利息不计入认购本金份额。到期日（或理财计划实际终止日）到理财资金返还到账日为清算期，清算期内不计付利息。</w:t>
            </w:r>
            <w:r>
              <w:rPr>
                <w:rFonts w:hint="eastAsia" w:ascii="宋体" w:hAnsi="宋体" w:cs="宋体"/>
                <w:color w:val="000000"/>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9"/>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固定收益类资产：包括但不限于各类债券、存款、货币市场金融工具、债券基金、质押式及买断式回购，其他符合监管要求的固定收益类资产及资产管理产品。</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权益类资产：包括国内发行上市优先股</w:t>
      </w:r>
      <w:r>
        <w:rPr>
          <w:rFonts w:hint="eastAsia" w:ascii="宋体" w:hAnsi="宋体" w:cs="宋体"/>
          <w:bCs/>
          <w:sz w:val="24"/>
          <w:highlight w:val="none"/>
          <w:lang w:eastAsia="zh-CN"/>
        </w:rPr>
        <w:t>及相关资产的资产管理产品。</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lang w:val="en-US" w:eastAsia="zh-CN"/>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hint="eastAsia" w:ascii="宋体" w:hAnsi="宋体" w:cs="宋体"/>
                <w:bCs/>
                <w:szCs w:val="21"/>
                <w:highlight w:val="none"/>
              </w:rPr>
            </w:pPr>
            <w:r>
              <w:rPr>
                <w:rFonts w:hint="eastAsia" w:ascii="宋体" w:hAnsi="宋体" w:cs="宋体"/>
                <w:bCs/>
                <w:szCs w:val="21"/>
                <w:highlight w:val="none"/>
                <w:lang w:val="en-US" w:eastAsia="zh-CN"/>
              </w:rPr>
              <w:t>其他符合监管要求</w:t>
            </w:r>
            <w:r>
              <w:rPr>
                <w:rFonts w:hint="eastAsia" w:ascii="宋体" w:hAnsi="宋体" w:cs="宋体"/>
                <w:bCs/>
                <w:szCs w:val="21"/>
                <w:highlight w:val="none"/>
              </w:rPr>
              <w:t>资产</w:t>
            </w:r>
          </w:p>
        </w:tc>
        <w:tc>
          <w:tcPr>
            <w:tcW w:w="1996" w:type="dxa"/>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lang w:val="en-US" w:eastAsia="zh-CN"/>
              </w:rPr>
              <w:t>0-20%</w:t>
            </w:r>
          </w:p>
        </w:tc>
      </w:tr>
    </w:tbl>
    <w:p>
      <w:pPr>
        <w:pStyle w:val="1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bCs/>
          <w:color w:val="auto"/>
          <w:kern w:val="2"/>
          <w:highlight w:val="none"/>
        </w:rPr>
      </w:pPr>
      <w:r>
        <w:rPr>
          <w:rFonts w:hint="eastAsia" w:ascii="宋体" w:hAnsi="宋体" w:cs="宋体"/>
          <w:bCs/>
          <w:color w:val="auto"/>
          <w:kern w:val="2"/>
          <w:highlight w:val="none"/>
        </w:rPr>
        <w:t>本理财计划自成立日起</w:t>
      </w:r>
      <w:r>
        <w:rPr>
          <w:rFonts w:hint="eastAsia" w:ascii="宋体" w:hAnsi="宋体" w:cs="宋体"/>
          <w:highlight w:val="none"/>
        </w:rPr>
        <w:t>〖</w:t>
      </w:r>
      <w:r>
        <w:rPr>
          <w:rFonts w:hint="eastAsia" w:ascii="宋体" w:hAnsi="宋体" w:cs="宋体"/>
          <w:highlight w:val="none"/>
          <w:lang w:val="en-US" w:eastAsia="zh-CN"/>
        </w:rPr>
        <w:t>1</w:t>
      </w:r>
      <w:r>
        <w:rPr>
          <w:rFonts w:hint="eastAsia" w:ascii="宋体" w:hAnsi="宋体" w:cs="宋体"/>
          <w:highlight w:val="none"/>
        </w:rPr>
        <w:t>〗</w:t>
      </w:r>
      <w:r>
        <w:rPr>
          <w:rFonts w:hint="eastAsia" w:ascii="宋体" w:hAnsi="宋体" w:cs="宋体"/>
          <w:bCs/>
          <w:color w:val="auto"/>
          <w:kern w:val="2"/>
          <w:highlight w:val="none"/>
        </w:rPr>
        <w:t>个月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7"/>
        <w:numPr>
          <w:ilvl w:val="0"/>
          <w:numId w:val="22"/>
        </w:numPr>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大类</w:t>
      </w:r>
      <w:r>
        <w:rPr>
          <w:rFonts w:hint="eastAsia" w:ascii="宋体" w:hAnsi="宋体" w:cs="宋体"/>
          <w:bCs/>
          <w:color w:val="auto"/>
          <w:kern w:val="2"/>
          <w:highlight w:val="none"/>
        </w:rPr>
        <w:t>资产配置策略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管理人通过对宏观经济运行状况、国家政策、货币政策、产业政策、市场资金环境及证券市场环境的分析来判断经济周期的阶段和位置，通过定量和定性相结合的方式进行</w:t>
      </w:r>
      <w:r>
        <w:rPr>
          <w:rFonts w:hint="eastAsia" w:ascii="宋体" w:hAnsi="宋体" w:cs="宋体"/>
          <w:bCs/>
          <w:color w:val="auto"/>
          <w:kern w:val="2"/>
          <w:highlight w:val="none"/>
          <w:lang w:val="en-US" w:eastAsia="zh-CN"/>
        </w:rPr>
        <w:t>大类</w:t>
      </w:r>
      <w:r>
        <w:rPr>
          <w:rFonts w:hint="eastAsia" w:ascii="宋体" w:hAnsi="宋体" w:cs="宋体"/>
          <w:bCs/>
          <w:color w:val="auto"/>
          <w:kern w:val="2"/>
          <w:highlight w:val="none"/>
        </w:rPr>
        <w:t>资产管理</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主动判断市场时机进行资产配置，确定在</w:t>
      </w:r>
      <w:r>
        <w:rPr>
          <w:rFonts w:hint="eastAsia"/>
          <w:highlight w:val="none"/>
          <w:lang w:val="en-US" w:eastAsia="zh-CN"/>
        </w:rPr>
        <w:t>存款、存单、</w:t>
      </w:r>
      <w:r>
        <w:rPr>
          <w:rFonts w:hint="eastAsia" w:ascii="宋体" w:hAnsi="宋体" w:cs="宋体"/>
          <w:bCs/>
          <w:color w:val="auto"/>
          <w:kern w:val="2"/>
          <w:highlight w:val="none"/>
        </w:rPr>
        <w:t>债券</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优先股</w:t>
      </w:r>
      <w:r>
        <w:rPr>
          <w:rFonts w:hint="eastAsia" w:ascii="宋体" w:hAnsi="宋体" w:cs="宋体"/>
          <w:bCs/>
          <w:color w:val="auto"/>
          <w:kern w:val="2"/>
          <w:highlight w:val="none"/>
        </w:rPr>
        <w:t>等各类资产上的投资比例。</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债券投资策略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管理人本着稳健投资的理念，基于宏观经济形势、货币政策、固定收益资产价格走势，采用安全性和流动性优先、优选投资品种，</w:t>
      </w:r>
      <w:r>
        <w:rPr>
          <w:rFonts w:hint="eastAsia" w:ascii="宋体" w:hAnsi="宋体" w:cs="宋体"/>
          <w:bCs/>
          <w:color w:val="auto"/>
          <w:kern w:val="2"/>
          <w:highlight w:val="none"/>
          <w:lang w:val="en-US" w:eastAsia="zh-CN"/>
        </w:rPr>
        <w:t>综合运用信用策略、久期策略、杠杆策略、曲线策略、交易策略等</w:t>
      </w:r>
      <w:r>
        <w:rPr>
          <w:rFonts w:hint="eastAsia" w:ascii="宋体" w:hAnsi="宋体" w:cs="宋体"/>
          <w:bCs/>
          <w:color w:val="auto"/>
          <w:kern w:val="2"/>
          <w:highlight w:val="none"/>
        </w:rPr>
        <w:t>。</w:t>
      </w:r>
    </w:p>
    <w:p>
      <w:pPr>
        <w:numPr>
          <w:ilvl w:val="0"/>
          <w:numId w:val="23"/>
        </w:numPr>
        <w:spacing w:line="360" w:lineRule="auto"/>
        <w:jc w:val="left"/>
        <w:rPr>
          <w:rFonts w:ascii="宋体" w:hAnsi="宋体" w:cs="宋体"/>
          <w:bCs/>
          <w:sz w:val="24"/>
          <w:highlight w:val="none"/>
        </w:rPr>
      </w:pPr>
      <w:r>
        <w:rPr>
          <w:rFonts w:hint="eastAsia" w:ascii="宋体" w:hAnsi="宋体" w:cs="宋体"/>
          <w:bCs/>
          <w:sz w:val="24"/>
          <w:highlight w:val="none"/>
        </w:rPr>
        <w:t>权益</w:t>
      </w:r>
      <w:r>
        <w:rPr>
          <w:rFonts w:hint="eastAsia" w:ascii="宋体" w:hAnsi="宋体" w:cs="宋体"/>
          <w:bCs/>
          <w:sz w:val="24"/>
          <w:highlight w:val="none"/>
          <w:lang w:val="en-US" w:eastAsia="zh-CN"/>
        </w:rPr>
        <w:t>类</w:t>
      </w:r>
      <w:r>
        <w:rPr>
          <w:rFonts w:hint="eastAsia" w:ascii="宋体" w:hAnsi="宋体" w:cs="宋体"/>
          <w:bCs/>
          <w:sz w:val="24"/>
          <w:highlight w:val="none"/>
        </w:rPr>
        <w:t>资产策略</w:t>
      </w:r>
    </w:p>
    <w:p>
      <w:pPr>
        <w:pStyle w:val="17"/>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sz w:val="24"/>
          <w:highlight w:val="none"/>
        </w:rPr>
        <w:t>管理人</w:t>
      </w:r>
      <w:r>
        <w:rPr>
          <w:rFonts w:hint="eastAsia" w:ascii="宋体" w:hAnsi="宋体" w:cs="宋体"/>
          <w:bCs/>
          <w:color w:val="auto"/>
          <w:kern w:val="2"/>
          <w:sz w:val="24"/>
          <w:highlight w:val="none"/>
          <w:u w:val="none"/>
          <w:lang w:val="en-US" w:eastAsia="zh-CN"/>
        </w:rPr>
        <w:t>结合产品流动性和市场情况，择机在组合中配置优先股权益类资产</w:t>
      </w:r>
      <w:r>
        <w:rPr>
          <w:rFonts w:hint="eastAsia" w:ascii="宋体" w:hAnsi="宋体" w:cs="宋体"/>
          <w:bCs/>
          <w:color w:val="auto"/>
          <w:kern w:val="2"/>
          <w:sz w:val="24"/>
          <w:highlight w:val="none"/>
        </w:rPr>
        <w:t>。</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5"/>
        </w:numPr>
        <w:spacing w:line="360" w:lineRule="auto"/>
        <w:ind w:firstLine="480" w:firstLineChars="200"/>
        <w:jc w:val="left"/>
        <w:rPr>
          <w:rFonts w:ascii="宋体" w:hAnsi="宋体" w:cs="宋体"/>
          <w:bCs/>
          <w:sz w:val="24"/>
          <w:highlight w:val="none"/>
        </w:rPr>
      </w:pPr>
      <w:r>
        <w:rPr>
          <w:rFonts w:hint="eastAsia" w:ascii="宋体" w:hAnsi="宋体" w:cs="宋体"/>
          <w:bCs/>
          <w:highlight w:val="none"/>
        </w:rPr>
        <w:t>管理人发行的全部开放式公募理财计划投资单一上市公司发行的股票,不得超过该上市公司可流通股票的15%。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2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26"/>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应当持有不低于该理财产品资产净值5%的现金或者到期日在一年以内的国债、中央银行票据和政策性金融债券。</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0"/>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资产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资产的可能流动性风险（如有）：权益类资产包括但不限于上市公司普通股、上市公司优先股、股票基金、股票定向增发等，受国家政策、经济周期、利率、汇率、股票发行人经营情况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9"/>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7810"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6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托管人名称</w:t>
            </w:r>
          </w:p>
        </w:tc>
        <w:tc>
          <w:tcPr>
            <w:tcW w:w="6070" w:type="dxa"/>
            <w:noWrap w:val="0"/>
            <w:vAlign w:val="top"/>
          </w:tcPr>
          <w:p>
            <w:pPr>
              <w:spacing w:line="360" w:lineRule="auto"/>
              <w:jc w:val="left"/>
              <w:rPr>
                <w:rFonts w:ascii="宋体" w:hAnsi="宋体" w:cs="宋体"/>
                <w:bCs/>
                <w:szCs w:val="21"/>
                <w:highlight w:val="none"/>
              </w:rPr>
            </w:pPr>
            <w:r>
              <w:rPr>
                <w:rFonts w:hint="eastAsia" w:ascii="宋体" w:hAnsi="宋体" w:cs="宋体"/>
                <w:bCs/>
                <w:szCs w:val="21"/>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托管人住所</w:t>
            </w:r>
          </w:p>
        </w:tc>
        <w:tc>
          <w:tcPr>
            <w:tcW w:w="6070" w:type="dxa"/>
            <w:noWrap w:val="0"/>
            <w:vAlign w:val="top"/>
          </w:tcPr>
          <w:p>
            <w:pPr>
              <w:spacing w:line="360" w:lineRule="auto"/>
              <w:jc w:val="left"/>
              <w:rPr>
                <w:rFonts w:hint="eastAsia" w:ascii="宋体" w:hAnsi="宋体" w:cs="宋体"/>
                <w:bCs/>
                <w:szCs w:val="21"/>
                <w:highlight w:val="none"/>
              </w:rPr>
            </w:pPr>
            <w:r>
              <w:rPr>
                <w:rFonts w:hint="eastAsia" w:ascii="宋体" w:hAnsi="宋体" w:cs="宋体"/>
                <w:bCs/>
                <w:szCs w:val="21"/>
                <w:highlight w:val="none"/>
              </w:rPr>
              <w:t>杭州市庆春路46号杭州银行大厦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托管人职责</w:t>
            </w:r>
          </w:p>
        </w:tc>
        <w:tc>
          <w:tcPr>
            <w:tcW w:w="6070" w:type="dxa"/>
            <w:noWrap w:val="0"/>
            <w:vAlign w:val="top"/>
          </w:tcPr>
          <w:p>
            <w:pPr>
              <w:spacing w:line="360" w:lineRule="auto"/>
              <w:jc w:val="left"/>
              <w:rPr>
                <w:rFonts w:hint="eastAsia" w:ascii="宋体" w:hAnsi="宋体" w:cs="宋体"/>
                <w:bCs/>
                <w:szCs w:val="21"/>
                <w:highlight w:val="none"/>
              </w:rPr>
            </w:pPr>
            <w:r>
              <w:rPr>
                <w:rFonts w:hint="eastAsia" w:ascii="宋体" w:hAnsi="宋体" w:cs="宋体"/>
                <w:bCs/>
                <w:szCs w:val="21"/>
                <w:highlight w:val="none"/>
              </w:rPr>
              <w:t>主要提供包括账户开立、资金保管、资金结算、估值核对等理财产品托管服务。</w:t>
            </w:r>
          </w:p>
        </w:tc>
      </w:tr>
    </w:tbl>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7802"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618"/>
        <w:gridCol w:w="1180"/>
        <w:gridCol w:w="3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restart"/>
            <w:noWrap w:val="0"/>
            <w:vAlign w:val="center"/>
          </w:tcPr>
          <w:p>
            <w:pPr>
              <w:spacing w:line="360" w:lineRule="auto"/>
              <w:jc w:val="center"/>
              <w:rPr>
                <w:rFonts w:hint="eastAsia" w:ascii="宋体" w:hAnsi="宋体" w:cs="宋体"/>
                <w:bCs/>
                <w:szCs w:val="21"/>
                <w:highlight w:val="none"/>
              </w:rPr>
            </w:pPr>
          </w:p>
          <w:p>
            <w:pPr>
              <w:spacing w:line="360" w:lineRule="auto"/>
              <w:jc w:val="center"/>
              <w:rPr>
                <w:rFonts w:ascii="宋体" w:hAnsi="宋体" w:cs="宋体"/>
                <w:bCs/>
                <w:szCs w:val="21"/>
                <w:highlight w:val="none"/>
              </w:rPr>
            </w:pPr>
            <w:r>
              <w:rPr>
                <w:rFonts w:hint="eastAsia" w:ascii="宋体" w:hAnsi="宋体" w:cs="宋体"/>
                <w:bCs/>
                <w:szCs w:val="21"/>
                <w:highlight w:val="none"/>
              </w:rPr>
              <w:t>销售机构信息</w:t>
            </w:r>
          </w:p>
        </w:tc>
        <w:tc>
          <w:tcPr>
            <w:tcW w:w="2618"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杭州银行股份有限公司</w:t>
            </w:r>
          </w:p>
        </w:tc>
        <w:tc>
          <w:tcPr>
            <w:tcW w:w="118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住所</w:t>
            </w:r>
          </w:p>
        </w:tc>
        <w:tc>
          <w:tcPr>
            <w:tcW w:w="3042" w:type="dxa"/>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杭州市庆春路46号杭州银行大厦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Cs w:val="21"/>
                <w:highlight w:val="none"/>
              </w:rPr>
            </w:pPr>
          </w:p>
        </w:tc>
        <w:tc>
          <w:tcPr>
            <w:tcW w:w="2618" w:type="dxa"/>
            <w:vMerge w:val="continue"/>
            <w:noWrap w:val="0"/>
            <w:vAlign w:val="center"/>
          </w:tcPr>
          <w:p>
            <w:pPr>
              <w:spacing w:line="360" w:lineRule="auto"/>
              <w:jc w:val="center"/>
              <w:rPr>
                <w:rFonts w:hint="eastAsia" w:ascii="宋体" w:hAnsi="宋体" w:cs="宋体"/>
                <w:bCs/>
                <w:szCs w:val="21"/>
                <w:highlight w:val="none"/>
              </w:rPr>
            </w:pPr>
          </w:p>
        </w:tc>
        <w:tc>
          <w:tcPr>
            <w:tcW w:w="118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客服热线</w:t>
            </w:r>
          </w:p>
        </w:tc>
        <w:tc>
          <w:tcPr>
            <w:tcW w:w="3042"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Cs w:val="21"/>
                <w:highlight w:val="none"/>
              </w:rPr>
            </w:pPr>
          </w:p>
        </w:tc>
        <w:tc>
          <w:tcPr>
            <w:tcW w:w="2618" w:type="dxa"/>
            <w:vMerge w:val="restart"/>
            <w:noWrap w:val="0"/>
            <w:vAlign w:val="center"/>
          </w:tcPr>
          <w:p>
            <w:pPr>
              <w:keepNext w:val="0"/>
              <w:keepLines w:val="0"/>
              <w:widowControl/>
              <w:suppressLineNumbers w:val="0"/>
              <w:spacing w:line="360" w:lineRule="auto"/>
              <w:jc w:val="center"/>
              <w:textAlignment w:val="auto"/>
              <w:rPr>
                <w:rFonts w:hint="eastAsia" w:ascii="宋体" w:hAnsi="宋体" w:eastAsia="宋体" w:cs="宋体"/>
                <w:bCs/>
                <w:szCs w:val="24"/>
                <w:highlight w:val="none"/>
                <w:lang w:val="en-US" w:eastAsia="zh-CN"/>
              </w:rPr>
            </w:pPr>
            <w:r>
              <w:rPr>
                <w:rFonts w:hint="eastAsia" w:ascii="宋体" w:hAnsi="宋体" w:eastAsia="宋体" w:cs="宋体"/>
                <w:bCs/>
                <w:i w:val="0"/>
                <w:color w:val="auto"/>
                <w:kern w:val="2"/>
                <w:sz w:val="24"/>
                <w:szCs w:val="24"/>
                <w:highlight w:val="none"/>
                <w:u w:val="none"/>
                <w:lang w:val="en-US" w:eastAsia="zh-CN" w:bidi="ar"/>
              </w:rPr>
              <w:t>杭银理财有限责任公司</w:t>
            </w:r>
          </w:p>
        </w:tc>
        <w:tc>
          <w:tcPr>
            <w:tcW w:w="1180" w:type="dxa"/>
            <w:noWrap w:val="0"/>
            <w:vAlign w:val="center"/>
          </w:tcPr>
          <w:p>
            <w:pPr>
              <w:keepNext w:val="0"/>
              <w:keepLines w:val="0"/>
              <w:widowControl/>
              <w:suppressLineNumbers w:val="0"/>
              <w:spacing w:line="360" w:lineRule="auto"/>
              <w:jc w:val="center"/>
              <w:textAlignment w:val="auto"/>
              <w:rPr>
                <w:rFonts w:hint="eastAsia" w:ascii="宋体" w:hAnsi="宋体" w:cs="宋体"/>
                <w:bCs/>
                <w:szCs w:val="24"/>
                <w:highlight w:val="none"/>
              </w:rPr>
            </w:pPr>
            <w:r>
              <w:rPr>
                <w:rFonts w:hint="eastAsia" w:ascii="宋体" w:hAnsi="宋体" w:eastAsia="宋体" w:cs="宋体"/>
                <w:bCs/>
                <w:i w:val="0"/>
                <w:color w:val="auto"/>
                <w:kern w:val="2"/>
                <w:sz w:val="24"/>
                <w:szCs w:val="24"/>
                <w:highlight w:val="none"/>
                <w:u w:val="none"/>
                <w:lang w:val="en-US" w:eastAsia="zh-CN" w:bidi="ar"/>
              </w:rPr>
              <w:t>住所</w:t>
            </w:r>
          </w:p>
        </w:tc>
        <w:tc>
          <w:tcPr>
            <w:tcW w:w="3042" w:type="dxa"/>
            <w:noWrap w:val="0"/>
            <w:vAlign w:val="center"/>
          </w:tcPr>
          <w:p>
            <w:pPr>
              <w:keepNext w:val="0"/>
              <w:keepLines w:val="0"/>
              <w:widowControl/>
              <w:suppressLineNumbers w:val="0"/>
              <w:spacing w:line="360" w:lineRule="auto"/>
              <w:jc w:val="center"/>
              <w:textAlignment w:val="auto"/>
              <w:rPr>
                <w:rFonts w:hint="eastAsia" w:ascii="宋体" w:hAnsi="宋体" w:cs="宋体"/>
                <w:bCs/>
                <w:szCs w:val="24"/>
                <w:highlight w:val="none"/>
              </w:rPr>
            </w:pPr>
            <w:r>
              <w:rPr>
                <w:rFonts w:hint="eastAsia" w:ascii="宋体" w:hAnsi="宋体" w:eastAsia="宋体" w:cs="宋体"/>
                <w:bCs/>
                <w:i w:val="0"/>
                <w:color w:val="auto"/>
                <w:kern w:val="2"/>
                <w:sz w:val="24"/>
                <w:szCs w:val="24"/>
                <w:highlight w:val="none"/>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Cs w:val="21"/>
                <w:highlight w:val="none"/>
              </w:rPr>
            </w:pPr>
          </w:p>
        </w:tc>
        <w:tc>
          <w:tcPr>
            <w:tcW w:w="2618" w:type="dxa"/>
            <w:vMerge w:val="continue"/>
            <w:noWrap w:val="0"/>
            <w:vAlign w:val="center"/>
          </w:tcPr>
          <w:p>
            <w:pPr>
              <w:spacing w:line="360" w:lineRule="auto"/>
              <w:jc w:val="center"/>
              <w:rPr>
                <w:rFonts w:hint="eastAsia" w:ascii="宋体" w:hAnsi="宋体" w:cs="宋体"/>
                <w:bCs/>
                <w:szCs w:val="24"/>
                <w:highlight w:val="none"/>
              </w:rPr>
            </w:pPr>
          </w:p>
        </w:tc>
        <w:tc>
          <w:tcPr>
            <w:tcW w:w="1180" w:type="dxa"/>
            <w:noWrap w:val="0"/>
            <w:vAlign w:val="center"/>
          </w:tcPr>
          <w:p>
            <w:pPr>
              <w:keepNext w:val="0"/>
              <w:keepLines w:val="0"/>
              <w:widowControl/>
              <w:suppressLineNumbers w:val="0"/>
              <w:spacing w:line="360" w:lineRule="auto"/>
              <w:jc w:val="center"/>
              <w:textAlignment w:val="auto"/>
              <w:rPr>
                <w:rFonts w:hint="eastAsia" w:ascii="宋体" w:hAnsi="宋体" w:cs="宋体"/>
                <w:bCs/>
                <w:szCs w:val="24"/>
                <w:highlight w:val="none"/>
              </w:rPr>
            </w:pPr>
            <w:r>
              <w:rPr>
                <w:rFonts w:hint="eastAsia" w:ascii="宋体" w:hAnsi="宋体" w:eastAsia="宋体" w:cs="宋体"/>
                <w:bCs/>
                <w:i w:val="0"/>
                <w:color w:val="auto"/>
                <w:kern w:val="2"/>
                <w:sz w:val="24"/>
                <w:szCs w:val="24"/>
                <w:highlight w:val="none"/>
                <w:u w:val="none"/>
                <w:lang w:val="en-US" w:eastAsia="zh-CN" w:bidi="ar"/>
              </w:rPr>
              <w:t>客服热线</w:t>
            </w:r>
          </w:p>
        </w:tc>
        <w:tc>
          <w:tcPr>
            <w:tcW w:w="3042" w:type="dxa"/>
            <w:noWrap w:val="0"/>
            <w:vAlign w:val="center"/>
          </w:tcPr>
          <w:p>
            <w:pPr>
              <w:keepNext w:val="0"/>
              <w:keepLines w:val="0"/>
              <w:widowControl/>
              <w:suppressLineNumbers w:val="0"/>
              <w:spacing w:line="360" w:lineRule="auto"/>
              <w:jc w:val="center"/>
              <w:textAlignment w:val="auto"/>
              <w:rPr>
                <w:rFonts w:hint="eastAsia" w:ascii="宋体" w:hAnsi="宋体" w:cs="宋体"/>
                <w:bCs/>
                <w:szCs w:val="24"/>
                <w:highlight w:val="none"/>
              </w:rPr>
            </w:pPr>
            <w:r>
              <w:rPr>
                <w:rFonts w:hint="eastAsia" w:ascii="宋体" w:hAnsi="宋体" w:eastAsia="宋体" w:cs="宋体"/>
                <w:bCs/>
                <w:i w:val="0"/>
                <w:color w:val="auto"/>
                <w:kern w:val="2"/>
                <w:sz w:val="24"/>
                <w:szCs w:val="24"/>
                <w:highlight w:val="none"/>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销售机构职责</w:t>
            </w:r>
          </w:p>
        </w:tc>
        <w:tc>
          <w:tcPr>
            <w:tcW w:w="6840" w:type="dxa"/>
            <w:gridSpan w:val="3"/>
            <w:noWrap w:val="0"/>
            <w:vAlign w:val="top"/>
          </w:tcPr>
          <w:p>
            <w:pPr>
              <w:spacing w:line="360" w:lineRule="auto"/>
              <w:jc w:val="left"/>
              <w:rPr>
                <w:rFonts w:hint="eastAsia" w:ascii="宋体" w:hAnsi="宋体" w:cs="宋体"/>
                <w:bCs/>
                <w:szCs w:val="21"/>
                <w:highlight w:val="none"/>
              </w:rPr>
            </w:pPr>
            <w:r>
              <w:rPr>
                <w:rFonts w:hint="eastAsia" w:ascii="宋体" w:hAnsi="宋体" w:cs="宋体"/>
                <w:bCs/>
                <w:szCs w:val="21"/>
                <w:highlight w:val="none"/>
              </w:rPr>
              <w:t>主要负责理财计划推广、投资者风险承受能力评估、投资者适当性管理、理财计划份额认购、申购及赎回办理。</w:t>
            </w:r>
          </w:p>
          <w:p>
            <w:pPr>
              <w:spacing w:line="360" w:lineRule="auto"/>
              <w:jc w:val="left"/>
              <w:rPr>
                <w:rFonts w:ascii="宋体" w:hAnsi="宋体" w:cs="宋体"/>
                <w:bCs/>
                <w:szCs w:val="21"/>
                <w:highlight w:val="none"/>
              </w:rPr>
            </w:pPr>
            <w:r>
              <w:rPr>
                <w:rFonts w:hint="eastAsia" w:ascii="宋体" w:hAnsi="宋体" w:cs="宋体"/>
                <w:bCs/>
                <w:szCs w:val="21"/>
                <w:highlight w:val="none"/>
              </w:rPr>
              <w:t>协助管理人负责与投资者签订理财计划合同、与投资者沟通及进行信息披露、接受投资者咨询和维护等销售服务。</w:t>
            </w:r>
          </w:p>
        </w:tc>
      </w:tr>
    </w:tbl>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在本理财计划发行后</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如</w:t>
      </w:r>
      <w:r>
        <w:rPr>
          <w:rFonts w:hint="eastAsia" w:ascii="宋体" w:hAnsi="宋体" w:cs="宋体"/>
          <w:bCs/>
          <w:color w:val="000000"/>
          <w:sz w:val="24"/>
          <w:highlight w:val="none"/>
        </w:rPr>
        <w:t>新增</w:t>
      </w:r>
      <w:r>
        <w:rPr>
          <w:rFonts w:hint="eastAsia" w:ascii="宋体" w:hAnsi="宋体" w:cs="宋体"/>
          <w:bCs/>
          <w:color w:val="000000"/>
          <w:sz w:val="24"/>
          <w:highlight w:val="none"/>
          <w:lang w:val="en-US" w:eastAsia="zh-CN"/>
        </w:rPr>
        <w:t>/减少</w:t>
      </w:r>
      <w:r>
        <w:rPr>
          <w:rFonts w:hint="eastAsia" w:ascii="宋体" w:hAnsi="宋体" w:cs="宋体"/>
          <w:bCs/>
          <w:color w:val="000000"/>
          <w:sz w:val="24"/>
          <w:highlight w:val="none"/>
        </w:rPr>
        <w:t>销售机构</w:t>
      </w:r>
      <w:r>
        <w:rPr>
          <w:rFonts w:hint="eastAsia" w:ascii="宋体" w:hAnsi="宋体" w:cs="宋体"/>
          <w:bCs/>
          <w:color w:val="000000"/>
          <w:sz w:val="24"/>
          <w:highlight w:val="none"/>
          <w:lang w:val="en-US" w:eastAsia="zh-CN"/>
        </w:rPr>
        <w:t>或销售机构信息变更，请</w:t>
      </w:r>
      <w:r>
        <w:rPr>
          <w:rFonts w:hint="eastAsia" w:ascii="宋体" w:hAnsi="宋体" w:cs="宋体"/>
          <w:bCs/>
          <w:color w:val="000000"/>
          <w:sz w:val="24"/>
          <w:highlight w:val="none"/>
        </w:rPr>
        <w:t>以管理人</w:t>
      </w:r>
      <w:r>
        <w:rPr>
          <w:rFonts w:hint="eastAsia" w:ascii="宋体" w:hAnsi="宋体" w:cs="宋体"/>
          <w:bCs/>
          <w:color w:val="000000"/>
          <w:sz w:val="24"/>
          <w:highlight w:val="none"/>
          <w:lang w:val="en-US" w:eastAsia="zh-CN"/>
        </w:rPr>
        <w:t>最新</w:t>
      </w:r>
      <w:r>
        <w:rPr>
          <w:rFonts w:hint="eastAsia" w:ascii="宋体" w:hAnsi="宋体" w:cs="宋体"/>
          <w:bCs/>
          <w:color w:val="000000"/>
          <w:sz w:val="24"/>
          <w:highlight w:val="none"/>
        </w:rPr>
        <w:t>公告</w:t>
      </w:r>
      <w:r>
        <w:rPr>
          <w:rFonts w:hint="eastAsia" w:ascii="宋体" w:hAnsi="宋体" w:cs="宋体"/>
          <w:bCs/>
          <w:color w:val="000000"/>
          <w:sz w:val="24"/>
          <w:highlight w:val="none"/>
          <w:lang w:val="en-US" w:eastAsia="zh-CN"/>
        </w:rPr>
        <w:t>或官方网站展示</w:t>
      </w:r>
      <w:r>
        <w:rPr>
          <w:rFonts w:hint="eastAsia" w:ascii="宋体" w:hAnsi="宋体" w:cs="宋体"/>
          <w:bCs/>
          <w:color w:val="000000"/>
          <w:sz w:val="24"/>
          <w:highlight w:val="none"/>
        </w:rPr>
        <w:t>为准。</w:t>
      </w:r>
    </w:p>
    <w:p>
      <w:pPr>
        <w:spacing w:line="360" w:lineRule="auto"/>
        <w:jc w:val="left"/>
        <w:rPr>
          <w:rFonts w:ascii="宋体" w:hAnsi="宋体" w:cs="宋体"/>
          <w:bCs/>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val="en-US" w:eastAsia="zh-CN"/>
        </w:rPr>
        <w:t>工作</w:t>
      </w:r>
      <w:r>
        <w:rPr>
          <w:rFonts w:hint="eastAsia" w:ascii="宋体" w:hAnsi="宋体" w:cs="宋体"/>
          <w:bCs/>
          <w:color w:val="000000"/>
          <w:sz w:val="24"/>
          <w:highlight w:val="none"/>
          <w:lang w:eastAsia="zh-CN"/>
        </w:rPr>
        <w:t>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7"/>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7"/>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7"/>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lang w:val="en-US" w:eastAsia="zh-CN"/>
        </w:rPr>
        <w:t>D份额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以D份额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D份额</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D份额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lang w:val="en-US" w:eastAsia="zh-CN"/>
        </w:rPr>
        <w:t>D份额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以D份额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D份额</w:t>
      </w:r>
      <w:r>
        <w:rPr>
          <w:rFonts w:hint="eastAsia" w:ascii="宋体" w:hAnsi="宋体" w:cs="宋体"/>
          <w:bCs/>
          <w:color w:val="000000"/>
          <w:sz w:val="24"/>
          <w:highlight w:val="none"/>
        </w:rPr>
        <w:t>每日应计提的管理费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D份额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，如理财计划实际运作结果不达业绩比较基准时，管理人有权减免固定管理费。</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本理财计划免除</w:t>
      </w:r>
      <w:r>
        <w:rPr>
          <w:rFonts w:hint="eastAsia" w:ascii="宋体" w:hAnsi="宋体" w:cs="宋体"/>
          <w:bCs/>
          <w:color w:val="000000"/>
          <w:sz w:val="24"/>
          <w:highlight w:val="none"/>
          <w:lang w:val="en-US" w:eastAsia="zh-CN"/>
        </w:rPr>
        <w:t>浮动管理费。</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2"/>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2"/>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2"/>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单位净值为提取相关费用及税费后的单位理财计划份额净值。</w:t>
      </w:r>
    </w:p>
    <w:p>
      <w:pPr>
        <w:numPr>
          <w:ilvl w:val="0"/>
          <w:numId w:val="43"/>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w:t>
      </w:r>
      <w:r>
        <w:rPr>
          <w:rFonts w:hint="eastAsia" w:ascii="宋体" w:hAnsi="宋体" w:cs="宋体"/>
          <w:b/>
          <w:color w:val="000000"/>
          <w:sz w:val="24"/>
          <w:highlight w:val="none"/>
          <w:lang w:val="en-US" w:eastAsia="zh-CN"/>
        </w:rPr>
        <w:t>产生盈利</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D份额</w:t>
      </w:r>
      <w:r>
        <w:rPr>
          <w:rFonts w:hint="eastAsia" w:ascii="宋体" w:hAnsi="宋体" w:cs="宋体"/>
          <w:bCs/>
          <w:color w:val="000000"/>
          <w:sz w:val="24"/>
          <w:highlight w:val="none"/>
        </w:rPr>
        <w:t>〗为例，假设购买时理财计划净值为1.00元，折算份额为100,000.00份，假设投资理财计划362天。到期时扣除托管费、固定管理费、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期间无分红，</w:t>
      </w:r>
      <w:r>
        <w:rPr>
          <w:rFonts w:hint="eastAsia" w:ascii="宋体" w:hAnsi="宋体" w:cs="宋体"/>
          <w:bCs/>
          <w:color w:val="000000"/>
          <w:sz w:val="24"/>
          <w:highlight w:val="none"/>
        </w:rPr>
        <w:t>此时，(1.0426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/1.00-1)×365/362=4.30%，即投资</w:t>
      </w:r>
      <w:r>
        <w:rPr>
          <w:rFonts w:hint="eastAsia" w:ascii="宋体" w:hAnsi="宋体" w:cs="宋体"/>
          <w:bCs/>
          <w:color w:val="000000"/>
          <w:sz w:val="24"/>
          <w:highlight w:val="none"/>
          <w:lang w:val="en-US" w:eastAsia="zh-CN"/>
        </w:rPr>
        <w:t>收益达到年化</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4.30%</w:t>
      </w:r>
      <w:r>
        <w:rPr>
          <w:rFonts w:hint="eastAsia" w:ascii="宋体" w:hAnsi="宋体" w:cs="宋体"/>
          <w:bCs/>
          <w:color w:val="000000"/>
          <w:sz w:val="24"/>
          <w:highlight w:val="none"/>
        </w:rPr>
        <w:t>〗，投资者最终收益为：100,000.00×(1.0426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-1.00）=4,260.00（元）</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二</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D份额</w:t>
      </w:r>
      <w:r>
        <w:rPr>
          <w:rFonts w:hint="eastAsia" w:ascii="宋体" w:hAnsi="宋体" w:cs="宋体"/>
          <w:bCs/>
          <w:color w:val="000000"/>
          <w:sz w:val="24"/>
          <w:highlight w:val="none"/>
        </w:rPr>
        <w:t>〗为例，假设购买时理财计划净值为1.00元，折算份额为100,000.00份，假设投资理财计划362天。到期时扣除托管费、固定管理费、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期间无分红，</w:t>
      </w:r>
      <w:r>
        <w:rPr>
          <w:rFonts w:hint="eastAsia" w:ascii="宋体" w:hAnsi="宋体" w:cs="宋体"/>
          <w:bCs/>
          <w:color w:val="000000"/>
          <w:sz w:val="24"/>
          <w:highlight w:val="none"/>
        </w:rPr>
        <w:t>投资者最终收益为：100,000.00×（0.9975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-1.00）=-250.00（元）。</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7"/>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w:t>
      </w:r>
      <w:r>
        <w:rPr>
          <w:rFonts w:hint="eastAsia" w:ascii="宋体" w:hAnsi="宋体" w:cs="宋体"/>
          <w:bCs/>
          <w:sz w:val="24"/>
          <w:highlight w:val="none"/>
          <w:lang w:val="en-US" w:eastAsia="zh-CN"/>
        </w:rPr>
        <w:t>的</w:t>
      </w:r>
      <w:r>
        <w:rPr>
          <w:rFonts w:hint="eastAsia" w:ascii="宋体" w:hAnsi="宋体" w:cs="宋体"/>
          <w:bCs/>
          <w:sz w:val="24"/>
          <w:highlight w:val="none"/>
        </w:rPr>
        <w:t>工作时间可进行申购</w:t>
      </w:r>
      <w:r>
        <w:rPr>
          <w:rFonts w:hint="eastAsia" w:ascii="宋体" w:hAnsi="宋体" w:cs="宋体"/>
          <w:bCs/>
          <w:sz w:val="24"/>
          <w:highlight w:val="none"/>
          <w:lang w:val="en-US" w:eastAsia="zh-CN"/>
        </w:rPr>
        <w:t>和撤单</w:t>
      </w:r>
      <w:r>
        <w:rPr>
          <w:rFonts w:hint="eastAsia" w:ascii="宋体" w:hAnsi="宋体" w:cs="宋体"/>
          <w:bCs/>
          <w:sz w:val="24"/>
          <w:highlight w:val="none"/>
        </w:rPr>
        <w:t>，申购申请将在确认日进行确认，即申购</w:t>
      </w:r>
      <w:r>
        <w:rPr>
          <w:rFonts w:hint="eastAsia" w:ascii="宋体" w:hAnsi="宋体" w:cs="宋体"/>
          <w:bCs/>
          <w:sz w:val="24"/>
          <w:highlight w:val="none"/>
          <w:lang w:val="en-US" w:eastAsia="zh-CN"/>
        </w:rPr>
        <w:t>申请日</w:t>
      </w:r>
      <w:r>
        <w:rPr>
          <w:rFonts w:hint="eastAsia" w:ascii="宋体" w:hAnsi="宋体" w:cs="宋体"/>
          <w:bCs/>
          <w:sz w:val="24"/>
          <w:highlight w:val="none"/>
        </w:rPr>
        <w:t>后的第〖1〗个</w:t>
      </w:r>
      <w:r>
        <w:rPr>
          <w:rFonts w:hint="eastAsia" w:ascii="宋体" w:hAnsi="宋体" w:cs="宋体"/>
          <w:bCs/>
          <w:sz w:val="24"/>
          <w:highlight w:val="none"/>
          <w:lang w:val="en-US" w:eastAsia="zh-CN"/>
        </w:rPr>
        <w:t>交易</w:t>
      </w:r>
      <w:r>
        <w:rPr>
          <w:rFonts w:hint="eastAsia" w:ascii="宋体" w:hAnsi="宋体" w:cs="宋体"/>
          <w:bCs/>
          <w:sz w:val="24"/>
          <w:highlight w:val="none"/>
        </w:rPr>
        <w:t>日进行确认。</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满足赎回条件后，</w:t>
      </w:r>
      <w:r>
        <w:rPr>
          <w:rFonts w:hint="eastAsia" w:ascii="宋体" w:hAnsi="宋体" w:cs="宋体"/>
          <w:bCs/>
          <w:sz w:val="24"/>
          <w:highlight w:val="none"/>
        </w:rPr>
        <w:t>本理财计划在每个开放期的工作时间可进行赎回</w:t>
      </w:r>
      <w:r>
        <w:rPr>
          <w:rFonts w:hint="eastAsia" w:ascii="宋体" w:hAnsi="宋体" w:cs="宋体"/>
          <w:bCs/>
          <w:sz w:val="24"/>
          <w:highlight w:val="none"/>
          <w:lang w:val="en-US" w:eastAsia="zh-CN"/>
        </w:rPr>
        <w:t>和撤单</w:t>
      </w:r>
      <w:r>
        <w:rPr>
          <w:rFonts w:hint="eastAsia" w:ascii="宋体" w:hAnsi="宋体" w:cs="宋体"/>
          <w:bCs/>
          <w:sz w:val="24"/>
          <w:highlight w:val="none"/>
        </w:rPr>
        <w:t>，赎回申请将在确认日进行确认，即赎回</w:t>
      </w:r>
      <w:r>
        <w:rPr>
          <w:rFonts w:hint="eastAsia" w:ascii="宋体" w:hAnsi="宋体" w:cs="宋体"/>
          <w:bCs/>
          <w:sz w:val="24"/>
          <w:highlight w:val="none"/>
          <w:lang w:val="en-US" w:eastAsia="zh-CN"/>
        </w:rPr>
        <w:t>申请日</w:t>
      </w:r>
      <w:r>
        <w:rPr>
          <w:rFonts w:hint="eastAsia" w:ascii="宋体" w:hAnsi="宋体" w:cs="宋体"/>
          <w:bCs/>
          <w:sz w:val="24"/>
          <w:highlight w:val="none"/>
        </w:rPr>
        <w:t>后的第〖1〗个</w:t>
      </w:r>
      <w:r>
        <w:rPr>
          <w:rFonts w:hint="eastAsia" w:ascii="宋体" w:hAnsi="宋体" w:cs="宋体"/>
          <w:bCs/>
          <w:sz w:val="24"/>
          <w:highlight w:val="none"/>
          <w:lang w:val="en-US" w:eastAsia="zh-CN"/>
        </w:rPr>
        <w:t>交易</w:t>
      </w:r>
      <w:r>
        <w:rPr>
          <w:rFonts w:hint="eastAsia" w:ascii="宋体" w:hAnsi="宋体" w:cs="宋体"/>
          <w:bCs/>
          <w:sz w:val="24"/>
          <w:highlight w:val="none"/>
        </w:rPr>
        <w:t>日进行确认。</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highlight w:val="none"/>
        </w:rPr>
        <w:t>在交易日的</w:t>
      </w:r>
      <w:r>
        <w:rPr>
          <w:rFonts w:hint="eastAsia" w:ascii="宋体" w:hAnsi="宋体" w:cs="宋体"/>
          <w:bCs/>
          <w:highlight w:val="none"/>
          <w:lang w:eastAsia="zh-CN"/>
        </w:rPr>
        <w:t>1</w:t>
      </w:r>
      <w:r>
        <w:rPr>
          <w:rFonts w:hint="eastAsia" w:ascii="宋体" w:hAnsi="宋体" w:cs="宋体"/>
          <w:bCs/>
          <w:highlight w:val="none"/>
          <w:lang w:val="en-US" w:eastAsia="zh-CN"/>
        </w:rPr>
        <w:t>7</w:t>
      </w:r>
      <w:r>
        <w:rPr>
          <w:rFonts w:hint="eastAsia" w:ascii="宋体" w:hAnsi="宋体" w:cs="宋体"/>
          <w:bCs/>
          <w:highlight w:val="none"/>
          <w:lang w:eastAsia="zh-CN"/>
        </w:rPr>
        <w:t>：</w:t>
      </w:r>
      <w:r>
        <w:rPr>
          <w:rFonts w:hint="eastAsia" w:ascii="宋体" w:hAnsi="宋体" w:cs="宋体"/>
          <w:bCs/>
          <w:highlight w:val="none"/>
          <w:lang w:val="en-US" w:eastAsia="zh-CN"/>
        </w:rPr>
        <w:t>00</w:t>
      </w:r>
      <w:r>
        <w:rPr>
          <w:rFonts w:hint="eastAsia" w:ascii="宋体" w:hAnsi="宋体" w:cs="宋体"/>
          <w:bCs/>
          <w:highlight w:val="none"/>
        </w:rPr>
        <w:t>之前提交的申购和赎回申请，申请日为提出申请当日；在交易日</w:t>
      </w:r>
      <w:r>
        <w:rPr>
          <w:rFonts w:hint="eastAsia" w:ascii="宋体" w:hAnsi="宋体" w:cs="宋体"/>
          <w:bCs/>
          <w:highlight w:val="none"/>
          <w:lang w:eastAsia="zh-CN"/>
        </w:rPr>
        <w:t>1</w:t>
      </w:r>
      <w:r>
        <w:rPr>
          <w:rFonts w:hint="eastAsia" w:ascii="宋体" w:hAnsi="宋体" w:cs="宋体"/>
          <w:bCs/>
          <w:highlight w:val="none"/>
          <w:lang w:val="en-US" w:eastAsia="zh-CN"/>
        </w:rPr>
        <w:t>7</w:t>
      </w:r>
      <w:r>
        <w:rPr>
          <w:rFonts w:hint="eastAsia" w:ascii="宋体" w:hAnsi="宋体" w:cs="宋体"/>
          <w:bCs/>
          <w:highlight w:val="none"/>
          <w:lang w:eastAsia="zh-CN"/>
        </w:rPr>
        <w:t>：</w:t>
      </w:r>
      <w:r>
        <w:rPr>
          <w:rFonts w:hint="eastAsia" w:ascii="宋体" w:hAnsi="宋体" w:cs="宋体"/>
          <w:bCs/>
          <w:highlight w:val="none"/>
          <w:lang w:val="en-US" w:eastAsia="zh-CN"/>
        </w:rPr>
        <w:t>00</w:t>
      </w:r>
      <w:r>
        <w:rPr>
          <w:rFonts w:hint="eastAsia" w:ascii="宋体" w:hAnsi="宋体" w:cs="宋体"/>
          <w:bCs/>
          <w:highlight w:val="none"/>
        </w:rPr>
        <w:t>之后及非交易日提交的申购和赎回申请，申请日为提出申请日的下一交易日。</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w:t>
      </w:r>
      <w:r>
        <w:rPr>
          <w:rFonts w:hint="eastAsia" w:ascii="宋体" w:hAnsi="宋体" w:cs="宋体"/>
          <w:bCs/>
          <w:sz w:val="24"/>
          <w:highlight w:val="none"/>
          <w:lang w:val="en-US" w:eastAsia="zh-CN"/>
        </w:rPr>
        <w:t>交易</w:t>
      </w:r>
      <w:r>
        <w:rPr>
          <w:rFonts w:hint="eastAsia" w:ascii="宋体" w:hAnsi="宋体" w:cs="宋体"/>
          <w:bCs/>
          <w:sz w:val="24"/>
          <w:highlight w:val="none"/>
        </w:rPr>
        <w:t>日上午〖9:00〗至下午〖1</w:t>
      </w:r>
      <w:r>
        <w:rPr>
          <w:rFonts w:hint="eastAsia" w:ascii="宋体" w:hAnsi="宋体" w:cs="宋体"/>
          <w:bCs/>
          <w:sz w:val="24"/>
          <w:highlight w:val="none"/>
          <w:lang w:val="en-US" w:eastAsia="zh-CN"/>
        </w:rPr>
        <w:t>7</w:t>
      </w:r>
      <w:r>
        <w:rPr>
          <w:rFonts w:hint="eastAsia" w:ascii="宋体" w:hAnsi="宋体" w:cs="宋体"/>
          <w:bCs/>
          <w:sz w:val="24"/>
          <w:highlight w:val="none"/>
        </w:rPr>
        <w:t>:</w:t>
      </w:r>
      <w:r>
        <w:rPr>
          <w:rFonts w:hint="eastAsia" w:ascii="宋体" w:hAnsi="宋体" w:cs="宋体"/>
          <w:bCs/>
          <w:sz w:val="24"/>
          <w:highlight w:val="none"/>
          <w:lang w:val="en-US" w:eastAsia="zh-CN"/>
        </w:rPr>
        <w:t>00</w:t>
      </w:r>
      <w:r>
        <w:rPr>
          <w:rFonts w:hint="eastAsia" w:ascii="宋体" w:hAnsi="宋体" w:cs="宋体"/>
          <w:bCs/>
          <w:sz w:val="24"/>
          <w:highlight w:val="none"/>
        </w:rPr>
        <w:t>〗。</w:t>
      </w:r>
      <w:r>
        <w:rPr>
          <w:rFonts w:hint="eastAsia" w:ascii="宋体" w:hAnsi="宋体" w:cs="宋体"/>
          <w:color w:val="000000"/>
          <w:kern w:val="0"/>
          <w:sz w:val="24"/>
          <w:szCs w:val="24"/>
          <w:highlight w:val="none"/>
        </w:rPr>
        <w:t>（具体以销售机构</w:t>
      </w:r>
      <w:r>
        <w:rPr>
          <w:rFonts w:hint="eastAsia" w:ascii="宋体" w:hAnsi="宋体" w:cs="宋体"/>
          <w:color w:val="000000"/>
          <w:kern w:val="0"/>
          <w:sz w:val="24"/>
          <w:szCs w:val="24"/>
          <w:highlight w:val="none"/>
          <w:lang w:val="en-US" w:eastAsia="zh-CN"/>
        </w:rPr>
        <w:t>销售要素</w:t>
      </w:r>
      <w:r>
        <w:rPr>
          <w:rFonts w:hint="eastAsia" w:ascii="宋体" w:hAnsi="宋体" w:cs="宋体"/>
          <w:color w:val="000000"/>
          <w:kern w:val="0"/>
          <w:sz w:val="24"/>
          <w:szCs w:val="24"/>
          <w:highlight w:val="none"/>
        </w:rPr>
        <w:t>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于确认日当</w:t>
      </w:r>
      <w:r>
        <w:rPr>
          <w:rFonts w:hint="eastAsia" w:ascii="宋体" w:hAnsi="宋体" w:cs="宋体"/>
          <w:bCs/>
          <w:sz w:val="24"/>
          <w:highlight w:val="none"/>
        </w:rPr>
        <w:t>日，最晚</w:t>
      </w:r>
      <w:r>
        <w:rPr>
          <w:rFonts w:hint="eastAsia" w:ascii="宋体" w:hAnsi="宋体" w:cs="宋体"/>
          <w:bCs/>
          <w:sz w:val="24"/>
          <w:highlight w:val="none"/>
          <w:lang w:val="en-US" w:eastAsia="zh-CN"/>
        </w:rPr>
        <w:t>于确认日后</w:t>
      </w:r>
      <w:r>
        <w:rPr>
          <w:rFonts w:hint="eastAsia" w:ascii="宋体" w:hAnsi="宋体" w:cs="宋体"/>
          <w:bCs/>
          <w:sz w:val="24"/>
          <w:highlight w:val="none"/>
        </w:rPr>
        <w:t>〖</w:t>
      </w:r>
      <w:r>
        <w:rPr>
          <w:rFonts w:hint="eastAsia" w:ascii="宋体" w:hAnsi="宋体" w:cs="宋体"/>
          <w:bCs/>
          <w:sz w:val="24"/>
          <w:highlight w:val="none"/>
          <w:lang w:val="en-US" w:eastAsia="zh-CN"/>
        </w:rPr>
        <w:t>2</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如连续2日（含）以上开放日发生巨额赎回，对于已经接受的赎回申请，管理人可以延缓支付赎回款项，但延缓期限不得超过20个工作日。</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于到期日后</w:t>
      </w:r>
      <w:r>
        <w:rPr>
          <w:rFonts w:hint="eastAsia" w:ascii="宋体" w:hAnsi="宋体" w:cs="宋体"/>
          <w:bCs/>
          <w:sz w:val="24"/>
          <w:highlight w:val="none"/>
        </w:rPr>
        <w:t>〖</w:t>
      </w:r>
      <w:r>
        <w:rPr>
          <w:rFonts w:hint="eastAsia" w:ascii="宋体" w:hAnsi="宋体" w:cs="宋体"/>
          <w:bCs/>
          <w:sz w:val="24"/>
          <w:highlight w:val="none"/>
          <w:lang w:val="en-US" w:eastAsia="zh-CN"/>
        </w:rPr>
        <w:t>1</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日、最晚</w:t>
      </w:r>
      <w:r>
        <w:rPr>
          <w:rFonts w:hint="eastAsia" w:ascii="宋体" w:hAnsi="宋体" w:cs="宋体"/>
          <w:bCs/>
          <w:sz w:val="24"/>
          <w:highlight w:val="none"/>
          <w:lang w:val="en-US" w:eastAsia="zh-CN"/>
        </w:rPr>
        <w:t>于到期日后</w:t>
      </w:r>
      <w:r>
        <w:rPr>
          <w:rFonts w:hint="eastAsia" w:ascii="宋体" w:hAnsi="宋体" w:cs="宋体"/>
          <w:bCs/>
          <w:sz w:val="24"/>
          <w:highlight w:val="none"/>
        </w:rPr>
        <w:t>〖</w:t>
      </w:r>
      <w:r>
        <w:rPr>
          <w:rFonts w:hint="eastAsia" w:ascii="宋体" w:hAnsi="宋体" w:cs="宋体"/>
          <w:bCs/>
          <w:sz w:val="24"/>
          <w:highlight w:val="none"/>
          <w:lang w:val="en-US" w:eastAsia="zh-CN"/>
        </w:rPr>
        <w:t>3</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bCs/>
          <w:sz w:val="24"/>
          <w:highlight w:val="none"/>
        </w:rPr>
        <w:t>2</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8"/>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8"/>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发行公告：管理人应在理财计划成立日后3个工作日内披露，包括成立日期、募集规模等信息。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p>
    <w:p>
      <w:pPr>
        <w:numPr>
          <w:ilvl w:val="0"/>
          <w:numId w:val="0"/>
        </w:numPr>
        <w:spacing w:line="360" w:lineRule="auto"/>
        <w:ind w:firstLine="0" w:firstLineChars="0"/>
        <w:rPr>
          <w:rFonts w:hint="eastAsia" w:ascii="宋体" w:hAnsi="宋体" w:cs="宋体"/>
          <w:b/>
          <w:sz w:val="24"/>
          <w:highlight w:val="none"/>
          <w:u w:val="none"/>
        </w:rPr>
      </w:pPr>
      <w:r>
        <w:rPr>
          <w:rFonts w:hint="eastAsia" w:ascii="宋体" w:hAnsi="宋体" w:cs="宋体"/>
          <w:bCs/>
          <w:color w:val="000000"/>
          <w:sz w:val="24"/>
          <w:highlight w:val="none"/>
          <w:u w:val="none"/>
          <w:lang w:eastAsia="zh-CN"/>
        </w:rPr>
        <w:t>如本理财计划成立不足</w:t>
      </w:r>
      <w:r>
        <w:rPr>
          <w:rFonts w:hint="eastAsia" w:ascii="宋体" w:hAnsi="宋体" w:cs="宋体"/>
          <w:bCs/>
          <w:color w:val="000000"/>
          <w:sz w:val="24"/>
          <w:highlight w:val="none"/>
          <w:u w:val="none"/>
          <w:lang w:val="en-US" w:eastAsia="zh-CN"/>
        </w:rPr>
        <w:t>90个工作日或剩余存续期不超过90个工作日的，管理人可不编制当期的季度、半年和年度报告等运行报告。</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2"/>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4"/>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firstLine="0" w:firstLineChars="0"/>
        <w:outlineLvl w:val="1"/>
        <w:rPr>
          <w:rFonts w:hint="eastAsia" w:ascii="宋体" w:hAnsi="宋体" w:cs="宋体"/>
          <w:b/>
          <w:kern w:val="0"/>
          <w:sz w:val="24"/>
          <w:highlight w:val="none"/>
        </w:rPr>
      </w:pPr>
      <w:r>
        <w:rPr>
          <w:rFonts w:hint="eastAsia" w:ascii="宋体" w:hAnsi="宋体" w:cs="宋体"/>
          <w:bCs/>
          <w:highlight w:val="none"/>
        </w:rPr>
        <w:t>投资者风险承受能力评级水平以销售机构评估为准。</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bCs/>
          <w:color w:val="auto"/>
          <w:kern w:val="2"/>
          <w:highlight w:val="none"/>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rPr>
        <w:fldChar w:fldCharType="begin"/>
      </w:r>
      <w:r>
        <w:rPr>
          <w:rFonts w:hint="eastAsia" w:ascii="宋体" w:hAnsi="宋体" w:cs="宋体"/>
          <w:bCs/>
          <w:color w:val="auto"/>
          <w:kern w:val="2"/>
          <w:highlight w:val="none"/>
        </w:rPr>
        <w:instrText xml:space="preserve"> HYPERLINK "https://www.hzbankwealth.com.cn" </w:instrText>
      </w:r>
      <w:r>
        <w:rPr>
          <w:rFonts w:hint="eastAsia" w:ascii="宋体" w:hAnsi="宋体" w:cs="宋体"/>
          <w:bCs/>
          <w:color w:val="auto"/>
          <w:kern w:val="2"/>
          <w:highlight w:val="none"/>
        </w:rPr>
        <w:fldChar w:fldCharType="separate"/>
      </w:r>
      <w:r>
        <w:rPr>
          <w:rStyle w:val="14"/>
          <w:rFonts w:hint="eastAsia" w:ascii="宋体" w:hAnsi="宋体" w:cs="宋体"/>
          <w:bCs/>
          <w:kern w:val="2"/>
          <w:highlight w:val="none"/>
        </w:rPr>
        <w:t>https://www.hzbankwealth.com.cn</w:t>
      </w:r>
      <w:r>
        <w:rPr>
          <w:rFonts w:hint="eastAsia" w:ascii="宋体" w:hAnsi="宋体" w:cs="宋体"/>
          <w:bCs/>
          <w:color w:val="auto"/>
          <w:kern w:val="2"/>
          <w:highlight w:val="none"/>
        </w:rPr>
        <w:fldChar w:fldCharType="end"/>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u w:val="single"/>
          <w:lang w:val="en-US" w:eastAsia="zh-CN"/>
        </w:rPr>
        <w:fldChar w:fldCharType="begin"/>
      </w:r>
      <w:r>
        <w:rPr>
          <w:rFonts w:hint="eastAsia" w:ascii="宋体" w:hAnsi="宋体" w:cs="宋体"/>
          <w:kern w:val="0"/>
          <w:sz w:val="24"/>
          <w:highlight w:val="none"/>
          <w:u w:val="single"/>
          <w:lang w:val="en-US" w:eastAsia="zh-CN"/>
        </w:rPr>
        <w:instrText xml:space="preserve"> HYPERLINK "http://www.hzbankwealth.cn" </w:instrText>
      </w:r>
      <w:r>
        <w:rPr>
          <w:rFonts w:hint="eastAsia" w:ascii="宋体" w:hAnsi="宋体" w:cs="宋体"/>
          <w:kern w:val="0"/>
          <w:sz w:val="24"/>
          <w:highlight w:val="none"/>
          <w:u w:val="single"/>
          <w:lang w:val="en-US" w:eastAsia="zh-CN"/>
        </w:rPr>
        <w:fldChar w:fldCharType="separate"/>
      </w:r>
      <w:r>
        <w:rPr>
          <w:rStyle w:val="14"/>
          <w:rFonts w:hint="eastAsia" w:ascii="宋体" w:hAnsi="宋体" w:cs="宋体"/>
          <w:kern w:val="0"/>
          <w:sz w:val="24"/>
          <w:highlight w:val="none"/>
          <w:lang w:val="en-US" w:eastAsia="zh-CN"/>
        </w:rPr>
        <w:t>www.hzbank.com.cn</w:t>
      </w:r>
      <w:r>
        <w:rPr>
          <w:rFonts w:hint="eastAsia" w:ascii="宋体" w:hAnsi="宋体" w:cs="宋体"/>
          <w:kern w:val="0"/>
          <w:sz w:val="24"/>
          <w:highlight w:val="none"/>
          <w:u w:val="singl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1"/>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3"/>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管理人</w:t>
      </w:r>
      <w:r>
        <w:rPr>
          <w:rFonts w:hint="eastAsia" w:ascii="宋体" w:hAnsi="宋体" w:cs="宋体"/>
          <w:bCs/>
          <w:color w:val="000000"/>
          <w:sz w:val="24"/>
          <w:highlight w:val="none"/>
        </w:rPr>
        <w:t>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4"/>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val="en-US"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val="en-US" w:eastAsia="zh-CN"/>
        </w:rPr>
        <w:t>赎回</w:t>
      </w:r>
      <w:r>
        <w:rPr>
          <w:rFonts w:hint="eastAsia" w:ascii="宋体" w:hAnsi="宋体"/>
          <w:sz w:val="24"/>
          <w:highlight w:val="none"/>
        </w:rPr>
        <w:t>日前的理财收益，也不计付存款利息。</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outlineLvl w:val="9"/>
        <w:rPr>
          <w:rFonts w:ascii="宋体" w:hAnsi="宋体" w:cs="宋体"/>
          <w:bCs/>
          <w:color w:val="000000"/>
          <w:sz w:val="24"/>
          <w:highlight w:val="none"/>
        </w:rPr>
      </w:pPr>
      <w:bookmarkStart w:id="0" w:name="_GoBack"/>
    </w:p>
    <w:p>
      <w:pPr>
        <w:spacing w:line="360" w:lineRule="auto"/>
        <w:outlineLvl w:val="9"/>
        <w:rPr>
          <w:rFonts w:ascii="宋体" w:hAnsi="宋体" w:cs="宋体"/>
          <w:bCs/>
          <w:color w:val="000000"/>
          <w:sz w:val="24"/>
          <w:highlight w:val="none"/>
        </w:rPr>
      </w:pPr>
    </w:p>
    <w:p>
      <w:pPr>
        <w:spacing w:line="360" w:lineRule="auto"/>
        <w:outlineLvl w:val="9"/>
        <w:rPr>
          <w:rFonts w:ascii="宋体" w:hAnsi="宋体" w:cs="宋体"/>
          <w:bCs/>
          <w:color w:val="000000"/>
          <w:sz w:val="24"/>
          <w:highlight w:val="none"/>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bookmarkEnd w:id="0"/>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w:t>
      </w:r>
      <w:r>
        <w:rPr>
          <w:rFonts w:hint="eastAsia" w:cs="黑体"/>
          <w:sz w:val="24"/>
          <w:highlight w:val="none"/>
          <w:lang w:val="en-US" w:eastAsia="zh-CN"/>
        </w:rPr>
        <w:t>代理</w:t>
      </w:r>
      <w:r>
        <w:rPr>
          <w:rFonts w:hint="eastAsia" w:ascii="Calibri" w:hAnsi="Calibri" w:eastAsia="宋体" w:cs="黑体"/>
          <w:sz w:val="24"/>
          <w:highlight w:val="none"/>
          <w:lang w:val="en-US" w:eastAsia="zh-CN"/>
        </w:rPr>
        <w:t>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cs="黑体"/>
          <w:b/>
          <w:bCs/>
          <w:sz w:val="24"/>
          <w:highlight w:val="none"/>
          <w:lang w:val="en-US" w:eastAsia="zh-CN"/>
        </w:rPr>
        <w:t>代理</w:t>
      </w:r>
      <w:r>
        <w:rPr>
          <w:rFonts w:hint="eastAsia" w:ascii="宋体" w:hAnsi="宋体" w:eastAsia="宋体" w:cs="黑体"/>
          <w:b/>
          <w:bCs/>
          <w:sz w:val="24"/>
          <w:highlight w:val="none"/>
          <w:lang w:val="en-US" w:eastAsia="zh-CN"/>
        </w:rPr>
        <w:t>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cs="黑体"/>
          <w:sz w:val="24"/>
          <w:highlight w:val="none"/>
          <w:lang w:val="en-US"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cs="黑体"/>
          <w:sz w:val="24"/>
          <w:highlight w:val="none"/>
          <w:lang w:val="en-US"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Inj1Y+wAQAA&#10;TgMAAA4AAAAAAAAAAQAgAAAAHgEAAGRycy9lMm9Eb2MueG1sUEsFBgAAAAAGAAYAWQEAAEAFAAAA&#10;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102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25"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投资需谨慎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493557F"/>
    <w:multiLevelType w:val="singleLevel"/>
    <w:tmpl w:val="8493557F"/>
    <w:lvl w:ilvl="0" w:tentative="0">
      <w:start w:val="2"/>
      <w:numFmt w:val="decimal"/>
      <w:suff w:val="nothing"/>
      <w:lvlText w:val="%1．"/>
      <w:lvlJc w:val="left"/>
      <w:pPr>
        <w:ind w:left="0" w:firstLine="403"/>
      </w:pPr>
      <w:rPr>
        <w:rFonts w:hint="default" w:ascii="宋体" w:hAnsi="宋体" w:eastAsia="宋体" w:cs="宋体"/>
        <w:b w:val="0"/>
        <w:bCs w:val="0"/>
      </w:rPr>
    </w:lvl>
  </w:abstractNum>
  <w:abstractNum w:abstractNumId="3">
    <w:nsid w:val="85460E80"/>
    <w:multiLevelType w:val="singleLevel"/>
    <w:tmpl w:val="85460E80"/>
    <w:lvl w:ilvl="0" w:tentative="0">
      <w:start w:val="1"/>
      <w:numFmt w:val="decimal"/>
      <w:suff w:val="nothing"/>
      <w:lvlText w:val="（%1）"/>
      <w:lvlJc w:val="left"/>
      <w:rPr>
        <w:rFonts w:hint="default"/>
        <w:b w:val="0"/>
        <w:bCs w:val="0"/>
      </w:rPr>
    </w:lvl>
  </w:abstractNum>
  <w:abstractNum w:abstractNumId="4">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5">
    <w:nsid w:val="8906C252"/>
    <w:multiLevelType w:val="singleLevel"/>
    <w:tmpl w:val="8906C252"/>
    <w:lvl w:ilvl="0" w:tentative="0">
      <w:start w:val="1"/>
      <w:numFmt w:val="decimal"/>
      <w:suff w:val="nothing"/>
      <w:lvlText w:val="（%1）"/>
      <w:lvlJc w:val="left"/>
      <w:rPr>
        <w:rFonts w:hint="default"/>
        <w:b w:val="0"/>
        <w:bCs w:val="0"/>
      </w:rPr>
    </w:lvl>
  </w:abstractNum>
  <w:abstractNum w:abstractNumId="6">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7">
    <w:nsid w:val="8CBA9D88"/>
    <w:multiLevelType w:val="singleLevel"/>
    <w:tmpl w:val="8CBA9D88"/>
    <w:lvl w:ilvl="0" w:tentative="0">
      <w:start w:val="1"/>
      <w:numFmt w:val="decimal"/>
      <w:suff w:val="nothing"/>
      <w:lvlText w:val="%1．"/>
      <w:lvlJc w:val="left"/>
      <w:pPr>
        <w:ind w:left="0" w:firstLine="400"/>
      </w:pPr>
      <w:rPr>
        <w:rFonts w:hint="default" w:ascii="宋体" w:hAnsi="宋体" w:eastAsia="宋体" w:cs="宋体"/>
      </w:rPr>
    </w:lvl>
  </w:abstractNum>
  <w:abstractNum w:abstractNumId="8">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9">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10">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1">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2">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3">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4">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5">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6">
    <w:nsid w:val="AC40BB97"/>
    <w:multiLevelType w:val="singleLevel"/>
    <w:tmpl w:val="AC40BB97"/>
    <w:lvl w:ilvl="0" w:tentative="0">
      <w:start w:val="1"/>
      <w:numFmt w:val="chineseCounting"/>
      <w:suff w:val="nothing"/>
      <w:lvlText w:val="%1、"/>
      <w:lvlJc w:val="left"/>
      <w:rPr>
        <w:rFonts w:hint="eastAsia"/>
      </w:rPr>
    </w:lvl>
  </w:abstractNum>
  <w:abstractNum w:abstractNumId="17">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8">
    <w:nsid w:val="B08226EF"/>
    <w:multiLevelType w:val="singleLevel"/>
    <w:tmpl w:val="B08226EF"/>
    <w:lvl w:ilvl="0" w:tentative="0">
      <w:start w:val="1"/>
      <w:numFmt w:val="chineseCounting"/>
      <w:suff w:val="space"/>
      <w:lvlText w:val="第%1条"/>
      <w:lvlJc w:val="left"/>
      <w:rPr>
        <w:rFonts w:hint="eastAsia"/>
      </w:rPr>
    </w:lvl>
  </w:abstractNum>
  <w:abstractNum w:abstractNumId="19">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20">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21">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2">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3">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4">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5">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6">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7">
    <w:nsid w:val="D8D75090"/>
    <w:multiLevelType w:val="singleLevel"/>
    <w:tmpl w:val="D8D75090"/>
    <w:lvl w:ilvl="0" w:tentative="0">
      <w:start w:val="1"/>
      <w:numFmt w:val="decimal"/>
      <w:suff w:val="nothing"/>
      <w:lvlText w:val="（%1）"/>
      <w:lvlJc w:val="left"/>
      <w:rPr>
        <w:rFonts w:hint="default"/>
        <w:b w:val="0"/>
        <w:bCs w:val="0"/>
      </w:rPr>
    </w:lvl>
  </w:abstractNum>
  <w:abstractNum w:abstractNumId="28">
    <w:nsid w:val="DD2251DF"/>
    <w:multiLevelType w:val="singleLevel"/>
    <w:tmpl w:val="DD2251DF"/>
    <w:lvl w:ilvl="0" w:tentative="0">
      <w:start w:val="1"/>
      <w:numFmt w:val="decimal"/>
      <w:suff w:val="nothing"/>
      <w:lvlText w:val="（%1）"/>
      <w:lvlJc w:val="left"/>
      <w:rPr>
        <w:rFonts w:hint="default"/>
        <w:b w:val="0"/>
        <w:bCs w:val="0"/>
      </w:rPr>
    </w:lvl>
  </w:abstractNum>
  <w:abstractNum w:abstractNumId="29">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30">
    <w:nsid w:val="E70DF796"/>
    <w:multiLevelType w:val="singleLevel"/>
    <w:tmpl w:val="E70DF796"/>
    <w:lvl w:ilvl="0" w:tentative="0">
      <w:start w:val="1"/>
      <w:numFmt w:val="decimal"/>
      <w:suff w:val="nothing"/>
      <w:lvlText w:val="（%1）"/>
      <w:lvlJc w:val="left"/>
    </w:lvl>
  </w:abstractNum>
  <w:abstractNum w:abstractNumId="31">
    <w:nsid w:val="EFF37F09"/>
    <w:multiLevelType w:val="singleLevel"/>
    <w:tmpl w:val="EFF37F09"/>
    <w:lvl w:ilvl="0" w:tentative="0">
      <w:start w:val="1"/>
      <w:numFmt w:val="decimal"/>
      <w:suff w:val="nothing"/>
      <w:lvlText w:val="（%1）"/>
      <w:lvlJc w:val="left"/>
      <w:rPr>
        <w:rFonts w:hint="default"/>
        <w:b w:val="0"/>
        <w:bCs w:val="0"/>
      </w:rPr>
    </w:lvl>
  </w:abstractNum>
  <w:abstractNum w:abstractNumId="32">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4">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5">
    <w:nsid w:val="F574F5B6"/>
    <w:multiLevelType w:val="singleLevel"/>
    <w:tmpl w:val="F574F5B6"/>
    <w:lvl w:ilvl="0" w:tentative="0">
      <w:start w:val="1"/>
      <w:numFmt w:val="decimal"/>
      <w:suff w:val="nothing"/>
      <w:lvlText w:val="（%1）"/>
      <w:lvlJc w:val="left"/>
    </w:lvl>
  </w:abstractNum>
  <w:abstractNum w:abstractNumId="36">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7">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8">
    <w:nsid w:val="084A6179"/>
    <w:multiLevelType w:val="singleLevel"/>
    <w:tmpl w:val="084A6179"/>
    <w:lvl w:ilvl="0" w:tentative="0">
      <w:start w:val="1"/>
      <w:numFmt w:val="decimal"/>
      <w:suff w:val="nothing"/>
      <w:lvlText w:val="（%1）"/>
      <w:lvlJc w:val="left"/>
      <w:rPr>
        <w:rFonts w:hint="default"/>
        <w:highlight w:val="none"/>
      </w:rPr>
    </w:lvl>
  </w:abstractNum>
  <w:abstractNum w:abstractNumId="39">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41">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2">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3">
    <w:nsid w:val="167B0BB4"/>
    <w:multiLevelType w:val="singleLevel"/>
    <w:tmpl w:val="167B0BB4"/>
    <w:lvl w:ilvl="0" w:tentative="0">
      <w:start w:val="1"/>
      <w:numFmt w:val="decimal"/>
      <w:suff w:val="nothing"/>
      <w:lvlText w:val="（%1）"/>
      <w:lvlJc w:val="left"/>
    </w:lvl>
  </w:abstractNum>
  <w:abstractNum w:abstractNumId="44">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5">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6">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7">
    <w:nsid w:val="2CB63BE6"/>
    <w:multiLevelType w:val="singleLevel"/>
    <w:tmpl w:val="2CB63BE6"/>
    <w:lvl w:ilvl="0" w:tentative="0">
      <w:start w:val="1"/>
      <w:numFmt w:val="decimal"/>
      <w:suff w:val="nothing"/>
      <w:lvlText w:val="（%1）"/>
      <w:lvlJc w:val="left"/>
      <w:rPr>
        <w:rFonts w:hint="default"/>
        <w:b w:val="0"/>
        <w:bCs w:val="0"/>
      </w:rPr>
    </w:lvl>
  </w:abstractNum>
  <w:abstractNum w:abstractNumId="48">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9">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50">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1">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2">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5">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6">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7">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8">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9">
    <w:nsid w:val="5BA91325"/>
    <w:multiLevelType w:val="singleLevel"/>
    <w:tmpl w:val="5BA91325"/>
    <w:lvl w:ilvl="0" w:tentative="0">
      <w:start w:val="1"/>
      <w:numFmt w:val="decimal"/>
      <w:suff w:val="nothing"/>
      <w:lvlText w:val="（%1）"/>
      <w:lvlJc w:val="left"/>
    </w:lvl>
  </w:abstractNum>
  <w:abstractNum w:abstractNumId="60">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2">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3">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4">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5">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6">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7">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8">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69">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7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0">
    <w:nsid w:val="61F30F62"/>
    <w:multiLevelType w:val="singleLevel"/>
    <w:tmpl w:val="61F30F62"/>
    <w:lvl w:ilvl="0" w:tentative="0">
      <w:start w:val="1"/>
      <w:numFmt w:val="decimal"/>
      <w:suff w:val="nothing"/>
      <w:lvlText w:val="（%1）"/>
      <w:lvlJc w:val="left"/>
      <w:rPr>
        <w:rFonts w:hint="default"/>
        <w:b w:val="0"/>
        <w:bCs w:val="0"/>
      </w:rPr>
    </w:lvl>
  </w:abstractNum>
  <w:abstractNum w:abstractNumId="81">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2">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3">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6"/>
  </w:num>
  <w:num w:numId="2">
    <w:abstractNumId w:val="1"/>
  </w:num>
  <w:num w:numId="3">
    <w:abstractNumId w:val="52"/>
  </w:num>
  <w:num w:numId="4">
    <w:abstractNumId w:val="45"/>
  </w:num>
  <w:num w:numId="5">
    <w:abstractNumId w:val="23"/>
  </w:num>
  <w:num w:numId="6">
    <w:abstractNumId w:val="82"/>
  </w:num>
  <w:num w:numId="7">
    <w:abstractNumId w:val="39"/>
  </w:num>
  <w:num w:numId="8">
    <w:abstractNumId w:val="83"/>
  </w:num>
  <w:num w:numId="9">
    <w:abstractNumId w:val="57"/>
  </w:num>
  <w:num w:numId="10">
    <w:abstractNumId w:val="54"/>
  </w:num>
  <w:num w:numId="11">
    <w:abstractNumId w:val="36"/>
  </w:num>
  <w:num w:numId="12">
    <w:abstractNumId w:val="33"/>
  </w:num>
  <w:num w:numId="13">
    <w:abstractNumId w:val="41"/>
  </w:num>
  <w:num w:numId="14">
    <w:abstractNumId w:val="32"/>
  </w:num>
  <w:num w:numId="15">
    <w:abstractNumId w:val="24"/>
  </w:num>
  <w:num w:numId="16">
    <w:abstractNumId w:val="13"/>
  </w:num>
  <w:num w:numId="17">
    <w:abstractNumId w:val="20"/>
  </w:num>
  <w:num w:numId="18">
    <w:abstractNumId w:val="10"/>
  </w:num>
  <w:num w:numId="19">
    <w:abstractNumId w:val="11"/>
  </w:num>
  <w:num w:numId="20">
    <w:abstractNumId w:val="9"/>
  </w:num>
  <w:num w:numId="21">
    <w:abstractNumId w:val="40"/>
  </w:num>
  <w:num w:numId="22">
    <w:abstractNumId w:val="7"/>
  </w:num>
  <w:num w:numId="23">
    <w:abstractNumId w:val="2"/>
  </w:num>
  <w:num w:numId="24">
    <w:abstractNumId w:val="53"/>
  </w:num>
  <w:num w:numId="25">
    <w:abstractNumId w:val="35"/>
  </w:num>
  <w:num w:numId="26">
    <w:abstractNumId w:val="59"/>
  </w:num>
  <w:num w:numId="27">
    <w:abstractNumId w:val="22"/>
  </w:num>
  <w:num w:numId="28">
    <w:abstractNumId w:val="46"/>
  </w:num>
  <w:num w:numId="29">
    <w:abstractNumId w:val="26"/>
  </w:num>
  <w:num w:numId="30">
    <w:abstractNumId w:val="8"/>
  </w:num>
  <w:num w:numId="31">
    <w:abstractNumId w:val="56"/>
  </w:num>
  <w:num w:numId="32">
    <w:abstractNumId w:val="6"/>
  </w:num>
  <w:num w:numId="33">
    <w:abstractNumId w:val="38"/>
  </w:num>
  <w:num w:numId="34">
    <w:abstractNumId w:val="44"/>
  </w:num>
  <w:num w:numId="35">
    <w:abstractNumId w:val="81"/>
  </w:num>
  <w:num w:numId="36">
    <w:abstractNumId w:val="37"/>
  </w:num>
  <w:num w:numId="37">
    <w:abstractNumId w:val="25"/>
  </w:num>
  <w:num w:numId="38">
    <w:abstractNumId w:val="48"/>
  </w:num>
  <w:num w:numId="39">
    <w:abstractNumId w:val="0"/>
  </w:num>
  <w:num w:numId="40">
    <w:abstractNumId w:val="28"/>
  </w:num>
  <w:num w:numId="41">
    <w:abstractNumId w:val="51"/>
  </w:num>
  <w:num w:numId="42">
    <w:abstractNumId w:val="4"/>
  </w:num>
  <w:num w:numId="43">
    <w:abstractNumId w:val="29"/>
  </w:num>
  <w:num w:numId="44">
    <w:abstractNumId w:val="19"/>
  </w:num>
  <w:num w:numId="45">
    <w:abstractNumId w:val="55"/>
  </w:num>
  <w:num w:numId="46">
    <w:abstractNumId w:val="42"/>
  </w:num>
  <w:num w:numId="47">
    <w:abstractNumId w:val="21"/>
  </w:num>
  <w:num w:numId="48">
    <w:abstractNumId w:val="34"/>
  </w:num>
  <w:num w:numId="49">
    <w:abstractNumId w:val="30"/>
  </w:num>
  <w:num w:numId="50">
    <w:abstractNumId w:val="31"/>
  </w:num>
  <w:num w:numId="51">
    <w:abstractNumId w:val="80"/>
  </w:num>
  <w:num w:numId="52">
    <w:abstractNumId w:val="47"/>
  </w:num>
  <w:num w:numId="53">
    <w:abstractNumId w:val="3"/>
  </w:num>
  <w:num w:numId="54">
    <w:abstractNumId w:val="58"/>
  </w:num>
  <w:num w:numId="55">
    <w:abstractNumId w:val="14"/>
  </w:num>
  <w:num w:numId="56">
    <w:abstractNumId w:val="12"/>
  </w:num>
  <w:num w:numId="57">
    <w:abstractNumId w:val="15"/>
  </w:num>
  <w:num w:numId="58">
    <w:abstractNumId w:val="43"/>
  </w:num>
  <w:num w:numId="59">
    <w:abstractNumId w:val="27"/>
  </w:num>
  <w:num w:numId="60">
    <w:abstractNumId w:val="5"/>
  </w:num>
  <w:num w:numId="61">
    <w:abstractNumId w:val="50"/>
  </w:num>
  <w:num w:numId="62">
    <w:abstractNumId w:val="67"/>
  </w:num>
  <w:num w:numId="63">
    <w:abstractNumId w:val="66"/>
  </w:num>
  <w:num w:numId="64">
    <w:abstractNumId w:val="68"/>
  </w:num>
  <w:num w:numId="65">
    <w:abstractNumId w:val="69"/>
  </w:num>
  <w:num w:numId="66">
    <w:abstractNumId w:val="70"/>
  </w:num>
  <w:num w:numId="67">
    <w:abstractNumId w:val="71"/>
  </w:num>
  <w:num w:numId="68">
    <w:abstractNumId w:val="72"/>
  </w:num>
  <w:num w:numId="69">
    <w:abstractNumId w:val="73"/>
  </w:num>
  <w:num w:numId="70">
    <w:abstractNumId w:val="49"/>
  </w:num>
  <w:num w:numId="71">
    <w:abstractNumId w:val="18"/>
  </w:num>
  <w:num w:numId="72">
    <w:abstractNumId w:val="60"/>
  </w:num>
  <w:num w:numId="73">
    <w:abstractNumId w:val="61"/>
  </w:num>
  <w:num w:numId="74">
    <w:abstractNumId w:val="62"/>
  </w:num>
  <w:num w:numId="75">
    <w:abstractNumId w:val="63"/>
  </w:num>
  <w:num w:numId="76">
    <w:abstractNumId w:val="64"/>
  </w:num>
  <w:num w:numId="77">
    <w:abstractNumId w:val="65"/>
  </w:num>
  <w:num w:numId="78">
    <w:abstractNumId w:val="74"/>
  </w:num>
  <w:num w:numId="79">
    <w:abstractNumId w:val="75"/>
  </w:num>
  <w:num w:numId="80">
    <w:abstractNumId w:val="17"/>
  </w:num>
  <w:num w:numId="81">
    <w:abstractNumId w:val="76"/>
  </w:num>
  <w:num w:numId="82">
    <w:abstractNumId w:val="77"/>
  </w:num>
  <w:num w:numId="83">
    <w:abstractNumId w:val="78"/>
  </w:num>
  <w:num w:numId="84">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6514C4"/>
    <w:rsid w:val="01364432"/>
    <w:rsid w:val="01523B8E"/>
    <w:rsid w:val="01D8103B"/>
    <w:rsid w:val="01E60817"/>
    <w:rsid w:val="048D7DCA"/>
    <w:rsid w:val="056351CB"/>
    <w:rsid w:val="05E05E4D"/>
    <w:rsid w:val="06420CFA"/>
    <w:rsid w:val="06503B59"/>
    <w:rsid w:val="06B41B03"/>
    <w:rsid w:val="0752555A"/>
    <w:rsid w:val="07E45984"/>
    <w:rsid w:val="07EA622A"/>
    <w:rsid w:val="0828699A"/>
    <w:rsid w:val="08A1555E"/>
    <w:rsid w:val="092751AA"/>
    <w:rsid w:val="097E3F67"/>
    <w:rsid w:val="09C935B6"/>
    <w:rsid w:val="0A1347F5"/>
    <w:rsid w:val="0A356725"/>
    <w:rsid w:val="0B23316E"/>
    <w:rsid w:val="0B8702FD"/>
    <w:rsid w:val="0B8E27E3"/>
    <w:rsid w:val="0BA57DD5"/>
    <w:rsid w:val="0BF71AE2"/>
    <w:rsid w:val="0CA6603D"/>
    <w:rsid w:val="0CBF33B1"/>
    <w:rsid w:val="0CE71B9E"/>
    <w:rsid w:val="0D0B1B00"/>
    <w:rsid w:val="0DFD2C7C"/>
    <w:rsid w:val="0E4A4B6F"/>
    <w:rsid w:val="0E9832B7"/>
    <w:rsid w:val="0EF65480"/>
    <w:rsid w:val="0F6C2854"/>
    <w:rsid w:val="0F8A2CEB"/>
    <w:rsid w:val="100203D3"/>
    <w:rsid w:val="103E6557"/>
    <w:rsid w:val="10E7087B"/>
    <w:rsid w:val="11A27183"/>
    <w:rsid w:val="11BA058F"/>
    <w:rsid w:val="12081858"/>
    <w:rsid w:val="120E16FE"/>
    <w:rsid w:val="12B62B3B"/>
    <w:rsid w:val="12D90F42"/>
    <w:rsid w:val="13031153"/>
    <w:rsid w:val="13181417"/>
    <w:rsid w:val="1370341C"/>
    <w:rsid w:val="13953152"/>
    <w:rsid w:val="13AE5996"/>
    <w:rsid w:val="14C57FED"/>
    <w:rsid w:val="150C5665"/>
    <w:rsid w:val="15992F9A"/>
    <w:rsid w:val="15C56302"/>
    <w:rsid w:val="160940BB"/>
    <w:rsid w:val="1659752C"/>
    <w:rsid w:val="16CA0C22"/>
    <w:rsid w:val="16E43A7F"/>
    <w:rsid w:val="17864B39"/>
    <w:rsid w:val="17FA3952"/>
    <w:rsid w:val="185A3DA1"/>
    <w:rsid w:val="189E168F"/>
    <w:rsid w:val="198C4B50"/>
    <w:rsid w:val="19F13F4F"/>
    <w:rsid w:val="1A102675"/>
    <w:rsid w:val="1AD33A8F"/>
    <w:rsid w:val="1B280245"/>
    <w:rsid w:val="1BBE4697"/>
    <w:rsid w:val="1BC22C82"/>
    <w:rsid w:val="1C8E339B"/>
    <w:rsid w:val="1CDC4E2A"/>
    <w:rsid w:val="1CE35114"/>
    <w:rsid w:val="1D1B5B71"/>
    <w:rsid w:val="1D1B6540"/>
    <w:rsid w:val="1D5459CA"/>
    <w:rsid w:val="1D552DD9"/>
    <w:rsid w:val="1DAB6D83"/>
    <w:rsid w:val="1E1527F4"/>
    <w:rsid w:val="1E3173A3"/>
    <w:rsid w:val="1F0F5A19"/>
    <w:rsid w:val="1F1D6E1F"/>
    <w:rsid w:val="1F3E7F7D"/>
    <w:rsid w:val="1F51312D"/>
    <w:rsid w:val="1FC9553A"/>
    <w:rsid w:val="204D3B12"/>
    <w:rsid w:val="20593F35"/>
    <w:rsid w:val="205A2AB3"/>
    <w:rsid w:val="20B6224D"/>
    <w:rsid w:val="21025026"/>
    <w:rsid w:val="227045E4"/>
    <w:rsid w:val="22A04AF7"/>
    <w:rsid w:val="22D3594B"/>
    <w:rsid w:val="22DA7182"/>
    <w:rsid w:val="22F12819"/>
    <w:rsid w:val="233F0924"/>
    <w:rsid w:val="23451A70"/>
    <w:rsid w:val="23753F06"/>
    <w:rsid w:val="237D4A1C"/>
    <w:rsid w:val="238E1AAE"/>
    <w:rsid w:val="23CF6CCF"/>
    <w:rsid w:val="2483647E"/>
    <w:rsid w:val="256F076F"/>
    <w:rsid w:val="25DE5381"/>
    <w:rsid w:val="26820AF7"/>
    <w:rsid w:val="273A2105"/>
    <w:rsid w:val="27A236CD"/>
    <w:rsid w:val="281432FA"/>
    <w:rsid w:val="29BA058F"/>
    <w:rsid w:val="29BB33A7"/>
    <w:rsid w:val="2A1B5D68"/>
    <w:rsid w:val="2A5975B6"/>
    <w:rsid w:val="2A991D32"/>
    <w:rsid w:val="2AB92324"/>
    <w:rsid w:val="2AC3651E"/>
    <w:rsid w:val="2AD6555A"/>
    <w:rsid w:val="2BD46A9C"/>
    <w:rsid w:val="2C1B1E9D"/>
    <w:rsid w:val="2C28643F"/>
    <w:rsid w:val="2CAB68C5"/>
    <w:rsid w:val="2D303B49"/>
    <w:rsid w:val="2DFA6966"/>
    <w:rsid w:val="2E910D38"/>
    <w:rsid w:val="2EBC6D03"/>
    <w:rsid w:val="2F3A7B82"/>
    <w:rsid w:val="2FD32A37"/>
    <w:rsid w:val="302C1AF4"/>
    <w:rsid w:val="30551FFC"/>
    <w:rsid w:val="30690F5C"/>
    <w:rsid w:val="30D31961"/>
    <w:rsid w:val="30FD36E3"/>
    <w:rsid w:val="311F702A"/>
    <w:rsid w:val="3177134F"/>
    <w:rsid w:val="31A82883"/>
    <w:rsid w:val="320E3E15"/>
    <w:rsid w:val="32770B1E"/>
    <w:rsid w:val="32821910"/>
    <w:rsid w:val="329743A8"/>
    <w:rsid w:val="32C937E9"/>
    <w:rsid w:val="333B487F"/>
    <w:rsid w:val="33833CD5"/>
    <w:rsid w:val="339502CA"/>
    <w:rsid w:val="342F66F0"/>
    <w:rsid w:val="345B62A5"/>
    <w:rsid w:val="3480359E"/>
    <w:rsid w:val="34BE4ED5"/>
    <w:rsid w:val="353A76E3"/>
    <w:rsid w:val="35476F5E"/>
    <w:rsid w:val="35745B9A"/>
    <w:rsid w:val="35862DD5"/>
    <w:rsid w:val="36631FD8"/>
    <w:rsid w:val="36E72D9B"/>
    <w:rsid w:val="371103D7"/>
    <w:rsid w:val="374829BA"/>
    <w:rsid w:val="37CA172C"/>
    <w:rsid w:val="38224FD0"/>
    <w:rsid w:val="385505E4"/>
    <w:rsid w:val="39094FF7"/>
    <w:rsid w:val="39461E8D"/>
    <w:rsid w:val="3A3E2041"/>
    <w:rsid w:val="3B077108"/>
    <w:rsid w:val="3B131EF6"/>
    <w:rsid w:val="3B490D86"/>
    <w:rsid w:val="3B8D6BA5"/>
    <w:rsid w:val="3C2F2290"/>
    <w:rsid w:val="3C635E14"/>
    <w:rsid w:val="3D6B43DA"/>
    <w:rsid w:val="3EAD1B36"/>
    <w:rsid w:val="3EDB57BA"/>
    <w:rsid w:val="3F056B9E"/>
    <w:rsid w:val="3F354A62"/>
    <w:rsid w:val="406370BC"/>
    <w:rsid w:val="40FB7670"/>
    <w:rsid w:val="41B30AFD"/>
    <w:rsid w:val="423C06E2"/>
    <w:rsid w:val="42815397"/>
    <w:rsid w:val="42C94634"/>
    <w:rsid w:val="4309649B"/>
    <w:rsid w:val="4356095A"/>
    <w:rsid w:val="43EE5E80"/>
    <w:rsid w:val="450D2DC0"/>
    <w:rsid w:val="45540446"/>
    <w:rsid w:val="45BB5620"/>
    <w:rsid w:val="45E71A33"/>
    <w:rsid w:val="45F127ED"/>
    <w:rsid w:val="4674141B"/>
    <w:rsid w:val="46CD66A0"/>
    <w:rsid w:val="46F82DED"/>
    <w:rsid w:val="472803B7"/>
    <w:rsid w:val="47850646"/>
    <w:rsid w:val="481B4E7B"/>
    <w:rsid w:val="486F656B"/>
    <w:rsid w:val="487D0651"/>
    <w:rsid w:val="488B59A4"/>
    <w:rsid w:val="48962E2C"/>
    <w:rsid w:val="48F83E16"/>
    <w:rsid w:val="494502E1"/>
    <w:rsid w:val="49ED3C35"/>
    <w:rsid w:val="4A405BF6"/>
    <w:rsid w:val="4A7F0ADF"/>
    <w:rsid w:val="4B0D3113"/>
    <w:rsid w:val="4B2F56F4"/>
    <w:rsid w:val="4C29108D"/>
    <w:rsid w:val="4C6B0DDA"/>
    <w:rsid w:val="4C6E1306"/>
    <w:rsid w:val="4DDA4860"/>
    <w:rsid w:val="4E186164"/>
    <w:rsid w:val="4E2F1033"/>
    <w:rsid w:val="4E8274B0"/>
    <w:rsid w:val="4EFC1B31"/>
    <w:rsid w:val="4FF363B3"/>
    <w:rsid w:val="50B73634"/>
    <w:rsid w:val="51504FE6"/>
    <w:rsid w:val="52C66301"/>
    <w:rsid w:val="540A7D17"/>
    <w:rsid w:val="54E91D9C"/>
    <w:rsid w:val="5540500D"/>
    <w:rsid w:val="55A92CF5"/>
    <w:rsid w:val="55E056D8"/>
    <w:rsid w:val="562F08DB"/>
    <w:rsid w:val="56D52E08"/>
    <w:rsid w:val="57252C25"/>
    <w:rsid w:val="57B94BA2"/>
    <w:rsid w:val="57BB6218"/>
    <w:rsid w:val="57FF3AAA"/>
    <w:rsid w:val="58DD2EEE"/>
    <w:rsid w:val="58E96C7A"/>
    <w:rsid w:val="593C6C2A"/>
    <w:rsid w:val="59573977"/>
    <w:rsid w:val="59AD3C67"/>
    <w:rsid w:val="59F95365"/>
    <w:rsid w:val="5AF7537D"/>
    <w:rsid w:val="5B0D630F"/>
    <w:rsid w:val="5B1367B9"/>
    <w:rsid w:val="5B6B608E"/>
    <w:rsid w:val="5D160516"/>
    <w:rsid w:val="5D8F25A0"/>
    <w:rsid w:val="5DA13F4A"/>
    <w:rsid w:val="5DB61BFF"/>
    <w:rsid w:val="5DEF454B"/>
    <w:rsid w:val="5DF26B07"/>
    <w:rsid w:val="5E35342E"/>
    <w:rsid w:val="5E5A6C63"/>
    <w:rsid w:val="5F1116E8"/>
    <w:rsid w:val="5F3C6712"/>
    <w:rsid w:val="5F4B58F3"/>
    <w:rsid w:val="606C7275"/>
    <w:rsid w:val="60A47029"/>
    <w:rsid w:val="60AB2000"/>
    <w:rsid w:val="60AD3AC2"/>
    <w:rsid w:val="61D85325"/>
    <w:rsid w:val="62860AAA"/>
    <w:rsid w:val="62885FA4"/>
    <w:rsid w:val="629D5796"/>
    <w:rsid w:val="630E7FE6"/>
    <w:rsid w:val="64954D64"/>
    <w:rsid w:val="66FF60CC"/>
    <w:rsid w:val="671E2162"/>
    <w:rsid w:val="67A02E05"/>
    <w:rsid w:val="67BE72F0"/>
    <w:rsid w:val="68D8721E"/>
    <w:rsid w:val="68E25A14"/>
    <w:rsid w:val="691056DB"/>
    <w:rsid w:val="695A49BA"/>
    <w:rsid w:val="69BF6670"/>
    <w:rsid w:val="6AF535D5"/>
    <w:rsid w:val="6B610D05"/>
    <w:rsid w:val="6BAC21D5"/>
    <w:rsid w:val="6C184007"/>
    <w:rsid w:val="6CED1CB3"/>
    <w:rsid w:val="6D3B42C3"/>
    <w:rsid w:val="6D62391E"/>
    <w:rsid w:val="6D865277"/>
    <w:rsid w:val="6DF71DF2"/>
    <w:rsid w:val="6E0B5972"/>
    <w:rsid w:val="6E51251F"/>
    <w:rsid w:val="6E7E575F"/>
    <w:rsid w:val="6EF15941"/>
    <w:rsid w:val="6EFC3973"/>
    <w:rsid w:val="6F9921A1"/>
    <w:rsid w:val="71B02467"/>
    <w:rsid w:val="727E507A"/>
    <w:rsid w:val="730C5849"/>
    <w:rsid w:val="73396EC2"/>
    <w:rsid w:val="73407EBD"/>
    <w:rsid w:val="73835D66"/>
    <w:rsid w:val="738D1DD9"/>
    <w:rsid w:val="73EF4563"/>
    <w:rsid w:val="74175679"/>
    <w:rsid w:val="744124AA"/>
    <w:rsid w:val="745A6083"/>
    <w:rsid w:val="74664F47"/>
    <w:rsid w:val="75313062"/>
    <w:rsid w:val="75977087"/>
    <w:rsid w:val="75A871AE"/>
    <w:rsid w:val="77523D71"/>
    <w:rsid w:val="77E0572E"/>
    <w:rsid w:val="78EF4372"/>
    <w:rsid w:val="79385012"/>
    <w:rsid w:val="79642F4A"/>
    <w:rsid w:val="79771B00"/>
    <w:rsid w:val="798F6426"/>
    <w:rsid w:val="7A6D7156"/>
    <w:rsid w:val="7A917304"/>
    <w:rsid w:val="7ACA272A"/>
    <w:rsid w:val="7AE86DBD"/>
    <w:rsid w:val="7B996067"/>
    <w:rsid w:val="7C1E0CFC"/>
    <w:rsid w:val="7CBF6012"/>
    <w:rsid w:val="7D7373E8"/>
    <w:rsid w:val="7D7862F0"/>
    <w:rsid w:val="7DB00FDC"/>
    <w:rsid w:val="7DC671DD"/>
    <w:rsid w:val="7DD1709E"/>
    <w:rsid w:val="7DD5513F"/>
    <w:rsid w:val="7E6F339A"/>
    <w:rsid w:val="7E8655E6"/>
    <w:rsid w:val="7EAC2F5C"/>
    <w:rsid w:val="7F590A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4"/>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2"/>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1"/>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5">
    <w:name w:val="annotation text"/>
    <w:basedOn w:val="1"/>
    <w:link w:val="20"/>
    <w:qFormat/>
    <w:uiPriority w:val="0"/>
    <w:pPr>
      <w:jc w:val="left"/>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styleId="10">
    <w:name w:val="annotation subject"/>
    <w:basedOn w:val="5"/>
    <w:next w:val="5"/>
    <w:link w:val="23"/>
    <w:qFormat/>
    <w:uiPriority w:val="0"/>
    <w:rPr>
      <w:b/>
      <w:bCs/>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qFormat/>
    <w:uiPriority w:val="0"/>
    <w:rPr>
      <w:sz w:val="21"/>
      <w:szCs w:val="21"/>
    </w:rPr>
  </w:style>
  <w:style w:type="paragraph" w:customStyle="1" w:styleId="16">
    <w:name w:val="样式1"/>
    <w:basedOn w:val="1"/>
    <w:next w:val="1"/>
    <w:qFormat/>
    <w:uiPriority w:val="0"/>
    <w:pPr>
      <w:keepNext/>
      <w:keepLines/>
      <w:spacing w:before="340" w:beforeLines="0" w:after="330" w:afterLines="0" w:line="576" w:lineRule="auto"/>
      <w:outlineLvl w:val="0"/>
    </w:pPr>
    <w:rPr>
      <w:rFonts w:hint="eastAsia"/>
      <w:b/>
      <w:kern w:val="44"/>
      <w:sz w:val="44"/>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8">
    <w:name w:val="List Paragraph"/>
    <w:basedOn w:val="1"/>
    <w:unhideWhenUsed/>
    <w:qFormat/>
    <w:uiPriority w:val="99"/>
    <w:pPr>
      <w:ind w:firstLine="420" w:firstLineChars="200"/>
    </w:pPr>
  </w:style>
  <w:style w:type="character" w:customStyle="1" w:styleId="19">
    <w:name w:val="批注框文本 Char"/>
    <w:link w:val="6"/>
    <w:qFormat/>
    <w:uiPriority w:val="0"/>
    <w:rPr>
      <w:rFonts w:ascii="Calibri" w:hAnsi="Calibri" w:cs="黑体"/>
      <w:kern w:val="2"/>
      <w:sz w:val="18"/>
      <w:szCs w:val="18"/>
    </w:rPr>
  </w:style>
  <w:style w:type="character" w:customStyle="1" w:styleId="20">
    <w:name w:val="批注文字 Char"/>
    <w:link w:val="5"/>
    <w:qFormat/>
    <w:uiPriority w:val="0"/>
    <w:rPr>
      <w:rFonts w:ascii="Calibri" w:hAnsi="Calibri" w:cs="黑体"/>
      <w:kern w:val="2"/>
      <w:sz w:val="21"/>
      <w:szCs w:val="24"/>
    </w:rPr>
  </w:style>
  <w:style w:type="character" w:customStyle="1" w:styleId="21">
    <w:name w:val="标题 3 Char"/>
    <w:link w:val="4"/>
    <w:qFormat/>
    <w:uiPriority w:val="0"/>
    <w:rPr>
      <w:rFonts w:hAnsi="Calibri" w:eastAsia="宋体"/>
      <w:b/>
      <w:sz w:val="24"/>
    </w:rPr>
  </w:style>
  <w:style w:type="character" w:customStyle="1" w:styleId="22">
    <w:name w:val="标题 2 Char"/>
    <w:link w:val="3"/>
    <w:qFormat/>
    <w:uiPriority w:val="0"/>
    <w:rPr>
      <w:rFonts w:ascii="Arial" w:hAnsi="Arial" w:eastAsia="宋体"/>
      <w:b/>
      <w:sz w:val="24"/>
    </w:rPr>
  </w:style>
  <w:style w:type="character" w:customStyle="1" w:styleId="23">
    <w:name w:val="批注主题 Char"/>
    <w:link w:val="10"/>
    <w:qFormat/>
    <w:uiPriority w:val="0"/>
    <w:rPr>
      <w:rFonts w:ascii="Calibri" w:hAnsi="Calibri" w:cs="黑体"/>
      <w:b/>
      <w:bCs/>
      <w:kern w:val="2"/>
      <w:sz w:val="21"/>
      <w:szCs w:val="24"/>
    </w:rPr>
  </w:style>
  <w:style w:type="character" w:customStyle="1" w:styleId="24">
    <w:name w:val="标题 1 Char"/>
    <w:link w:val="2"/>
    <w:qFormat/>
    <w:uiPriority w:val="0"/>
    <w:rPr>
      <w:rFonts w:eastAsia="宋体"/>
      <w:b/>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34696</Words>
  <Characters>36452</Characters>
  <Lines>210</Lines>
  <Paragraphs>59</Paragraphs>
  <TotalTime>0</TotalTime>
  <ScaleCrop>false</ScaleCrop>
  <LinksUpToDate>false</LinksUpToDate>
  <CharactersWithSpaces>36683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hccb</cp:lastModifiedBy>
  <dcterms:modified xsi:type="dcterms:W3CDTF">2024-12-16T00:51:18Z</dcterms:modified>
  <dc:title>杭银理财幸福99XXXX理财计划合同</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