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50" w:afterAutospacing="0" w:line="840" w:lineRule="atLeast"/>
        <w:ind w:left="0" w:right="0" w:firstLine="0"/>
        <w:jc w:val="center"/>
        <w:rPr>
          <w:rFonts w:hint="eastAsia" w:ascii="华文中宋" w:hAnsi="华文中宋" w:eastAsia="华文中宋" w:cs="华文中宋"/>
          <w:i w:val="0"/>
          <w:caps w:val="0"/>
          <w:color w:val="464545"/>
          <w:spacing w:val="0"/>
          <w:sz w:val="28"/>
          <w:szCs w:val="28"/>
        </w:rPr>
      </w:pP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</w:rPr>
        <w:t>杭银理财幸福99添益</w:t>
      </w: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  <w:lang w:val="en-US" w:eastAsia="zh-CN"/>
        </w:rPr>
        <w:t>安享优选</w:t>
      </w: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  <w:lang w:val="en-US" w:eastAsia="zh-CN"/>
        </w:rPr>
        <w:t>7天持有</w:t>
      </w: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</w:rPr>
        <w:t>期理财</w:t>
      </w: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  <w:lang w:val="en-US" w:eastAsia="zh-CN"/>
        </w:rPr>
        <w:t>合同</w:t>
      </w: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</w:rPr>
        <w:t>调整公告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8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6454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尊敬的投资者：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83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为满足投资者理财需求，更好地为投资者提供服务，杭银理财幸福99添益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安享优选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7天持有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期理财（产品代码：TYG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C7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D2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）将于202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提高产品规模上限至500亿元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详情可阅读产品合同文件。</w:t>
      </w:r>
    </w:p>
    <w:tbl>
      <w:tblPr>
        <w:tblStyle w:val="4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3270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4" w:type="dxa"/>
            <w:shd w:val="clear" w:color="auto" w:fill="CFCECE" w:themeFill="background2" w:themeFillShade="E5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83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要素名称</w:t>
            </w:r>
          </w:p>
        </w:tc>
        <w:tc>
          <w:tcPr>
            <w:tcW w:w="3270" w:type="dxa"/>
            <w:shd w:val="clear" w:color="auto" w:fill="CFCECE" w:themeFill="background2" w:themeFillShade="E5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83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367" w:type="dxa"/>
            <w:shd w:val="clear" w:color="auto" w:fill="CFCECE" w:themeFill="background2" w:themeFillShade="E5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83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83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发行规模上限</w:t>
            </w:r>
          </w:p>
        </w:tc>
        <w:tc>
          <w:tcPr>
            <w:tcW w:w="32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83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A、B、C、E、F、G、T、Z份额合计：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〗亿元</w:t>
            </w:r>
          </w:p>
        </w:tc>
        <w:tc>
          <w:tcPr>
            <w:tcW w:w="336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83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A、B、C、E、F、G、T、Z份额合计：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〗亿元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83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83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46454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若您不同意本次调整，请及时于开放期内申请赎回。感谢您一直以来对杭银理财的支持，敬请继续关注杭银理财的理财产品。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83" w:lineRule="atLeast"/>
        <w:ind w:left="0" w:right="0" w:firstLine="480"/>
        <w:jc w:val="right"/>
        <w:rPr>
          <w:rFonts w:ascii="微软雅黑" w:hAnsi="微软雅黑" w:eastAsia="微软雅黑" w:cs="微软雅黑"/>
          <w:i w:val="0"/>
          <w:caps w:val="0"/>
          <w:color w:val="46454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杭银理财有限责任公司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83" w:lineRule="atLeast"/>
        <w:ind w:left="0" w:right="0" w:firstLine="480"/>
        <w:jc w:val="right"/>
        <w:rPr>
          <w:rFonts w:hint="default" w:ascii="微软雅黑" w:hAnsi="微软雅黑" w:eastAsia="宋体" w:cs="微软雅黑"/>
          <w:i w:val="0"/>
          <w:caps w:val="0"/>
          <w:color w:val="464545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          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64A20"/>
    <w:rsid w:val="12AF0C59"/>
    <w:rsid w:val="15814BBB"/>
    <w:rsid w:val="1C184804"/>
    <w:rsid w:val="23DD4284"/>
    <w:rsid w:val="2B2F50F2"/>
    <w:rsid w:val="2D7F220E"/>
    <w:rsid w:val="32E96508"/>
    <w:rsid w:val="3BF63BA3"/>
    <w:rsid w:val="3C812785"/>
    <w:rsid w:val="3F0E6215"/>
    <w:rsid w:val="486D4B35"/>
    <w:rsid w:val="50920D33"/>
    <w:rsid w:val="519D56D5"/>
    <w:rsid w:val="55005D96"/>
    <w:rsid w:val="58004ACC"/>
    <w:rsid w:val="58A515DE"/>
    <w:rsid w:val="64A5359E"/>
    <w:rsid w:val="6E665ACE"/>
    <w:rsid w:val="7306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2023-05-06T08:58:00Z</dcterms:created>
  <dc:creator>hccb</dc:creator>
  <cp:lastModifiedBy>高玉锦</cp:lastModifiedBy>
  <dcterms:modified xsi:type="dcterms:W3CDTF">2024-11-26T08:41:13Z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