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季添益1912期</w:t>
      </w:r>
      <w:r>
        <w:rPr>
          <w:rFonts w:ascii="微软雅黑" w:eastAsia="微软雅黑" w:hAnsi="微软雅黑" w:cs="微软雅黑"/>
          <w:b/>
          <w:color w:val="004EA2"/>
          <w:sz w:val="27"/>
        </w:rPr>
        <w:t>（</w:t>
      </w:r>
      <w:r>
        <w:rPr>
          <w:rFonts w:ascii="微软雅黑" w:eastAsia="微软雅黑" w:hAnsi="微软雅黑" w:cs="微软雅黑"/>
          <w:b/>
          <w:color w:val="004EA2"/>
          <w:sz w:val="27"/>
        </w:rPr>
        <w:t>TYG3M1912</w:t>
      </w:r>
      <w:r>
        <w:rPr>
          <w:rFonts w:ascii="微软雅黑" w:eastAsia="微软雅黑" w:hAnsi="微软雅黑" w:cs="微软雅黑"/>
          <w:b/>
          <w:color w:val="004EA2"/>
          <w:sz w:val="27"/>
        </w:rPr>
        <w:t>）</w:t>
      </w:r>
    </w:p>
    <w:p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业绩比较基准及开放期公告</w:t>
      </w:r>
    </w:p>
    <w:p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</w:p>
    <w:p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尊敬的投资者：</w:t>
      </w:r>
    </w:p>
    <w:p>
      <w:pPr>
        <w:widowControl/>
        <w:tabs>
          <w:tab w:val="left" w:pos="2930"/>
        </w:tabs>
        <w:spacing w:before="100" w:beforeAutospacing="1" w:after="100" w:afterAutospacing="1" w:line="360" w:lineRule="auto"/>
        <w:ind w:firstLine="42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根据市场情况及产品投资的资产组合收益变动情况，</w:t>
      </w:r>
      <w:r>
        <w:rPr>
          <w:rFonts w:ascii="宋体" w:eastAsia="宋体" w:hAnsi="宋体" w:cs="宋体"/>
          <w:color w:val="333333"/>
          <w:sz w:val="24"/>
        </w:rPr>
        <w:t>季添益1912期</w:t>
      </w:r>
      <w:r>
        <w:rPr>
          <w:rFonts w:ascii="宋体" w:eastAsia="宋体" w:hAnsi="宋体" w:cs="宋体"/>
          <w:color w:val="333333"/>
          <w:sz w:val="24"/>
        </w:rPr>
        <w:t>（产品编号：</w:t>
      </w:r>
      <w:r>
        <w:rPr>
          <w:rFonts w:ascii="宋体" w:eastAsia="宋体" w:hAnsi="宋体" w:cs="宋体"/>
          <w:color w:val="333333"/>
          <w:sz w:val="24"/>
        </w:rPr>
        <w:t>TYG3M1912</w:t>
      </w:r>
      <w:r>
        <w:rPr>
          <w:rFonts w:ascii="宋体" w:eastAsia="宋体" w:hAnsi="宋体" w:cs="宋体"/>
          <w:color w:val="333333"/>
          <w:sz w:val="24"/>
        </w:rPr>
        <w:t>）下一运行周期（</w:t>
      </w:r>
      <w:r>
        <w:rPr>
          <w:rFonts w:ascii="宋体" w:eastAsia="宋体" w:hAnsi="宋体" w:cs="宋体"/>
          <w:color w:val="333333"/>
          <w:sz w:val="24"/>
        </w:rPr>
        <w:t>2024-9-11</w:t>
      </w:r>
      <w:r>
        <w:rPr>
          <w:rFonts w:ascii="宋体" w:eastAsia="宋体" w:hAnsi="宋体" w:cs="宋体"/>
          <w:color w:val="333333"/>
          <w:sz w:val="24"/>
        </w:rPr>
        <w:t>至</w:t>
      </w:r>
      <w:r>
        <w:rPr>
          <w:rFonts w:ascii="宋体" w:eastAsia="宋体" w:hAnsi="宋体" w:cs="宋体"/>
          <w:color w:val="333333"/>
          <w:sz w:val="24"/>
        </w:rPr>
        <w:t>2024-12-17</w:t>
      </w:r>
      <w:r>
        <w:rPr>
          <w:rFonts w:ascii="宋体" w:eastAsia="宋体" w:hAnsi="宋体" w:cs="宋体"/>
          <w:color w:val="333333"/>
          <w:sz w:val="24"/>
        </w:rPr>
        <w:t>）的业绩比较基准如下：</w:t>
      </w:r>
    </w:p>
    <w:tbl>
      <w:tblPr>
        <w:tblStyle w:val="TableGrid"/>
        <w:tblW w:w="851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8"/>
        <w:gridCol w:w="4258"/>
      </w:tblGrid>
      <w:tr>
        <w:tblPrEx>
          <w:tblW w:w="8516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销售代码</w:t>
            </w:r>
          </w:p>
        </w:tc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业绩比较基准</w:t>
            </w:r>
          </w:p>
        </w:tc>
      </w:tr>
      <w:tr>
        <w:tblPrEx>
          <w:tblW w:w="851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TYG3M1912</w:t>
            </w:r>
          </w:p>
        </w:tc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2.30%-3.50%</w:t>
            </w:r>
          </w:p>
        </w:tc>
      </w:tr>
    </w:tbl>
    <w:p>
      <w:pPr>
        <w:widowControl/>
        <w:tabs>
          <w:tab w:val="left" w:pos="2930"/>
        </w:tabs>
        <w:spacing w:before="100" w:beforeAutospacing="1" w:after="100" w:afterAutospacing="1" w:line="360" w:lineRule="auto"/>
        <w:ind w:firstLine="42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58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141"/>
        <w:gridCol w:w="2016"/>
        <w:gridCol w:w="1897"/>
      </w:tblGrid>
      <w:tr>
        <w:tblPrEx>
          <w:tblW w:w="8580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/>
        </w:trPr>
        <w:tc>
          <w:tcPr>
            <w:tcW w:w="152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序号</w:t>
            </w:r>
          </w:p>
        </w:tc>
        <w:tc>
          <w:tcPr>
            <w:tcW w:w="3141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201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97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>
        <w:tblPrEx>
          <w:tblW w:w="858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/>
        </w:trPr>
        <w:tc>
          <w:tcPr>
            <w:tcW w:w="152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本周期</w:t>
            </w:r>
          </w:p>
        </w:tc>
        <w:tc>
          <w:tcPr>
            <w:tcW w:w="3141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2024-9-4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2024-9-10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201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2024-9-11</w:t>
            </w:r>
          </w:p>
        </w:tc>
        <w:tc>
          <w:tcPr>
            <w:tcW w:w="1897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>
        <w:tblPrEx>
          <w:tblW w:w="858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/>
        </w:trPr>
        <w:tc>
          <w:tcPr>
            <w:tcW w:w="152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下一周期</w:t>
            </w:r>
          </w:p>
        </w:tc>
        <w:tc>
          <w:tcPr>
            <w:tcW w:w="3141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2024-12-11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2024-12-17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201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2024-12-18</w:t>
            </w:r>
          </w:p>
        </w:tc>
        <w:tc>
          <w:tcPr>
            <w:tcW w:w="1897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line="360" w:lineRule="auto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注：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本理财计划业绩比较基准由管理人根据投资范围及投资策略，结合市场环境因素进行测算而得出。业绩比较基准是管理人基于理财计划收益风险特征、投资策略、过往经验等因素对理财计划业绩设定的投资目标，不代表理财计划的未来表现和实际收益，也不构成对理财计划收益的承诺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eastAsiaTheme="minorEastAsia" w:cs="宋体" w:hint="default"/>
          <w:kern w:val="0"/>
          <w:szCs w:val="21"/>
          <w:lang w:val="en-US" w:eastAsia="zh-CN"/>
        </w:rPr>
      </w:pPr>
      <w:r>
        <w:rPr>
          <w:rFonts w:ascii="宋体" w:hAnsi="宋体" w:cs="宋体" w:hint="eastAsia"/>
          <w:kern w:val="0"/>
          <w:szCs w:val="21"/>
          <w:lang w:val="en-US" w:eastAsia="zh-CN"/>
        </w:rPr>
        <w:t>如法定节假日调整，管理人将对公告中的日期做出相应调整，以管理人最新公告为准。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  <w:lang w:val="en-US" w:eastAsia="zh-CN"/>
        </w:rPr>
        <w:t>开放时间具体安排以销售机构规定为准。</w:t>
      </w:r>
      <w:bookmarkStart w:id="0" w:name="_GoBack"/>
      <w:bookmarkEnd w:id="0"/>
    </w:p>
    <w:p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ascii="微软雅黑" w:hAnsi="微软雅黑" w:cs="宋体" w:hint="eastAsia"/>
          <w:color w:val="333333"/>
          <w:kern w:val="0"/>
          <w:sz w:val="24"/>
        </w:rPr>
        <w:t>                         杭银理财有限责任公司</w:t>
      </w:r>
    </w:p>
    <w:p>
      <w:pPr>
        <w:widowControl/>
        <w:jc w:val="right"/>
      </w:pPr>
      <w:r>
        <w:rPr>
          <w:rFonts w:ascii="宋体" w:hAnsi="宋体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宋体" w:eastAsia="宋体" w:hAnsi="宋体" w:cs="宋体"/>
          <w:color w:val="333333"/>
          <w:sz w:val="24"/>
        </w:rPr>
        <w:t>2024年8月26日</w:t>
      </w:r>
    </w:p>
    <w:sectPr>
      <w:headerReference w:type="default" r:id="rId5"/>
      <w:pgSz w:w="11906" w:h="16838"/>
      <w:pgMar w:top="2551" w:right="1803" w:bottom="2551" w:left="1803" w:header="851" w:footer="992" w:gutter="0"/>
      <w:cols w:num="1" w:space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C1AA571"/>
    <w:multiLevelType w:val="singleLevel"/>
    <w:tmpl w:val="7C1AA57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 w:qFormat="1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未定义</cp:lastModifiedBy>
  <cp:revision>10</cp:revision>
  <dcterms:created xsi:type="dcterms:W3CDTF">2022-08-17T14:47:00Z</dcterms:created>
  <dcterms:modified xsi:type="dcterms:W3CDTF">2023-12-21T02:03:36Z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