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outlineLvl w:val="0"/>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添益(安享优选)14天持有期理财</w:t>
      </w:r>
      <w:r>
        <w:rPr>
          <w:rFonts w:hint="eastAsia" w:ascii="宋体" w:hAnsi="宋体" w:eastAsia="宋体" w:cs="宋体"/>
          <w:b/>
          <w:bCs/>
          <w:sz w:val="44"/>
          <w:szCs w:val="44"/>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杭银理财幸福99添益(安享优选)14天持有期理财产品说明书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outlineLvl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val="en-US" w:eastAsia="zh-CN"/>
        </w:rPr>
        <w:t>添益(安享优选)14天持有期理财</w:t>
      </w:r>
      <w:r>
        <w:rPr>
          <w:rFonts w:hint="eastAsia" w:ascii="宋体" w:hAnsi="宋体" w:eastAsia="宋体" w:cs="宋体"/>
          <w:b/>
          <w:highlight w:val="none"/>
        </w:rPr>
        <w:t>风险揭示书</w:t>
      </w:r>
    </w:p>
    <w:p>
      <w:pPr>
        <w:jc w:val="center"/>
        <w:outlineLvl w:val="1"/>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outlineLvl w:val="2"/>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val="en-US"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2"/>
        <w:rPr>
          <w:rFonts w:hint="eastAsia"/>
          <w:highlight w:val="none"/>
        </w:rPr>
      </w:pPr>
      <w:r>
        <w:rPr>
          <w:rFonts w:hint="eastAsia"/>
          <w:highlight w:val="none"/>
        </w:rPr>
        <w:t>理财计划共性风险</w:t>
      </w:r>
    </w:p>
    <w:p>
      <w:pPr>
        <w:pStyle w:val="4"/>
        <w:numPr>
          <w:ilvl w:val="0"/>
          <w:numId w:val="2"/>
        </w:numPr>
        <w:bidi w:val="0"/>
        <w:ind w:firstLine="482" w:firstLineChars="200"/>
        <w:outlineLvl w:val="9"/>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outlineLvl w:val="9"/>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outlineLvl w:val="9"/>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outlineLvl w:val="9"/>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outlineLvl w:val="9"/>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outlineLvl w:val="9"/>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outlineLvl w:val="9"/>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outlineLvl w:val="9"/>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outlineLvl w:val="9"/>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9"/>
        <w:rPr>
          <w:rFonts w:hint="eastAsia" w:ascii="Calibri" w:hAnsi="Calibri" w:eastAsia="宋体" w:cs="黑体"/>
          <w:b/>
          <w:kern w:val="2"/>
          <w:sz w:val="24"/>
          <w:szCs w:val="24"/>
          <w:highlight w:val="none"/>
          <w:lang w:val="en-US" w:eastAsia="zh-CN" w:bidi="ar-SA"/>
        </w:rPr>
      </w:pPr>
      <w:r>
        <w:rPr>
          <w:rStyle w:val="21"/>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outlineLvl w:val="9"/>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9"/>
        <w:rPr>
          <w:rFonts w:ascii="宋体" w:hAnsi="宋体" w:cs="宋体"/>
          <w:b/>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为杭州银行股份有限公司，杭银理财系杭州银行全资子公司，双方存在关联关系。杭州银行作为本理财</w:t>
      </w:r>
      <w:r>
        <w:rPr>
          <w:rFonts w:hint="eastAsia" w:ascii="宋体" w:hAnsi="宋体" w:cs="宋体"/>
          <w:b/>
          <w:sz w:val="24"/>
          <w:highlight w:val="none"/>
          <w:lang w:eastAsia="zh-CN"/>
        </w:rPr>
        <w:t>计划</w:t>
      </w:r>
      <w:r>
        <w:rPr>
          <w:rFonts w:ascii="宋体" w:hAnsi="宋体" w:cs="宋体"/>
          <w:b/>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sz w:val="24"/>
          <w:highlight w:val="none"/>
          <w:lang w:eastAsia="zh-CN"/>
        </w:rPr>
        <w:t>理财计划</w:t>
      </w:r>
      <w:r>
        <w:rPr>
          <w:rFonts w:ascii="宋体" w:hAnsi="宋体" w:cs="宋体"/>
          <w:b/>
          <w:sz w:val="24"/>
          <w:highlight w:val="none"/>
        </w:rPr>
        <w:t>收益，不承担</w:t>
      </w:r>
      <w:r>
        <w:rPr>
          <w:rFonts w:hint="eastAsia" w:ascii="宋体" w:hAnsi="宋体" w:cs="宋体"/>
          <w:b/>
          <w:sz w:val="24"/>
          <w:highlight w:val="none"/>
          <w:lang w:eastAsia="zh-CN"/>
        </w:rPr>
        <w:t>理财计划</w:t>
      </w:r>
      <w:r>
        <w:rPr>
          <w:rFonts w:ascii="宋体" w:hAnsi="宋体" w:cs="宋体"/>
          <w:b/>
          <w:sz w:val="24"/>
          <w:highlight w:val="none"/>
        </w:rPr>
        <w:t>的投资、兑付和风险管理责任。</w:t>
      </w:r>
    </w:p>
    <w:p>
      <w:pPr>
        <w:numPr>
          <w:ilvl w:val="0"/>
          <w:numId w:val="1"/>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资金流动性风险：本理财计划认购/申购份额确认后，投资者需持有份额一定期限后才能申请赎回，期间不得提前赎回。</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未知价风险：产品以产品申购和赎回确认时的单位净值，按照“金额申购、份额赎回”的原则计算投资者申购份额和赎回资金，产品净值可能会有波动</w:t>
      </w:r>
      <w:r>
        <w:rPr>
          <w:rFonts w:hint="eastAsia" w:ascii="宋体" w:hAnsi="宋体" w:cs="宋体"/>
          <w:b/>
          <w:sz w:val="24"/>
          <w:highlight w:val="none"/>
          <w:lang w:eastAsia="zh-CN"/>
        </w:rPr>
        <w:t>。</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9"/>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9"/>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9"/>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lang w:eastAsia="zh-CN"/>
        </w:rPr>
        <w:t>无固定期限</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w:t>
      </w:r>
      <w:r>
        <w:rPr>
          <w:rFonts w:hint="eastAsia" w:ascii="宋体" w:hAnsi="宋体" w:cs="宋体"/>
          <w:b/>
          <w:sz w:val="24"/>
          <w:highlight w:val="none"/>
          <w:lang w:eastAsia="zh-CN"/>
        </w:rPr>
        <w:t>较</w:t>
      </w:r>
      <w:r>
        <w:rPr>
          <w:rFonts w:hint="eastAsia" w:ascii="宋体" w:hAnsi="宋体" w:cs="宋体"/>
          <w:b/>
          <w:sz w:val="24"/>
          <w:highlight w:val="none"/>
          <w:lang w:val="en-US" w:eastAsia="zh-CN"/>
        </w:rPr>
        <w:t>低</w:t>
      </w:r>
      <w:r>
        <w:rPr>
          <w:rFonts w:hint="eastAsia" w:ascii="宋体" w:hAnsi="宋体" w:cs="宋体"/>
          <w:b/>
          <w:sz w:val="24"/>
          <w:highlight w:val="none"/>
        </w:rPr>
        <w:t>，收益波动</w:t>
      </w:r>
      <w:r>
        <w:rPr>
          <w:rFonts w:hint="eastAsia" w:ascii="宋体" w:hAnsi="宋体" w:cs="宋体"/>
          <w:b/>
          <w:sz w:val="24"/>
          <w:highlight w:val="none"/>
          <w:lang w:eastAsia="zh-CN"/>
        </w:rPr>
        <w:t>较</w:t>
      </w:r>
      <w:r>
        <w:rPr>
          <w:rFonts w:hint="eastAsia" w:ascii="宋体" w:hAnsi="宋体" w:cs="宋体"/>
          <w:b/>
          <w:sz w:val="24"/>
          <w:highlight w:val="none"/>
          <w:lang w:val="en-US" w:eastAsia="zh-CN"/>
        </w:rPr>
        <w:t>小</w:t>
      </w:r>
      <w:r>
        <w:rPr>
          <w:rFonts w:hint="eastAsia" w:ascii="宋体" w:hAnsi="宋体" w:cs="宋体"/>
          <w:b/>
          <w:sz w:val="24"/>
          <w:highlight w:val="none"/>
        </w:rPr>
        <w:t>，</w:t>
      </w:r>
      <w:r>
        <w:rPr>
          <w:rFonts w:hint="eastAsia" w:ascii="宋体" w:hAnsi="宋体" w:cs="宋体"/>
          <w:b/>
          <w:sz w:val="24"/>
          <w:highlight w:val="none"/>
          <w:lang w:eastAsia="zh-CN"/>
        </w:rPr>
        <w:t>虽然存在一些可能对产品本金和收益安全产生不利影响的因素，但</w:t>
      </w:r>
      <w:r>
        <w:rPr>
          <w:rFonts w:hint="eastAsia" w:ascii="宋体" w:hAnsi="宋体" w:cs="宋体"/>
          <w:b/>
          <w:sz w:val="24"/>
          <w:highlight w:val="none"/>
        </w:rPr>
        <w:t>产品本金</w:t>
      </w:r>
      <w:r>
        <w:rPr>
          <w:rFonts w:hint="eastAsia" w:ascii="宋体" w:hAnsi="宋体" w:cs="宋体"/>
          <w:b/>
          <w:sz w:val="24"/>
          <w:highlight w:val="none"/>
          <w:lang w:eastAsia="zh-CN"/>
        </w:rPr>
        <w:t>出现损失的可能性较小</w:t>
      </w:r>
      <w:r>
        <w:rPr>
          <w:rFonts w:hint="eastAsia" w:ascii="宋体" w:hAnsi="宋体" w:cs="宋体"/>
          <w:b/>
          <w:sz w:val="24"/>
          <w:highlight w:val="none"/>
        </w:rPr>
        <w:t>〗。</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w:t>
      </w:r>
      <w:r>
        <w:rPr>
          <w:rFonts w:hint="eastAsia" w:ascii="宋体" w:hAnsi="宋体" w:cs="宋体"/>
          <w:b/>
          <w:sz w:val="24"/>
          <w:highlight w:val="none"/>
          <w:lang w:eastAsia="zh-CN"/>
        </w:rPr>
        <w:t>、</w:t>
      </w:r>
      <w:r>
        <w:rPr>
          <w:rFonts w:hint="eastAsia" w:ascii="宋体" w:hAnsi="宋体" w:cs="宋体"/>
          <w:b/>
          <w:sz w:val="24"/>
          <w:highlight w:val="none"/>
        </w:rPr>
        <w:t>平衡型、成长型、进取型〗的个人投资者，个人投资者的风险承受能力评估以销售机构为准。</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ind w:firstLine="480" w:firstLineChars="200"/>
        <w:jc w:val="right"/>
        <w:rPr>
          <w:rFonts w:hint="eastAsia" w:ascii="宋体" w:hAnsi="宋体" w:cs="宋体"/>
          <w:b/>
          <w:color w:val="auto"/>
          <w:highlight w:val="none"/>
        </w:rPr>
      </w:pPr>
      <w:r>
        <w:rPr>
          <w:rFonts w:hint="eastAsia" w:ascii="宋体" w:hAnsi="宋体" w:cs="宋体"/>
          <w:bCs/>
          <w:sz w:val="24"/>
          <w:highlight w:val="none"/>
        </w:rPr>
        <w:t>风险提示方：杭银理财有限责任公司</w:t>
      </w:r>
    </w:p>
    <w:p>
      <w:pPr>
        <w:pStyle w:val="17"/>
        <w:spacing w:line="360" w:lineRule="auto"/>
        <w:ind w:firstLine="482" w:firstLineChars="200"/>
        <w:jc w:val="center"/>
        <w:outlineLvl w:val="2"/>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7"/>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7"/>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7"/>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482" w:firstLineChars="200"/>
        <w:jc w:val="center"/>
        <w:rPr>
          <w:rFonts w:hint="eastAsia" w:ascii="宋体" w:hAnsi="宋体" w:eastAsia="宋体" w:cs="宋体"/>
          <w:b/>
          <w:bCs/>
          <w:color w:val="auto"/>
          <w:highlight w:val="none"/>
          <w:u w:val="none"/>
        </w:rPr>
      </w:pPr>
    </w:p>
    <w:p>
      <w:pPr>
        <w:pStyle w:val="17"/>
        <w:spacing w:line="360" w:lineRule="auto"/>
        <w:ind w:firstLine="0" w:firstLineChars="0"/>
        <w:jc w:val="both"/>
        <w:rPr>
          <w:rFonts w:hint="eastAsia" w:ascii="宋体" w:hAnsi="宋体" w:eastAsia="宋体" w:cs="宋体"/>
          <w:b/>
          <w:bCs/>
          <w:color w:val="auto"/>
          <w:highlight w:val="none"/>
          <w:u w:val="none"/>
        </w:rPr>
      </w:pPr>
    </w:p>
    <w:p>
      <w:pPr>
        <w:pStyle w:val="17"/>
        <w:spacing w:line="360" w:lineRule="auto"/>
        <w:ind w:firstLine="482" w:firstLineChars="200"/>
        <w:jc w:val="center"/>
        <w:outlineLvl w:val="2"/>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br w:type="page"/>
      </w:r>
      <w:r>
        <w:rPr>
          <w:rFonts w:hint="eastAsia" w:ascii="宋体" w:hAnsi="宋体" w:eastAsia="宋体" w:cs="宋体"/>
          <w:b/>
          <w:bCs/>
          <w:color w:val="auto"/>
          <w:highlight w:val="none"/>
          <w:u w:val="none"/>
        </w:rPr>
        <w:t>投资者确认栏（机构投资者）</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7"/>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7"/>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7"/>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val="en-US" w:eastAsia="zh-CN"/>
        </w:rPr>
        <w:t>添益(安享优选)14天持有期理财</w:t>
      </w:r>
      <w:r>
        <w:rPr>
          <w:rFonts w:hint="eastAsia" w:ascii="宋体" w:hAnsi="宋体" w:cs="宋体"/>
          <w:b/>
          <w:bCs/>
          <w:sz w:val="44"/>
          <w:szCs w:val="44"/>
          <w:highlight w:val="none"/>
        </w:rPr>
        <w:t>产品说明书</w:t>
      </w:r>
    </w:p>
    <w:p>
      <w:pPr>
        <w:jc w:val="center"/>
        <w:outlineLvl w:val="1"/>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〖Z7002224000023〗</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9"/>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https://www.hzbankwealth.com.cn</w:t>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指银行业金融机构或者国务院银行业监督管理机构认可的其他机构，可代为办理理财产品销售业务。</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val="en-US"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99添益(安享优选)14天持有期理财合同不可分割组成部分的理财计划销售协议书，以及对该文件的有效修改与补充。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添益(安享优选)14天持有期理财</w:t>
      </w:r>
      <w:r>
        <w:rPr>
          <w:rFonts w:hint="eastAsia" w:ascii="宋体" w:hAnsi="宋体" w:cs="宋体"/>
          <w:bCs/>
          <w:highlight w:val="none"/>
        </w:rPr>
        <w:t>。</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持有期：</w:t>
      </w:r>
      <w:r>
        <w:rPr>
          <w:rFonts w:hint="eastAsia" w:ascii="宋体" w:hAnsi="宋体" w:cs="宋体"/>
          <w:bCs/>
          <w:color w:val="auto"/>
          <w:kern w:val="2"/>
          <w:highlight w:val="none"/>
        </w:rPr>
        <w:t>指投资者认购</w:t>
      </w:r>
      <w:r>
        <w:rPr>
          <w:rFonts w:hint="eastAsia" w:ascii="宋体" w:hAnsi="宋体" w:cs="宋体"/>
          <w:bCs/>
          <w:color w:val="auto"/>
          <w:kern w:val="2"/>
          <w:highlight w:val="none"/>
          <w:lang w:val="en-US" w:eastAsia="zh-CN"/>
        </w:rPr>
        <w:t>或</w:t>
      </w:r>
      <w:r>
        <w:rPr>
          <w:rFonts w:hint="eastAsia" w:ascii="宋体" w:hAnsi="宋体" w:cs="宋体"/>
          <w:bCs/>
          <w:color w:val="auto"/>
          <w:kern w:val="2"/>
          <w:highlight w:val="none"/>
        </w:rPr>
        <w:t>申购份额后，需持有固定期限后才可进行赎回。</w:t>
      </w:r>
    </w:p>
    <w:p>
      <w:pPr>
        <w:pStyle w:val="17"/>
        <w:numPr>
          <w:ilvl w:val="0"/>
          <w:numId w:val="15"/>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 w:val="0"/>
                <w:bCs/>
                <w:color w:val="auto"/>
                <w:kern w:val="2"/>
                <w:highlight w:val="none"/>
              </w:rPr>
            </w:pPr>
            <w:r>
              <w:rPr>
                <w:rFonts w:hint="eastAsia" w:ascii="宋体" w:hAnsi="宋体" w:cs="宋体"/>
                <w:b w:val="0"/>
                <w:bCs/>
                <w:color w:val="auto"/>
                <w:kern w:val="2"/>
                <w:highlight w:val="none"/>
              </w:rPr>
              <w:t>平衡型</w:t>
            </w:r>
            <w:r>
              <w:rPr>
                <w:rFonts w:hint="eastAsia" w:ascii="宋体" w:hAnsi="宋体" w:cs="宋体"/>
                <w:b w:val="0"/>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添益(安享优选)14天持有期理财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添益(安享优选)14天持有期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TYGC14D2404</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本理财计划在全国银行业理财信息登记系统的登记编码是〖Z7002224000023〗，投资者可依据该编码在“中国理财网（www.chinawealth.com.cn）”查询本理财计划信息。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color w:val="000000"/>
                <w:sz w:val="21"/>
                <w:szCs w:val="21"/>
                <w:highlight w:val="none"/>
                <w:lang w:val="en-US" w:eastAsia="zh-CN"/>
              </w:rPr>
              <w:t>稳健型、</w:t>
            </w:r>
            <w:r>
              <w:rPr>
                <w:rFonts w:hint="eastAsia" w:ascii="宋体" w:hAnsi="宋体" w:cs="宋体"/>
                <w:b/>
                <w:color w:val="000000"/>
                <w:sz w:val="21"/>
                <w:szCs w:val="21"/>
                <w:highlight w:val="none"/>
              </w:rPr>
              <w:t>平衡型、成长型、进取型〗的个人投资者。</w:t>
            </w:r>
            <w:r>
              <w:rPr>
                <w:rFonts w:hint="eastAsia" w:ascii="宋体" w:hAnsi="宋体" w:cs="宋体"/>
                <w:bCs w:val="0"/>
                <w:color w:val="000000"/>
                <w:sz w:val="21"/>
                <w:szCs w:val="21"/>
                <w:highlight w:val="none"/>
              </w:rPr>
              <w:t>投资者风险承受能力评级水平以销售机构评估为准</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eastAsia="zh-CN"/>
              </w:rPr>
            </w:pPr>
            <w:r>
              <w:rPr>
                <w:rFonts w:hint="eastAsia" w:ascii="宋体" w:hAnsi="宋体" w:cs="宋体"/>
                <w:b w:val="0"/>
                <w:bCs/>
                <w:color w:val="000000"/>
                <w:sz w:val="21"/>
                <w:szCs w:val="21"/>
                <w:highlight w:val="none"/>
                <w:lang w:eastAsia="zh-CN"/>
              </w:rPr>
              <w:t>其中：</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A份额（销售代码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TYGC14D2404B</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D</w:t>
            </w:r>
            <w:r>
              <w:rPr>
                <w:rFonts w:hint="eastAsia" w:ascii="宋体" w:hAnsi="宋体" w:cs="宋体"/>
                <w:b w:val="0"/>
                <w:bCs/>
                <w:color w:val="000000"/>
                <w:sz w:val="21"/>
                <w:szCs w:val="21"/>
                <w:highlight w:val="none"/>
                <w:lang w:val="en-US" w:eastAsia="zh-CN"/>
              </w:rPr>
              <w:t>份额（销售代码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TYGC14D2404D</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p>
            <w:pPr>
              <w:widowControl/>
              <w:spacing w:line="360" w:lineRule="auto"/>
              <w:contextualSpacing/>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E份额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TYGC14D2404E</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特邀投资者</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eastAsia="zh-CN"/>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rPr>
            </w:pPr>
            <w:r>
              <w:rPr>
                <w:rFonts w:hint="eastAsia" w:ascii="宋体" w:hAnsi="宋体" w:cs="宋体"/>
                <w:color w:val="000000"/>
                <w:sz w:val="21"/>
                <w:szCs w:val="21"/>
                <w:highlight w:val="none"/>
              </w:rPr>
              <w:t>可通过杭银理财直销渠道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 w:val="21"/>
                <w:szCs w:val="21"/>
                <w:highlight w:val="none"/>
              </w:rPr>
              <w:t>销售机构的〖营业网点、网上银行、手机银行〗等渠道购买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2024</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12</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封闭期</w:t>
            </w:r>
          </w:p>
        </w:tc>
        <w:tc>
          <w:tcPr>
            <w:tcW w:w="7185" w:type="dxa"/>
            <w:noWrap w:val="0"/>
            <w:vAlign w:val="center"/>
          </w:tcPr>
          <w:p>
            <w:pPr>
              <w:widowControl/>
              <w:spacing w:line="360" w:lineRule="auto"/>
              <w:contextualSpacing/>
              <w:rPr>
                <w:rFonts w:hint="eastAsia" w:ascii="宋体" w:hAnsi="宋体" w:eastAsia="宋体" w:cs="宋体"/>
                <w:sz w:val="21"/>
                <w:szCs w:val="21"/>
                <w:highlight w:val="none"/>
                <w:lang w:eastAsia="zh-CN"/>
              </w:rPr>
            </w:pPr>
            <w:r>
              <w:rPr>
                <w:rFonts w:hint="eastAsia" w:ascii="宋体" w:hAnsi="宋体" w:cs="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color w:val="000000"/>
                <w:sz w:val="21"/>
                <w:szCs w:val="21"/>
                <w:highlight w:val="none"/>
                <w:lang w:val="en-US" w:eastAsia="zh-CN"/>
              </w:rPr>
              <w:t>A、B、C、D份额：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kern w:val="0"/>
                <w:sz w:val="21"/>
                <w:szCs w:val="21"/>
                <w:highlight w:val="none"/>
              </w:rPr>
              <w:br w:type="textWrapping"/>
            </w:r>
            <w:r>
              <w:rPr>
                <w:rFonts w:hint="eastAsia" w:ascii="宋体" w:hAnsi="宋体" w:cs="宋体"/>
                <w:color w:val="000000"/>
                <w:kern w:val="0"/>
                <w:sz w:val="21"/>
                <w:szCs w:val="21"/>
                <w:highlight w:val="none"/>
                <w:lang w:val="en-US" w:eastAsia="zh-CN"/>
              </w:rPr>
              <w:t>E份额：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500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color w:val="000000"/>
                <w:sz w:val="21"/>
                <w:szCs w:val="21"/>
                <w:highlight w:val="none"/>
                <w:lang w:val="en-US" w:eastAsia="zh-CN"/>
              </w:rPr>
              <w:t>的</w:t>
            </w:r>
            <w:r>
              <w:rPr>
                <w:rFonts w:hint="eastAsia" w:ascii="宋体" w:hAnsi="宋体" w:cs="宋体"/>
                <w:color w:val="000000"/>
                <w:sz w:val="21"/>
                <w:szCs w:val="21"/>
                <w:highlight w:val="none"/>
              </w:rPr>
              <w:t>开放期为〖封闭期后的每个交易日〗。如遇特殊情况，则以管理人公告为准。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持有期</w:t>
            </w:r>
          </w:p>
        </w:tc>
        <w:tc>
          <w:tcPr>
            <w:tcW w:w="7185" w:type="dxa"/>
            <w:noWrap w:val="0"/>
            <w:vAlign w:val="center"/>
          </w:tcPr>
          <w:p>
            <w:pPr>
              <w:widowControl/>
              <w:spacing w:line="360" w:lineRule="auto"/>
              <w:contextualSpacing/>
              <w:jc w:val="left"/>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rPr>
              <w:t>本理财计划的持有期为</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，投资者认购/申购份额确认成功后，每一笔份额需自产品成立日（含）/确认日（含）起最低持有满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后方可按规则申请赎回。如投资者多次购买产品，其中持有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及以上的份额，可申请赎回；持有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14</w:t>
            </w:r>
            <w:r>
              <w:rPr>
                <w:rFonts w:hint="eastAsia" w:ascii="宋体" w:hAnsi="宋体" w:cs="宋体"/>
                <w:color w:val="000000"/>
                <w:sz w:val="21"/>
                <w:szCs w:val="21"/>
                <w:highlight w:val="none"/>
                <w:lang w:eastAsia="zh-CN"/>
              </w:rPr>
              <w:t>〗天</w:t>
            </w:r>
            <w:r>
              <w:rPr>
                <w:rFonts w:hint="eastAsia" w:ascii="宋体" w:hAnsi="宋体" w:cs="宋体"/>
                <w:color w:val="000000"/>
                <w:sz w:val="21"/>
                <w:szCs w:val="21"/>
                <w:highlight w:val="none"/>
              </w:rPr>
              <w:t>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1.本理财计划在每个开放期的工作时间均可进行申购</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，申购申请将在申购确认日，即</w:t>
            </w:r>
            <w:r>
              <w:rPr>
                <w:rFonts w:hint="eastAsia" w:ascii="宋体" w:hAnsi="宋体" w:cs="宋体"/>
                <w:color w:val="000000"/>
                <w:sz w:val="21"/>
                <w:szCs w:val="21"/>
                <w:highlight w:val="none"/>
                <w:lang w:val="en-US" w:eastAsia="zh-CN"/>
              </w:rPr>
              <w:t>申购申请日后</w:t>
            </w:r>
            <w:r>
              <w:rPr>
                <w:rFonts w:hint="eastAsia" w:ascii="宋体" w:hAnsi="宋体" w:cs="宋体"/>
                <w:color w:val="000000"/>
                <w:sz w:val="21"/>
                <w:szCs w:val="21"/>
                <w:highlight w:val="none"/>
              </w:rPr>
              <w:t>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2.满足最低持有期后</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本理财计划在每个开放期的工作时间均可进行赎回</w:t>
            </w:r>
            <w:r>
              <w:rPr>
                <w:rFonts w:hint="eastAsia" w:ascii="宋体" w:hAnsi="宋体" w:cs="宋体"/>
                <w:color w:val="000000"/>
                <w:sz w:val="21"/>
                <w:szCs w:val="21"/>
                <w:highlight w:val="none"/>
                <w:lang w:val="en-US" w:eastAsia="zh-CN"/>
              </w:rPr>
              <w:t>和撤单</w:t>
            </w:r>
            <w:r>
              <w:rPr>
                <w:rFonts w:hint="eastAsia" w:ascii="宋体" w:hAnsi="宋体" w:cs="宋体"/>
                <w:color w:val="000000"/>
                <w:sz w:val="21"/>
                <w:szCs w:val="21"/>
                <w:highlight w:val="none"/>
              </w:rPr>
              <w:t>，赎回申请将在赎回确认日，即</w:t>
            </w:r>
            <w:r>
              <w:rPr>
                <w:rFonts w:hint="eastAsia" w:ascii="宋体" w:hAnsi="宋体" w:cs="宋体"/>
                <w:color w:val="000000"/>
                <w:sz w:val="21"/>
                <w:szCs w:val="21"/>
                <w:highlight w:val="none"/>
                <w:lang w:val="en-US" w:eastAsia="zh-CN"/>
              </w:rPr>
              <w:t>赎回申请日</w:t>
            </w:r>
            <w:r>
              <w:rPr>
                <w:rFonts w:hint="eastAsia" w:ascii="宋体" w:hAnsi="宋体" w:cs="宋体"/>
                <w:color w:val="000000"/>
                <w:sz w:val="21"/>
                <w:szCs w:val="21"/>
                <w:highlight w:val="none"/>
              </w:rPr>
              <w:t>后的第</w:t>
            </w:r>
            <w:r>
              <w:rPr>
                <w:rFonts w:hint="eastAsia" w:ascii="宋体" w:hAnsi="宋体" w:cs="宋体"/>
                <w:sz w:val="21"/>
                <w:szCs w:val="21"/>
                <w:highlight w:val="none"/>
              </w:rPr>
              <w:t>〖1〗个</w:t>
            </w:r>
            <w:r>
              <w:rPr>
                <w:rFonts w:hint="eastAsia" w:ascii="宋体" w:hAnsi="宋体" w:cs="宋体"/>
                <w:sz w:val="21"/>
                <w:szCs w:val="21"/>
                <w:highlight w:val="none"/>
                <w:lang w:val="en-US" w:eastAsia="zh-CN"/>
              </w:rPr>
              <w:t>交易</w:t>
            </w:r>
            <w:r>
              <w:rPr>
                <w:rFonts w:hint="eastAsia" w:ascii="宋体" w:hAnsi="宋体" w:cs="宋体"/>
                <w:bCs/>
                <w:sz w:val="21"/>
                <w:szCs w:val="21"/>
                <w:highlight w:val="none"/>
              </w:rPr>
              <w:t>日进行确认。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rPr>
              <w:t>在交易日的</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之前提交的申购和赎回申请，申请日为提出申请当日；在交易日</w:t>
            </w:r>
            <w:r>
              <w:rPr>
                <w:rFonts w:hint="eastAsia" w:ascii="宋体" w:hAnsi="宋体" w:cs="宋体"/>
                <w:color w:val="auto"/>
                <w:kern w:val="2"/>
                <w:sz w:val="21"/>
                <w:szCs w:val="21"/>
                <w:highlight w:val="none"/>
                <w:lang w:eastAsia="zh-CN"/>
              </w:rPr>
              <w:t>17:00</w:t>
            </w:r>
            <w:r>
              <w:rPr>
                <w:rFonts w:hint="eastAsia" w:ascii="宋体" w:hAnsi="宋体" w:cs="宋体"/>
                <w:color w:val="auto"/>
                <w:kern w:val="2"/>
                <w:sz w:val="21"/>
                <w:szCs w:val="21"/>
                <w:highlight w:val="none"/>
              </w:rPr>
              <w:t>之后及非交易日提交的申购和赎回申请，申请日为提出申请日的下一交易日</w:t>
            </w:r>
            <w:r>
              <w:rPr>
                <w:rFonts w:hint="eastAsia" w:ascii="宋体" w:hAnsi="宋体" w:cs="宋体"/>
                <w:color w:val="auto"/>
                <w:kern w:val="2"/>
                <w:sz w:val="21"/>
                <w:szCs w:val="21"/>
                <w:highlight w:val="none"/>
                <w:lang w:eastAsia="zh-CN"/>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eastAsia="zh-CN"/>
              </w:rPr>
              <w:t>17:00</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val="en-US"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5.上述交易安排如有调整，请以管理人公告为准。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A份额：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sz w:val="21"/>
                <w:szCs w:val="21"/>
                <w:highlight w:val="none"/>
                <w:lang w:val="en-US" w:eastAsia="zh-CN"/>
              </w:rPr>
              <w:t>亿</w:t>
            </w:r>
            <w:r>
              <w:rPr>
                <w:rFonts w:hint="eastAsia" w:ascii="宋体" w:hAnsi="宋体" w:cs="宋体"/>
                <w:sz w:val="21"/>
                <w:szCs w:val="21"/>
                <w:highlight w:val="none"/>
              </w:rPr>
              <w:t>元。</w:t>
            </w:r>
          </w:p>
          <w:p>
            <w:pPr>
              <w:widowControl/>
              <w:numPr>
                <w:ilvl w:val="0"/>
                <w:numId w:val="19"/>
              </w:numPr>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lang w:val="en-US" w:eastAsia="zh-CN"/>
              </w:rPr>
              <w:t>C份额：</w:t>
            </w:r>
            <w:r>
              <w:rPr>
                <w:rFonts w:hint="eastAsia" w:ascii="宋体" w:hAnsi="宋体" w:cs="宋体"/>
                <w:sz w:val="21"/>
                <w:szCs w:val="21"/>
                <w:highlight w:val="none"/>
              </w:rPr>
              <w:t>单户</w:t>
            </w:r>
            <w:r>
              <w:rPr>
                <w:rFonts w:hint="eastAsia" w:ascii="宋体" w:hAnsi="宋体" w:cs="宋体"/>
                <w:sz w:val="21"/>
                <w:szCs w:val="21"/>
                <w:highlight w:val="none"/>
                <w:lang w:val="en-US" w:eastAsia="zh-CN"/>
              </w:rPr>
              <w:t>持有</w:t>
            </w:r>
            <w:r>
              <w:rPr>
                <w:rFonts w:hint="eastAsia" w:ascii="宋体" w:hAnsi="宋体" w:cs="宋体"/>
                <w:sz w:val="21"/>
                <w:szCs w:val="21"/>
                <w:highlight w:val="none"/>
              </w:rPr>
              <w:t>上限</w:t>
            </w:r>
            <w:r>
              <w:rPr>
                <w:rFonts w:hint="eastAsia" w:ascii="宋体" w:hAnsi="宋体" w:cs="宋体"/>
                <w:sz w:val="21"/>
                <w:szCs w:val="21"/>
                <w:highlight w:val="none"/>
                <w:lang w:val="en-US" w:eastAsia="zh-CN"/>
              </w:rPr>
              <w:t>〖5000〗万</w:t>
            </w:r>
            <w:r>
              <w:rPr>
                <w:rFonts w:hint="eastAsia" w:ascii="宋体" w:hAnsi="宋体" w:cs="宋体"/>
                <w:sz w:val="21"/>
                <w:szCs w:val="21"/>
                <w:highlight w:val="none"/>
              </w:rPr>
              <w:t>元。</w:t>
            </w:r>
          </w:p>
          <w:p>
            <w:pPr>
              <w:widowControl/>
              <w:numPr>
                <w:ilvl w:val="0"/>
                <w:numId w:val="19"/>
              </w:numPr>
              <w:spacing w:line="360" w:lineRule="auto"/>
              <w:contextualSpacing/>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D、E份额：单日单户赎回上限〖5000〗万元</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lang w:val="en-US" w:eastAsia="zh-CN"/>
              </w:rPr>
              <w:t>小数点六位以后去尾。</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color w:val="000000"/>
                <w:sz w:val="21"/>
                <w:szCs w:val="21"/>
                <w:highlight w:val="none"/>
                <w:lang w:val="en-US" w:eastAsia="zh-CN"/>
              </w:rPr>
              <w:t>于确认日当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于确认日后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w:t>
            </w:r>
            <w:r>
              <w:rPr>
                <w:rFonts w:hint="eastAsia" w:ascii="宋体" w:hAnsi="宋体" w:cs="宋体"/>
                <w:color w:val="000000"/>
                <w:sz w:val="21"/>
                <w:szCs w:val="21"/>
                <w:highlight w:val="none"/>
                <w:lang w:val="en-US" w:eastAsia="zh-CN"/>
              </w:rPr>
              <w:t>工作</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color w:val="000000"/>
                <w:sz w:val="21"/>
                <w:szCs w:val="21"/>
                <w:highlight w:val="none"/>
                <w:lang w:val="en-US" w:eastAsia="zh-CN"/>
              </w:rPr>
              <w:t>于到期日后〖1〗个交易</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，最晚</w:t>
            </w:r>
            <w:r>
              <w:rPr>
                <w:rFonts w:hint="eastAsia" w:ascii="宋体" w:hAnsi="宋体" w:cs="宋体"/>
                <w:color w:val="000000"/>
                <w:sz w:val="21"/>
                <w:szCs w:val="21"/>
                <w:highlight w:val="none"/>
                <w:lang w:val="en-US" w:eastAsia="zh-CN"/>
              </w:rPr>
              <w:t>于到期日后</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交易日</w:t>
            </w:r>
            <w:r>
              <w:rPr>
                <w:rFonts w:hint="eastAsia" w:ascii="宋体" w:hAnsi="宋体" w:cs="宋体"/>
                <w:color w:val="000000"/>
                <w:sz w:val="21"/>
                <w:szCs w:val="21"/>
                <w:highlight w:val="none"/>
              </w:rPr>
              <w:t>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2.20%-3.50%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业绩基准测算依据：本理财计划</w:t>
            </w:r>
            <w:r>
              <w:rPr>
                <w:rFonts w:hint="eastAsia" w:ascii="宋体" w:hAnsi="宋体" w:cs="宋体"/>
                <w:b/>
                <w:bCs/>
                <w:sz w:val="21"/>
                <w:szCs w:val="21"/>
                <w:highlight w:val="none"/>
                <w:lang w:val="en-US" w:eastAsia="zh-CN"/>
              </w:rPr>
              <w:t>重点</w:t>
            </w:r>
            <w:r>
              <w:rPr>
                <w:rFonts w:hint="eastAsia" w:ascii="宋体" w:hAnsi="宋体" w:cs="宋体"/>
                <w:b/>
                <w:bCs/>
                <w:sz w:val="21"/>
                <w:szCs w:val="21"/>
                <w:highlight w:val="none"/>
              </w:rPr>
              <w:t>投资于</w:t>
            </w:r>
            <w:r>
              <w:rPr>
                <w:rFonts w:hint="eastAsia" w:ascii="宋体" w:hAnsi="宋体" w:cs="宋体"/>
                <w:b/>
                <w:bCs/>
                <w:sz w:val="21"/>
                <w:szCs w:val="21"/>
                <w:highlight w:val="none"/>
                <w:lang w:val="en-US" w:eastAsia="zh-CN"/>
              </w:rPr>
              <w:t>同业存单、存款、信用债等资产，根据当前市场环境，拟投资产收益率在2.4%-3.9%左右，同时根据流动性管理需要和监管要求配置不低于5%的高流动性资产。综合来看，扣除相关税费成本后，A、B、C、D、E份额业绩比较基准的中枢预计均在2.5%左右</w:t>
            </w:r>
            <w:r>
              <w:rPr>
                <w:rFonts w:hint="eastAsia" w:ascii="宋体" w:hAnsi="宋体" w:cs="宋体"/>
                <w:b/>
                <w:bCs/>
                <w:sz w:val="21"/>
                <w:szCs w:val="21"/>
                <w:highlight w:val="none"/>
              </w:rPr>
              <w:t>。</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val="en-US" w:eastAsia="zh-CN"/>
              </w:rPr>
              <w:t>不是预期收益率，并</w:t>
            </w:r>
            <w:r>
              <w:rPr>
                <w:rFonts w:hint="eastAsia" w:ascii="宋体" w:hAnsi="宋体" w:cs="宋体"/>
                <w:b/>
                <w:sz w:val="21"/>
                <w:szCs w:val="21"/>
                <w:highlight w:val="none"/>
              </w:rPr>
              <w:t>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0.50%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7.浮动管理费。本理财计划免除</w:t>
            </w:r>
            <w:r>
              <w:rPr>
                <w:rFonts w:hint="eastAsia" w:ascii="宋体" w:hAnsi="宋体" w:cs="宋体"/>
                <w:color w:val="000000"/>
                <w:sz w:val="21"/>
                <w:szCs w:val="21"/>
                <w:highlight w:val="none"/>
                <w:lang w:val="en-US" w:eastAsia="zh-CN"/>
              </w:rPr>
              <w:t>浮动管理</w:t>
            </w:r>
            <w:r>
              <w:rPr>
                <w:rFonts w:hint="eastAsia" w:ascii="宋体" w:hAnsi="宋体" w:cs="宋体"/>
                <w:color w:val="000000"/>
                <w:sz w:val="21"/>
                <w:szCs w:val="21"/>
                <w:highlight w:val="none"/>
              </w:rPr>
              <w:t>费</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9"/>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w:t>
            </w:r>
            <w:r>
              <w:rPr>
                <w:rFonts w:hint="eastAsia" w:ascii="宋体" w:hAnsi="宋体" w:cs="宋体"/>
                <w:b/>
                <w:color w:val="00000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w:t>
      </w:r>
      <w:r>
        <w:rPr>
          <w:rFonts w:hint="eastAsia" w:ascii="宋体" w:hAnsi="宋体" w:cs="宋体"/>
          <w:bCs/>
          <w:sz w:val="24"/>
          <w:highlight w:val="none"/>
          <w:lang w:eastAsia="zh-CN"/>
        </w:rPr>
        <w:t>及相关资产的资产管理产品。</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其他符合监管要求</w:t>
            </w:r>
            <w:r>
              <w:rPr>
                <w:rFonts w:hint="eastAsia" w:ascii="宋体" w:hAnsi="宋体" w:cs="宋体"/>
                <w:bCs/>
                <w:szCs w:val="21"/>
                <w:highlight w:val="none"/>
              </w:rPr>
              <w:t>资产</w:t>
            </w:r>
          </w:p>
        </w:tc>
        <w:tc>
          <w:tcPr>
            <w:tcW w:w="1996"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0-20%</w:t>
            </w:r>
          </w:p>
        </w:tc>
      </w:tr>
    </w:tbl>
    <w:p>
      <w:pPr>
        <w:pStyle w:val="1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bCs/>
          <w:color w:val="auto"/>
          <w:kern w:val="2"/>
          <w:highlight w:val="none"/>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numPr>
          <w:ilvl w:val="0"/>
          <w:numId w:val="23"/>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资产配置策略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auto"/>
          <w:kern w:val="2"/>
          <w:highlight w:val="none"/>
          <w:lang w:val="en-US" w:eastAsia="zh-CN"/>
        </w:rPr>
        <w:t>大类</w:t>
      </w:r>
      <w:r>
        <w:rPr>
          <w:rFonts w:hint="eastAsia" w:ascii="宋体" w:hAnsi="宋体" w:cs="宋体"/>
          <w:bCs/>
          <w:color w:val="auto"/>
          <w:kern w:val="2"/>
          <w:highlight w:val="none"/>
        </w:rPr>
        <w:t>资产管理</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主动判断市场时机进行资产配置，确定在</w:t>
      </w:r>
      <w:r>
        <w:rPr>
          <w:rFonts w:hint="eastAsia"/>
          <w:highlight w:val="none"/>
          <w:lang w:val="en-US" w:eastAsia="zh-CN"/>
        </w:rPr>
        <w:t>存款、存单、</w:t>
      </w:r>
      <w:r>
        <w:rPr>
          <w:rFonts w:hint="eastAsia" w:ascii="宋体" w:hAnsi="宋体" w:cs="宋体"/>
          <w:bCs/>
          <w:color w:val="auto"/>
          <w:kern w:val="2"/>
          <w:highlight w:val="none"/>
        </w:rPr>
        <w:t>债券</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优先股</w:t>
      </w:r>
      <w:r>
        <w:rPr>
          <w:rFonts w:hint="eastAsia" w:ascii="宋体" w:hAnsi="宋体" w:cs="宋体"/>
          <w:bCs/>
          <w:color w:val="auto"/>
          <w:kern w:val="2"/>
          <w:highlight w:val="none"/>
        </w:rPr>
        <w:t>等各类资产上的投资比例。</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管理人本着稳健投资的理念，基于宏观经济形势、货币政策、固定收益资产价格走势，采用安全性和流动性优先、优选投资品种，</w:t>
      </w:r>
      <w:r>
        <w:rPr>
          <w:rFonts w:hint="eastAsia" w:ascii="宋体" w:hAnsi="宋体" w:cs="宋体"/>
          <w:bCs/>
          <w:color w:val="auto"/>
          <w:kern w:val="2"/>
          <w:highlight w:val="none"/>
          <w:lang w:val="en-US" w:eastAsia="zh-CN"/>
        </w:rPr>
        <w:t>综合运用信用策略、久期策略、杠杆策略、曲线策略、交易策略等</w:t>
      </w:r>
      <w:r>
        <w:rPr>
          <w:rFonts w:hint="eastAsia" w:ascii="宋体" w:hAnsi="宋体" w:cs="宋体"/>
          <w:bCs/>
          <w:color w:val="auto"/>
          <w:kern w:val="2"/>
          <w:highlight w:val="none"/>
        </w:rPr>
        <w:t>。</w:t>
      </w:r>
    </w:p>
    <w:p>
      <w:pPr>
        <w:numPr>
          <w:ilvl w:val="0"/>
          <w:numId w:val="24"/>
        </w:numPr>
        <w:spacing w:line="360" w:lineRule="auto"/>
        <w:jc w:val="left"/>
        <w:rPr>
          <w:rFonts w:ascii="宋体" w:hAnsi="宋体" w:cs="宋体"/>
          <w:bCs/>
          <w:sz w:val="24"/>
          <w:highlight w:val="none"/>
        </w:rPr>
      </w:pPr>
      <w:r>
        <w:rPr>
          <w:rFonts w:hint="eastAsia" w:ascii="宋体" w:hAnsi="宋体" w:cs="宋体"/>
          <w:bCs/>
          <w:sz w:val="24"/>
          <w:highlight w:val="none"/>
        </w:rPr>
        <w:t>权益</w:t>
      </w:r>
      <w:r>
        <w:rPr>
          <w:rFonts w:hint="eastAsia" w:ascii="宋体" w:hAnsi="宋体" w:cs="宋体"/>
          <w:bCs/>
          <w:sz w:val="24"/>
          <w:highlight w:val="none"/>
          <w:lang w:val="en-US" w:eastAsia="zh-CN"/>
        </w:rPr>
        <w:t>类</w:t>
      </w:r>
      <w:r>
        <w:rPr>
          <w:rFonts w:hint="eastAsia" w:ascii="宋体" w:hAnsi="宋体" w:cs="宋体"/>
          <w:bCs/>
          <w:sz w:val="24"/>
          <w:highlight w:val="none"/>
        </w:rPr>
        <w:t>资产策略</w:t>
      </w:r>
    </w:p>
    <w:p>
      <w:pPr>
        <w:pStyle w:val="17"/>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sz w:val="24"/>
          <w:highlight w:val="none"/>
        </w:rPr>
        <w:t>管理人</w:t>
      </w:r>
      <w:r>
        <w:rPr>
          <w:rFonts w:hint="eastAsia" w:ascii="宋体" w:hAnsi="宋体" w:cs="宋体"/>
          <w:bCs/>
          <w:color w:val="auto"/>
          <w:kern w:val="2"/>
          <w:sz w:val="24"/>
          <w:highlight w:val="none"/>
          <w:u w:val="none"/>
          <w:lang w:val="en-US" w:eastAsia="zh-CN"/>
        </w:rPr>
        <w:t>结合产品流动性和市场情况，择机在组合中配置优先股权益类资产</w:t>
      </w:r>
      <w:r>
        <w:rPr>
          <w:rFonts w:hint="eastAsia" w:ascii="宋体" w:hAnsi="宋体" w:cs="宋体"/>
          <w:bCs/>
          <w:color w:val="auto"/>
          <w:kern w:val="2"/>
          <w:sz w:val="24"/>
          <w:highlight w:val="none"/>
        </w:rPr>
        <w:t>。</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9"/>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6"/>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管理人发行的全部开放式公募理财计划投资单一上市公司发行的股票,不得超过该上市公司可流通股票的15%。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应当持有不低于该理财产品资产净值5%的现金或者到期日在一年以内的国债、中央银行票据和政策性金融债券。</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81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70"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70" w:type="dxa"/>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618"/>
        <w:gridCol w:w="1180"/>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hint="eastAsia" w:ascii="宋体" w:hAnsi="宋体" w:cs="宋体"/>
                <w:bCs/>
                <w:szCs w:val="21"/>
                <w:highlight w:val="none"/>
              </w:rPr>
            </w:pPr>
          </w:p>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618"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浙江网商银行</w:t>
            </w:r>
            <w:r>
              <w:rPr>
                <w:rFonts w:hint="eastAsia" w:ascii="宋体" w:hAnsi="宋体" w:cs="宋体"/>
                <w:bCs/>
                <w:szCs w:val="21"/>
                <w:highlight w:val="none"/>
              </w:rPr>
              <w:t>股份有限公司</w:t>
            </w: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042" w:type="dxa"/>
            <w:noWrap w:val="0"/>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杭州市</w:t>
            </w:r>
            <w:r>
              <w:rPr>
                <w:rFonts w:hint="eastAsia" w:ascii="宋体" w:hAnsi="宋体" w:cs="宋体"/>
                <w:bCs/>
                <w:szCs w:val="21"/>
                <w:highlight w:val="none"/>
                <w:lang w:val="en-US" w:eastAsia="zh-CN"/>
              </w:rPr>
              <w:t>西湖区西溪路556号阿里中心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1"/>
                <w:highlight w:val="none"/>
              </w:rPr>
            </w:pPr>
          </w:p>
        </w:tc>
        <w:tc>
          <w:tcPr>
            <w:tcW w:w="118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04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w:t>
            </w:r>
            <w:r>
              <w:rPr>
                <w:rFonts w:hint="eastAsia" w:ascii="宋体" w:hAnsi="宋体" w:cs="宋体"/>
                <w:bCs/>
                <w:szCs w:val="21"/>
                <w:highlight w:val="none"/>
                <w:lang w:val="en-US" w:eastAsia="zh-CN"/>
              </w:rPr>
              <w:t>18</w:t>
            </w:r>
            <w:r>
              <w:rPr>
                <w:rFonts w:hint="eastAsia" w:ascii="宋体" w:hAnsi="宋体" w:cs="宋体"/>
                <w:bCs/>
                <w:szCs w:val="21"/>
                <w:highlight w:val="none"/>
              </w:rPr>
              <w:t>8</w:t>
            </w:r>
            <w:r>
              <w:rPr>
                <w:rFonts w:hint="eastAsia" w:ascii="宋体" w:hAnsi="宋体" w:cs="宋体"/>
                <w:bCs/>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restart"/>
            <w:noWrap w:val="0"/>
            <w:vAlign w:val="center"/>
          </w:tcPr>
          <w:p>
            <w:pPr>
              <w:keepNext w:val="0"/>
              <w:keepLines w:val="0"/>
              <w:widowControl/>
              <w:suppressLineNumbers w:val="0"/>
              <w:spacing w:line="360" w:lineRule="auto"/>
              <w:jc w:val="center"/>
              <w:textAlignment w:val="auto"/>
              <w:rPr>
                <w:rFonts w:hint="eastAsia" w:ascii="宋体" w:hAnsi="宋体" w:eastAsia="宋体" w:cs="宋体"/>
                <w:bCs/>
                <w:szCs w:val="24"/>
                <w:highlight w:val="none"/>
                <w:lang w:val="en-US" w:eastAsia="zh-CN"/>
              </w:rPr>
            </w:pPr>
            <w:r>
              <w:rPr>
                <w:rFonts w:hint="eastAsia" w:ascii="宋体" w:hAnsi="宋体" w:eastAsia="宋体" w:cs="宋体"/>
                <w:bCs/>
                <w:i w:val="0"/>
                <w:color w:val="auto"/>
                <w:kern w:val="2"/>
                <w:sz w:val="24"/>
                <w:szCs w:val="24"/>
                <w:highlight w:val="none"/>
                <w:u w:val="none"/>
                <w:lang w:val="en-US" w:eastAsia="zh-CN" w:bidi="ar"/>
              </w:rPr>
              <w:t>杭银理财有限责任公司</w:t>
            </w: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住所</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szCs w:val="21"/>
                <w:highlight w:val="none"/>
              </w:rPr>
            </w:pPr>
          </w:p>
        </w:tc>
        <w:tc>
          <w:tcPr>
            <w:tcW w:w="2618" w:type="dxa"/>
            <w:vMerge w:val="continue"/>
            <w:noWrap w:val="0"/>
            <w:vAlign w:val="center"/>
          </w:tcPr>
          <w:p>
            <w:pPr>
              <w:spacing w:line="360" w:lineRule="auto"/>
              <w:jc w:val="center"/>
              <w:rPr>
                <w:rFonts w:hint="eastAsia" w:ascii="宋体" w:hAnsi="宋体" w:cs="宋体"/>
                <w:bCs/>
                <w:szCs w:val="24"/>
                <w:highlight w:val="none"/>
              </w:rPr>
            </w:pPr>
          </w:p>
        </w:tc>
        <w:tc>
          <w:tcPr>
            <w:tcW w:w="1180"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客服热线</w:t>
            </w:r>
          </w:p>
        </w:tc>
        <w:tc>
          <w:tcPr>
            <w:tcW w:w="3042" w:type="dxa"/>
            <w:noWrap w:val="0"/>
            <w:vAlign w:val="center"/>
          </w:tcPr>
          <w:p>
            <w:pPr>
              <w:keepNext w:val="0"/>
              <w:keepLines w:val="0"/>
              <w:widowControl/>
              <w:suppressLineNumbers w:val="0"/>
              <w:spacing w:line="360" w:lineRule="auto"/>
              <w:jc w:val="center"/>
              <w:textAlignment w:val="auto"/>
              <w:rPr>
                <w:rFonts w:hint="eastAsia" w:ascii="宋体" w:hAnsi="宋体" w:cs="宋体"/>
                <w:bCs/>
                <w:szCs w:val="24"/>
                <w:highlight w:val="none"/>
              </w:rPr>
            </w:pPr>
            <w:r>
              <w:rPr>
                <w:rFonts w:hint="eastAsia" w:ascii="宋体" w:hAnsi="宋体" w:eastAsia="宋体" w:cs="宋体"/>
                <w:bCs/>
                <w:i w:val="0"/>
                <w:color w:val="auto"/>
                <w:kern w:val="2"/>
                <w:sz w:val="24"/>
                <w:szCs w:val="24"/>
                <w:highlight w:val="none"/>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w:t>
      </w:r>
      <w:r>
        <w:rPr>
          <w:rFonts w:hint="eastAsia" w:ascii="宋体" w:hAnsi="宋体" w:cs="宋体"/>
          <w:bCs/>
          <w:color w:val="000000"/>
          <w:sz w:val="24"/>
          <w:highlight w:val="none"/>
        </w:rPr>
        <w:t>新增</w:t>
      </w:r>
      <w:r>
        <w:rPr>
          <w:rFonts w:hint="eastAsia" w:ascii="宋体" w:hAnsi="宋体" w:cs="宋体"/>
          <w:bCs/>
          <w:color w:val="000000"/>
          <w:sz w:val="24"/>
          <w:highlight w:val="none"/>
          <w:lang w:val="en-US" w:eastAsia="zh-CN"/>
        </w:rPr>
        <w:t>/减少</w:t>
      </w:r>
      <w:r>
        <w:rPr>
          <w:rFonts w:hint="eastAsia" w:ascii="宋体" w:hAnsi="宋体" w:cs="宋体"/>
          <w:bCs/>
          <w:color w:val="000000"/>
          <w:sz w:val="24"/>
          <w:highlight w:val="none"/>
        </w:rPr>
        <w:t>销售机构</w:t>
      </w:r>
      <w:r>
        <w:rPr>
          <w:rFonts w:hint="eastAsia" w:ascii="宋体" w:hAnsi="宋体" w:cs="宋体"/>
          <w:bCs/>
          <w:color w:val="000000"/>
          <w:sz w:val="24"/>
          <w:highlight w:val="none"/>
          <w:lang w:val="en-US" w:eastAsia="zh-CN"/>
        </w:rPr>
        <w:t>或销售机构信息变更，请</w:t>
      </w:r>
      <w:r>
        <w:rPr>
          <w:rFonts w:hint="eastAsia" w:ascii="宋体" w:hAnsi="宋体" w:cs="宋体"/>
          <w:bCs/>
          <w:color w:val="000000"/>
          <w:sz w:val="24"/>
          <w:highlight w:val="none"/>
        </w:rPr>
        <w:t>以管理人</w:t>
      </w:r>
      <w:r>
        <w:rPr>
          <w:rFonts w:hint="eastAsia" w:ascii="宋体" w:hAnsi="宋体" w:cs="宋体"/>
          <w:bCs/>
          <w:color w:val="000000"/>
          <w:sz w:val="24"/>
          <w:highlight w:val="none"/>
          <w:lang w:val="en-US" w:eastAsia="zh-CN"/>
        </w:rPr>
        <w:t>最新</w:t>
      </w:r>
      <w:r>
        <w:rPr>
          <w:rFonts w:hint="eastAsia" w:ascii="宋体" w:hAnsi="宋体" w:cs="宋体"/>
          <w:bCs/>
          <w:color w:val="000000"/>
          <w:sz w:val="24"/>
          <w:highlight w:val="none"/>
        </w:rPr>
        <w:t>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w:t>
      </w:r>
      <w:r>
        <w:rPr>
          <w:rFonts w:hint="eastAsia" w:ascii="宋体" w:hAnsi="宋体" w:cs="宋体"/>
          <w:bCs/>
          <w:color w:val="000000"/>
          <w:sz w:val="24"/>
          <w:highlight w:val="none"/>
          <w:lang w:eastAsia="zh-CN"/>
        </w:rPr>
        <w:t>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w:t>
      </w:r>
      <w:r>
        <w:rPr>
          <w:rFonts w:hint="eastAsia" w:ascii="宋体" w:hAnsi="宋体" w:cs="宋体"/>
          <w:bCs/>
          <w:color w:val="000000"/>
          <w:sz w:val="24"/>
          <w:highlight w:val="none"/>
          <w:lang w:eastAsia="zh-CN"/>
        </w:rPr>
        <w:t>产〖</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lang w:eastAsia="zh-CN"/>
        </w:rPr>
        <w:t>年化销售服务费率为〖</w:t>
      </w:r>
      <w:r>
        <w:rPr>
          <w:rFonts w:hint="eastAsia" w:ascii="宋体" w:hAnsi="宋体" w:cs="宋体"/>
          <w:bCs/>
          <w:color w:val="000000"/>
          <w:sz w:val="24"/>
          <w:highlight w:val="none"/>
          <w:lang w:val="en-US" w:eastAsia="zh-CN"/>
        </w:rPr>
        <w:t>0.40%</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lang w:eastAsia="zh-CN"/>
        </w:rPr>
        <w:t>计算方法如</w:t>
      </w:r>
      <w:r>
        <w:rPr>
          <w:rFonts w:hint="eastAsia" w:ascii="宋体" w:hAnsi="宋体" w:cs="宋体"/>
          <w:bCs/>
          <w:color w:val="000000"/>
          <w:sz w:val="24"/>
          <w:highlight w:val="none"/>
        </w:rPr>
        <w:t>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的</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w:t>
      </w:r>
      <w:r>
        <w:rPr>
          <w:rFonts w:hint="eastAsia" w:ascii="宋体" w:hAnsi="宋体" w:cs="宋体"/>
          <w:bCs/>
          <w:color w:val="000000"/>
          <w:sz w:val="24"/>
          <w:highlight w:val="none"/>
          <w:lang w:val="en-US" w:eastAsia="zh-CN"/>
        </w:rPr>
        <w:t>浮动管理费。</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/1.00-1)×365/362=4.30%，即投资</w:t>
      </w:r>
      <w:r>
        <w:rPr>
          <w:rFonts w:hint="eastAsia" w:ascii="宋体" w:hAnsi="宋体" w:cs="宋体"/>
          <w:bCs/>
          <w:color w:val="000000"/>
          <w:sz w:val="24"/>
          <w:highlight w:val="none"/>
          <w:lang w:val="en-US" w:eastAsia="zh-CN"/>
        </w:rPr>
        <w:t>收益达到年化</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4.30%</w:t>
      </w:r>
      <w:r>
        <w:rPr>
          <w:rFonts w:hint="eastAsia" w:ascii="宋体" w:hAnsi="宋体" w:cs="宋体"/>
          <w:bCs/>
          <w:color w:val="000000"/>
          <w:sz w:val="24"/>
          <w:highlight w:val="none"/>
        </w:rPr>
        <w:t>〗，投资者最终收益为：100,000.00×(1.0426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val="en-US" w:eastAsia="zh-CN"/>
        </w:rPr>
        <w:t>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〗为例，假设购买时理财计划净值为1.00元，折算份额为100,000.00份，假设投资理财计划362天。到期时扣除托管费、固定管理费、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期间无分红，</w:t>
      </w:r>
      <w:r>
        <w:rPr>
          <w:rFonts w:hint="eastAsia" w:ascii="宋体" w:hAnsi="宋体" w:cs="宋体"/>
          <w:bCs/>
          <w:color w:val="000000"/>
          <w:sz w:val="24"/>
          <w:highlight w:val="none"/>
        </w:rPr>
        <w:t>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w:t>
      </w:r>
      <w:r>
        <w:rPr>
          <w:rFonts w:hint="eastAsia" w:ascii="宋体" w:hAnsi="宋体" w:cs="宋体"/>
          <w:bCs/>
          <w:sz w:val="24"/>
          <w:highlight w:val="none"/>
          <w:lang w:val="en-US" w:eastAsia="zh-CN"/>
        </w:rPr>
        <w:t>的</w:t>
      </w:r>
      <w:r>
        <w:rPr>
          <w:rFonts w:hint="eastAsia" w:ascii="宋体" w:hAnsi="宋体" w:cs="宋体"/>
          <w:bCs/>
          <w:sz w:val="24"/>
          <w:highlight w:val="none"/>
        </w:rPr>
        <w:t>工作时间可进行申购</w:t>
      </w:r>
      <w:r>
        <w:rPr>
          <w:rFonts w:hint="eastAsia" w:ascii="宋体" w:hAnsi="宋体" w:cs="宋体"/>
          <w:bCs/>
          <w:sz w:val="24"/>
          <w:highlight w:val="none"/>
          <w:lang w:val="en-US" w:eastAsia="zh-CN"/>
        </w:rPr>
        <w:t>和撤单</w:t>
      </w:r>
      <w:r>
        <w:rPr>
          <w:rFonts w:hint="eastAsia" w:ascii="宋体" w:hAnsi="宋体" w:cs="宋体"/>
          <w:bCs/>
          <w:sz w:val="24"/>
          <w:highlight w:val="none"/>
        </w:rPr>
        <w:t>，申购申请将在确认日进行确认，即申购</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满足赎回条件后，</w:t>
      </w:r>
      <w:r>
        <w:rPr>
          <w:rFonts w:hint="eastAsia" w:ascii="宋体" w:hAnsi="宋体" w:cs="宋体"/>
          <w:bCs/>
          <w:sz w:val="24"/>
          <w:highlight w:val="none"/>
        </w:rPr>
        <w:t>本理财计划在每个开放期的工作时间可进行赎回</w:t>
      </w:r>
      <w:r>
        <w:rPr>
          <w:rFonts w:hint="eastAsia" w:ascii="宋体" w:hAnsi="宋体" w:cs="宋体"/>
          <w:bCs/>
          <w:sz w:val="24"/>
          <w:highlight w:val="none"/>
          <w:lang w:val="en-US" w:eastAsia="zh-CN"/>
        </w:rPr>
        <w:t>和撤单</w:t>
      </w:r>
      <w:r>
        <w:rPr>
          <w:rFonts w:hint="eastAsia" w:ascii="宋体" w:hAnsi="宋体" w:cs="宋体"/>
          <w:bCs/>
          <w:sz w:val="24"/>
          <w:highlight w:val="none"/>
        </w:rPr>
        <w:t>，赎回申请将在确认日进行确认，即赎回</w:t>
      </w:r>
      <w:r>
        <w:rPr>
          <w:rFonts w:hint="eastAsia" w:ascii="宋体" w:hAnsi="宋体" w:cs="宋体"/>
          <w:bCs/>
          <w:sz w:val="24"/>
          <w:highlight w:val="none"/>
          <w:lang w:val="en-US" w:eastAsia="zh-CN"/>
        </w:rPr>
        <w:t>申请日</w:t>
      </w:r>
      <w:r>
        <w:rPr>
          <w:rFonts w:hint="eastAsia" w:ascii="宋体" w:hAnsi="宋体" w:cs="宋体"/>
          <w:bCs/>
          <w:sz w:val="24"/>
          <w:highlight w:val="none"/>
        </w:rPr>
        <w:t>后的第〖1〗个</w:t>
      </w:r>
      <w:r>
        <w:rPr>
          <w:rFonts w:hint="eastAsia" w:ascii="宋体" w:hAnsi="宋体" w:cs="宋体"/>
          <w:bCs/>
          <w:sz w:val="24"/>
          <w:highlight w:val="none"/>
          <w:lang w:val="en-US" w:eastAsia="zh-CN"/>
        </w:rPr>
        <w:t>交易</w:t>
      </w:r>
      <w:r>
        <w:rPr>
          <w:rFonts w:hint="eastAsia" w:ascii="宋体" w:hAnsi="宋体" w:cs="宋体"/>
          <w:bCs/>
          <w:sz w:val="24"/>
          <w:highlight w:val="none"/>
        </w:rPr>
        <w:t>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highlight w:val="none"/>
        </w:rPr>
        <w:t>在交易日的</w:t>
      </w:r>
      <w:r>
        <w:rPr>
          <w:rFonts w:hint="eastAsia" w:ascii="宋体" w:hAnsi="宋体" w:cs="宋体"/>
          <w:bCs/>
          <w:highlight w:val="none"/>
          <w:lang w:eastAsia="zh-CN"/>
        </w:rPr>
        <w:t>17:00</w:t>
      </w:r>
      <w:r>
        <w:rPr>
          <w:rFonts w:hint="eastAsia" w:ascii="宋体" w:hAnsi="宋体" w:cs="宋体"/>
          <w:bCs/>
          <w:highlight w:val="none"/>
        </w:rPr>
        <w:t>之前提交的申购和赎回申请，申请日为提出申请当日；在交易日</w:t>
      </w:r>
      <w:r>
        <w:rPr>
          <w:rFonts w:hint="eastAsia" w:ascii="宋体" w:hAnsi="宋体" w:cs="宋体"/>
          <w:bCs/>
          <w:highlight w:val="none"/>
          <w:lang w:eastAsia="zh-CN"/>
        </w:rPr>
        <w:t>17:00</w:t>
      </w:r>
      <w:r>
        <w:rPr>
          <w:rFonts w:hint="eastAsia" w:ascii="宋体" w:hAnsi="宋体" w:cs="宋体"/>
          <w:bCs/>
          <w:highlight w:val="none"/>
        </w:rPr>
        <w:t>之后及非交易日提交的申购和赎回申请，申请日为提出申请日的下一交易日。</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w:t>
      </w:r>
      <w:r>
        <w:rPr>
          <w:rFonts w:hint="eastAsia" w:ascii="宋体" w:hAnsi="宋体" w:cs="宋体"/>
          <w:bCs/>
          <w:sz w:val="24"/>
          <w:highlight w:val="none"/>
          <w:lang w:val="en-US" w:eastAsia="zh-CN"/>
        </w:rPr>
        <w:t>交易</w:t>
      </w:r>
      <w:r>
        <w:rPr>
          <w:rFonts w:hint="eastAsia" w:ascii="宋体" w:hAnsi="宋体" w:cs="宋体"/>
          <w:bCs/>
          <w:sz w:val="24"/>
          <w:highlight w:val="none"/>
        </w:rPr>
        <w:t>日上午〖9:00〗至下午〖</w:t>
      </w:r>
      <w:r>
        <w:rPr>
          <w:rFonts w:hint="eastAsia" w:ascii="宋体" w:hAnsi="宋体" w:cs="宋体"/>
          <w:bCs/>
          <w:sz w:val="24"/>
          <w:highlight w:val="none"/>
          <w:lang w:eastAsia="zh-CN"/>
        </w:rPr>
        <w:t>17:00</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于确认日当</w:t>
      </w:r>
      <w:r>
        <w:rPr>
          <w:rFonts w:hint="eastAsia" w:ascii="宋体" w:hAnsi="宋体" w:cs="宋体"/>
          <w:bCs/>
          <w:sz w:val="24"/>
          <w:highlight w:val="none"/>
        </w:rPr>
        <w:t>日，最晚</w:t>
      </w:r>
      <w:r>
        <w:rPr>
          <w:rFonts w:hint="eastAsia" w:ascii="宋体" w:hAnsi="宋体" w:cs="宋体"/>
          <w:bCs/>
          <w:sz w:val="24"/>
          <w:highlight w:val="none"/>
          <w:lang w:val="en-US" w:eastAsia="zh-CN"/>
        </w:rPr>
        <w:t>于确认日后</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1</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于到期日后</w:t>
      </w:r>
      <w:r>
        <w:rPr>
          <w:rFonts w:hint="eastAsia" w:ascii="宋体" w:hAnsi="宋体" w:cs="宋体"/>
          <w:bCs/>
          <w:sz w:val="24"/>
          <w:highlight w:val="none"/>
        </w:rPr>
        <w:t>〖</w:t>
      </w:r>
      <w:r>
        <w:rPr>
          <w:rFonts w:hint="eastAsia" w:ascii="宋体" w:hAnsi="宋体" w:cs="宋体"/>
          <w:bCs/>
          <w:sz w:val="24"/>
          <w:highlight w:val="none"/>
          <w:lang w:val="en-US" w:eastAsia="zh-CN"/>
        </w:rPr>
        <w:t>3</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ind w:firstLine="0" w:firstLineChars="0"/>
        <w:rPr>
          <w:rFonts w:hint="eastAsia" w:ascii="宋体" w:hAnsi="宋体" w:cs="宋体"/>
          <w:b/>
          <w:sz w:val="24"/>
          <w:highlight w:val="none"/>
          <w:u w:val="none"/>
        </w:rPr>
      </w:pPr>
      <w:r>
        <w:rPr>
          <w:rFonts w:hint="eastAsia" w:ascii="宋体" w:hAnsi="宋体" w:cs="宋体"/>
          <w:bCs/>
          <w:color w:val="000000"/>
          <w:sz w:val="24"/>
          <w:highlight w:val="none"/>
          <w:u w:val="none"/>
          <w:lang w:eastAsia="zh-CN"/>
        </w:rPr>
        <w:t>如本理财计划成立不足</w:t>
      </w:r>
      <w:r>
        <w:rPr>
          <w:rFonts w:hint="eastAsia" w:ascii="宋体" w:hAnsi="宋体" w:cs="宋体"/>
          <w:bCs/>
          <w:color w:val="000000"/>
          <w:sz w:val="24"/>
          <w:highlight w:val="none"/>
          <w:u w:val="none"/>
          <w:lang w:val="en-US" w:eastAsia="zh-CN"/>
        </w:rPr>
        <w:t>90个工作日或剩余存续期不超过90个工作日的，管理人可不编制当期的季度、半年和年度报告等运行报告。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outlineLvl w:val="1"/>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outlineLvl w:val="2"/>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firstLine="0" w:firstLineChars="0"/>
        <w:outlineLvl w:val="9"/>
        <w:rPr>
          <w:rFonts w:hint="eastAsia" w:ascii="宋体" w:hAnsi="宋体" w:cs="宋体"/>
          <w:b/>
          <w:kern w:val="0"/>
          <w:sz w:val="24"/>
          <w:highlight w:val="none"/>
        </w:rPr>
      </w:pPr>
      <w:r>
        <w:rPr>
          <w:rFonts w:hint="eastAsia" w:ascii="宋体" w:hAnsi="宋体" w:cs="宋体"/>
          <w:bCs/>
          <w:highlight w:val="none"/>
        </w:rPr>
        <w:t>投资者风险承受能力评级水平以销售机构评估为准。</w:t>
      </w:r>
    </w:p>
    <w:p>
      <w:pPr>
        <w:numPr>
          <w:ilvl w:val="0"/>
          <w:numId w:val="66"/>
        </w:num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2"/>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9"/>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bCs/>
          <w:color w:val="auto"/>
          <w:kern w:val="2"/>
          <w:highlight w:val="none"/>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rPr>
        <w:fldChar w:fldCharType="begin"/>
      </w:r>
      <w:r>
        <w:rPr>
          <w:rFonts w:hint="eastAsia" w:ascii="宋体" w:hAnsi="宋体" w:cs="宋体"/>
          <w:bCs/>
          <w:color w:val="auto"/>
          <w:kern w:val="2"/>
          <w:highlight w:val="none"/>
        </w:rPr>
        <w:instrText xml:space="preserve"> HYPERLINK "https://www.hzbankwealth.com.cn" </w:instrText>
      </w:r>
      <w:r>
        <w:rPr>
          <w:rFonts w:hint="eastAsia" w:ascii="宋体" w:hAnsi="宋体" w:cs="宋体"/>
          <w:bCs/>
          <w:color w:val="auto"/>
          <w:kern w:val="2"/>
          <w:highlight w:val="none"/>
        </w:rPr>
        <w:fldChar w:fldCharType="separate"/>
      </w:r>
      <w:r>
        <w:rPr>
          <w:rStyle w:val="14"/>
          <w:rFonts w:hint="eastAsia" w:ascii="宋体" w:hAnsi="宋体" w:cs="宋体"/>
          <w:bCs/>
          <w:kern w:val="2"/>
          <w:highlight w:val="none"/>
        </w:rPr>
        <w:t>https://www.hzbankwealth.com.cn</w:t>
      </w:r>
      <w:r>
        <w:rPr>
          <w:rFonts w:hint="eastAsia" w:ascii="宋体" w:hAnsi="宋体" w:cs="宋体"/>
          <w:bCs/>
          <w:color w:val="auto"/>
          <w:kern w:val="2"/>
          <w:highlight w:val="none"/>
        </w:rPr>
        <w:fldChar w:fldCharType="end"/>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u w:val="single"/>
          <w:lang w:val="en-US" w:eastAsia="zh-CN"/>
        </w:rPr>
        <w:fldChar w:fldCharType="begin"/>
      </w:r>
      <w:r>
        <w:rPr>
          <w:rFonts w:hint="eastAsia" w:ascii="宋体" w:hAnsi="宋体" w:cs="宋体"/>
          <w:kern w:val="0"/>
          <w:sz w:val="24"/>
          <w:highlight w:val="none"/>
          <w:u w:val="single"/>
          <w:lang w:val="en-US" w:eastAsia="zh-CN"/>
        </w:rPr>
        <w:instrText xml:space="preserve"> HYPERLINK "http://www.hzbankwealth.cn" </w:instrText>
      </w:r>
      <w:r>
        <w:rPr>
          <w:rFonts w:hint="eastAsia" w:ascii="宋体" w:hAnsi="宋体" w:cs="宋体"/>
          <w:kern w:val="0"/>
          <w:sz w:val="24"/>
          <w:highlight w:val="none"/>
          <w:u w:val="single"/>
          <w:lang w:val="en-US" w:eastAsia="zh-CN"/>
        </w:rPr>
        <w:fldChar w:fldCharType="separate"/>
      </w:r>
      <w:r>
        <w:rPr>
          <w:rStyle w:val="14"/>
          <w:rFonts w:hint="eastAsia" w:ascii="宋体" w:hAnsi="宋体" w:cs="宋体"/>
          <w:kern w:val="0"/>
          <w:sz w:val="24"/>
          <w:highlight w:val="none"/>
          <w:lang w:val="en-US" w:eastAsia="zh-CN"/>
        </w:rPr>
        <w:t>www.hzbank.com.cn</w:t>
      </w:r>
      <w:r>
        <w:rPr>
          <w:rFonts w:hint="eastAsia" w:ascii="宋体" w:hAnsi="宋体" w:cs="宋体"/>
          <w:kern w:val="0"/>
          <w:sz w:val="24"/>
          <w:highlight w:val="none"/>
          <w:u w:val="singl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outlineLvl w:val="1"/>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outlineLvl w:val="2"/>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2"/>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2"/>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2"/>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9"/>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2"/>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2"/>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2"/>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val="en-US"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val="en-US"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2"/>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2"/>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9"/>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2"/>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9"/>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bookmarkStart w:id="0" w:name="_GoBack"/>
      <w:bookmarkEnd w:id="0"/>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outlineLvl w:val="1"/>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outlineLvl w:val="2"/>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w:t>
      </w:r>
      <w:r>
        <w:rPr>
          <w:rFonts w:hint="eastAsia" w:cs="黑体"/>
          <w:sz w:val="24"/>
          <w:highlight w:val="none"/>
          <w:lang w:val="en-US" w:eastAsia="zh-CN"/>
        </w:rPr>
        <w:t>代理</w:t>
      </w:r>
      <w:r>
        <w:rPr>
          <w:rFonts w:hint="eastAsia" w:ascii="Calibri" w:hAnsi="Calibri" w:eastAsia="宋体" w:cs="黑体"/>
          <w:sz w:val="24"/>
          <w:highlight w:val="none"/>
          <w:lang w:val="en-US" w:eastAsia="zh-CN"/>
        </w:rPr>
        <w:t>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2"/>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9"/>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9"/>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9"/>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9"/>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cs="黑体"/>
          <w:b/>
          <w:bCs/>
          <w:sz w:val="24"/>
          <w:highlight w:val="none"/>
          <w:lang w:val="en-US" w:eastAsia="zh-CN"/>
        </w:rPr>
        <w:t>代理</w:t>
      </w:r>
      <w:r>
        <w:rPr>
          <w:rFonts w:hint="eastAsia" w:ascii="宋体" w:hAnsi="宋体" w:eastAsia="宋体" w:cs="黑体"/>
          <w:b/>
          <w:bCs/>
          <w:sz w:val="24"/>
          <w:highlight w:val="none"/>
          <w:lang w:val="en-US" w:eastAsia="zh-CN"/>
        </w:rPr>
        <w:t>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cs="黑体"/>
          <w:sz w:val="24"/>
          <w:highlight w:val="none"/>
          <w:lang w:val="en-US"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cs="黑体"/>
          <w:sz w:val="24"/>
          <w:highlight w:val="none"/>
          <w:lang w:val="en-US"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9"/>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投资需谨慎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2DBA2FE2"/>
    <w:multiLevelType w:val="singleLevel"/>
    <w:tmpl w:val="2DBA2FE2"/>
    <w:lvl w:ilvl="0" w:tentative="0">
      <w:start w:val="2"/>
      <w:numFmt w:val="upperLetter"/>
      <w:suff w:val="nothing"/>
      <w:lvlText w:val="%1、"/>
      <w:lvlJc w:val="left"/>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3"/>
  </w:num>
  <w:num w:numId="7">
    <w:abstractNumId w:val="39"/>
  </w:num>
  <w:num w:numId="8">
    <w:abstractNumId w:val="84"/>
  </w:num>
  <w:num w:numId="9">
    <w:abstractNumId w:val="58"/>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48"/>
  </w:num>
  <w:num w:numId="20">
    <w:abstractNumId w:val="11"/>
  </w:num>
  <w:num w:numId="21">
    <w:abstractNumId w:val="9"/>
  </w:num>
  <w:num w:numId="22">
    <w:abstractNumId w:val="40"/>
  </w:num>
  <w:num w:numId="23">
    <w:abstractNumId w:val="7"/>
  </w:num>
  <w:num w:numId="24">
    <w:abstractNumId w:val="2"/>
  </w:num>
  <w:num w:numId="25">
    <w:abstractNumId w:val="54"/>
  </w:num>
  <w:num w:numId="26">
    <w:abstractNumId w:val="35"/>
  </w:num>
  <w:num w:numId="27">
    <w:abstractNumId w:val="60"/>
  </w:num>
  <w:num w:numId="28">
    <w:abstractNumId w:val="22"/>
  </w:num>
  <w:num w:numId="29">
    <w:abstractNumId w:val="46"/>
  </w:num>
  <w:num w:numId="30">
    <w:abstractNumId w:val="26"/>
  </w:num>
  <w:num w:numId="31">
    <w:abstractNumId w:val="8"/>
  </w:num>
  <w:num w:numId="32">
    <w:abstractNumId w:val="57"/>
  </w:num>
  <w:num w:numId="33">
    <w:abstractNumId w:val="6"/>
  </w:num>
  <w:num w:numId="34">
    <w:abstractNumId w:val="38"/>
  </w:num>
  <w:num w:numId="35">
    <w:abstractNumId w:val="44"/>
  </w:num>
  <w:num w:numId="36">
    <w:abstractNumId w:val="82"/>
  </w:num>
  <w:num w:numId="37">
    <w:abstractNumId w:val="37"/>
  </w:num>
  <w:num w:numId="38">
    <w:abstractNumId w:val="25"/>
  </w:num>
  <w:num w:numId="39">
    <w:abstractNumId w:val="49"/>
  </w:num>
  <w:num w:numId="40">
    <w:abstractNumId w:val="0"/>
  </w:num>
  <w:num w:numId="41">
    <w:abstractNumId w:val="28"/>
  </w:num>
  <w:num w:numId="42">
    <w:abstractNumId w:val="52"/>
  </w:num>
  <w:num w:numId="43">
    <w:abstractNumId w:val="4"/>
  </w:num>
  <w:num w:numId="44">
    <w:abstractNumId w:val="29"/>
  </w:num>
  <w:num w:numId="45">
    <w:abstractNumId w:val="19"/>
  </w:num>
  <w:num w:numId="46">
    <w:abstractNumId w:val="56"/>
  </w:num>
  <w:num w:numId="47">
    <w:abstractNumId w:val="42"/>
  </w:num>
  <w:num w:numId="48">
    <w:abstractNumId w:val="21"/>
  </w:num>
  <w:num w:numId="49">
    <w:abstractNumId w:val="34"/>
  </w:num>
  <w:num w:numId="50">
    <w:abstractNumId w:val="30"/>
  </w:num>
  <w:num w:numId="51">
    <w:abstractNumId w:val="31"/>
  </w:num>
  <w:num w:numId="52">
    <w:abstractNumId w:val="81"/>
  </w:num>
  <w:num w:numId="53">
    <w:abstractNumId w:val="47"/>
  </w:num>
  <w:num w:numId="54">
    <w:abstractNumId w:val="3"/>
  </w:num>
  <w:num w:numId="55">
    <w:abstractNumId w:val="59"/>
  </w:num>
  <w:num w:numId="56">
    <w:abstractNumId w:val="14"/>
  </w:num>
  <w:num w:numId="57">
    <w:abstractNumId w:val="12"/>
  </w:num>
  <w:num w:numId="58">
    <w:abstractNumId w:val="15"/>
  </w:num>
  <w:num w:numId="59">
    <w:abstractNumId w:val="43"/>
  </w:num>
  <w:num w:numId="60">
    <w:abstractNumId w:val="27"/>
  </w:num>
  <w:num w:numId="61">
    <w:abstractNumId w:val="5"/>
  </w:num>
  <w:num w:numId="62">
    <w:abstractNumId w:val="51"/>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50"/>
  </w:num>
  <w:num w:numId="72">
    <w:abstractNumId w:val="18"/>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7"/>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6514C4"/>
    <w:rsid w:val="01364432"/>
    <w:rsid w:val="01523B8E"/>
    <w:rsid w:val="01D8103B"/>
    <w:rsid w:val="01E60817"/>
    <w:rsid w:val="048D7DCA"/>
    <w:rsid w:val="054F428B"/>
    <w:rsid w:val="056351CB"/>
    <w:rsid w:val="05E05E4D"/>
    <w:rsid w:val="06420CFA"/>
    <w:rsid w:val="06503B59"/>
    <w:rsid w:val="069B3D0C"/>
    <w:rsid w:val="06B41B03"/>
    <w:rsid w:val="0752555A"/>
    <w:rsid w:val="07E45984"/>
    <w:rsid w:val="07EA622A"/>
    <w:rsid w:val="0828699A"/>
    <w:rsid w:val="08A1555E"/>
    <w:rsid w:val="092751AA"/>
    <w:rsid w:val="097E3F67"/>
    <w:rsid w:val="09C935B6"/>
    <w:rsid w:val="0A1347F5"/>
    <w:rsid w:val="0A356725"/>
    <w:rsid w:val="0B23316E"/>
    <w:rsid w:val="0B8702FD"/>
    <w:rsid w:val="0B8E27E3"/>
    <w:rsid w:val="0BA57DD5"/>
    <w:rsid w:val="0BF71AE2"/>
    <w:rsid w:val="0CA6603D"/>
    <w:rsid w:val="0CBF33B1"/>
    <w:rsid w:val="0CE71B9E"/>
    <w:rsid w:val="0D0B1B00"/>
    <w:rsid w:val="0D79000C"/>
    <w:rsid w:val="0D8E51CE"/>
    <w:rsid w:val="0DFD2C7C"/>
    <w:rsid w:val="0E4A4B6F"/>
    <w:rsid w:val="0E9832B7"/>
    <w:rsid w:val="0EF65480"/>
    <w:rsid w:val="0F6C2854"/>
    <w:rsid w:val="0F8A2CEB"/>
    <w:rsid w:val="103E6557"/>
    <w:rsid w:val="10E7087B"/>
    <w:rsid w:val="11A27183"/>
    <w:rsid w:val="11BA058F"/>
    <w:rsid w:val="12081858"/>
    <w:rsid w:val="120E16FE"/>
    <w:rsid w:val="12B62B3B"/>
    <w:rsid w:val="12D90F42"/>
    <w:rsid w:val="13031153"/>
    <w:rsid w:val="13181417"/>
    <w:rsid w:val="1370341C"/>
    <w:rsid w:val="13953152"/>
    <w:rsid w:val="13AE5996"/>
    <w:rsid w:val="14C57FED"/>
    <w:rsid w:val="150C5665"/>
    <w:rsid w:val="15992F9A"/>
    <w:rsid w:val="15C56302"/>
    <w:rsid w:val="160940BB"/>
    <w:rsid w:val="1659752C"/>
    <w:rsid w:val="16CA0C22"/>
    <w:rsid w:val="16E43A7F"/>
    <w:rsid w:val="17864B39"/>
    <w:rsid w:val="17FA3952"/>
    <w:rsid w:val="185A3DA1"/>
    <w:rsid w:val="189E168F"/>
    <w:rsid w:val="198C4B50"/>
    <w:rsid w:val="19F13F4F"/>
    <w:rsid w:val="1A102675"/>
    <w:rsid w:val="1AD33A8F"/>
    <w:rsid w:val="1B280245"/>
    <w:rsid w:val="1BBE4697"/>
    <w:rsid w:val="1BC22C82"/>
    <w:rsid w:val="1CDC4E2A"/>
    <w:rsid w:val="1CE35114"/>
    <w:rsid w:val="1D1B5B71"/>
    <w:rsid w:val="1D5459CA"/>
    <w:rsid w:val="1D552DD9"/>
    <w:rsid w:val="1DAB6D83"/>
    <w:rsid w:val="1E3173A3"/>
    <w:rsid w:val="1F0F5A19"/>
    <w:rsid w:val="1F1D6E1F"/>
    <w:rsid w:val="1F3E7F7D"/>
    <w:rsid w:val="1F51312D"/>
    <w:rsid w:val="1FC9553A"/>
    <w:rsid w:val="204D3B12"/>
    <w:rsid w:val="20593F35"/>
    <w:rsid w:val="205A2AB3"/>
    <w:rsid w:val="20B6224D"/>
    <w:rsid w:val="21025026"/>
    <w:rsid w:val="227045E4"/>
    <w:rsid w:val="22A04AF7"/>
    <w:rsid w:val="22D3594B"/>
    <w:rsid w:val="22DA7182"/>
    <w:rsid w:val="22F12819"/>
    <w:rsid w:val="233F0924"/>
    <w:rsid w:val="23451A70"/>
    <w:rsid w:val="23753F06"/>
    <w:rsid w:val="237D4A1C"/>
    <w:rsid w:val="238E1AAE"/>
    <w:rsid w:val="2483647E"/>
    <w:rsid w:val="256F076F"/>
    <w:rsid w:val="25DE5381"/>
    <w:rsid w:val="26820AF7"/>
    <w:rsid w:val="273A2105"/>
    <w:rsid w:val="27A236CD"/>
    <w:rsid w:val="281432FA"/>
    <w:rsid w:val="29BA058F"/>
    <w:rsid w:val="29BB33A7"/>
    <w:rsid w:val="2A1B5D68"/>
    <w:rsid w:val="2A5975B6"/>
    <w:rsid w:val="2A991D32"/>
    <w:rsid w:val="2AB92324"/>
    <w:rsid w:val="2AC3651E"/>
    <w:rsid w:val="2AD6555A"/>
    <w:rsid w:val="2BD46A9C"/>
    <w:rsid w:val="2C1B1E9D"/>
    <w:rsid w:val="2C28643F"/>
    <w:rsid w:val="2CAB68C5"/>
    <w:rsid w:val="2D303B49"/>
    <w:rsid w:val="2DFA6966"/>
    <w:rsid w:val="2E910D38"/>
    <w:rsid w:val="2EBC6D03"/>
    <w:rsid w:val="2F3A7B82"/>
    <w:rsid w:val="2F6614FE"/>
    <w:rsid w:val="2FD32A37"/>
    <w:rsid w:val="302C1AF4"/>
    <w:rsid w:val="30551FFC"/>
    <w:rsid w:val="30690F5C"/>
    <w:rsid w:val="30D31961"/>
    <w:rsid w:val="30FD36E3"/>
    <w:rsid w:val="311F702A"/>
    <w:rsid w:val="3177134F"/>
    <w:rsid w:val="31A82883"/>
    <w:rsid w:val="320E3E15"/>
    <w:rsid w:val="32770B1E"/>
    <w:rsid w:val="32821910"/>
    <w:rsid w:val="329743A8"/>
    <w:rsid w:val="32C937E9"/>
    <w:rsid w:val="333B487F"/>
    <w:rsid w:val="33833CD5"/>
    <w:rsid w:val="339502CA"/>
    <w:rsid w:val="342F66F0"/>
    <w:rsid w:val="345B62A5"/>
    <w:rsid w:val="3480359E"/>
    <w:rsid w:val="34BE4ED5"/>
    <w:rsid w:val="353A76E3"/>
    <w:rsid w:val="35476F5E"/>
    <w:rsid w:val="35745B9A"/>
    <w:rsid w:val="35862DD5"/>
    <w:rsid w:val="36631FD8"/>
    <w:rsid w:val="36E72D9B"/>
    <w:rsid w:val="371103D7"/>
    <w:rsid w:val="374829BA"/>
    <w:rsid w:val="37CA172C"/>
    <w:rsid w:val="38224FD0"/>
    <w:rsid w:val="385505E4"/>
    <w:rsid w:val="39094FF7"/>
    <w:rsid w:val="39461E8D"/>
    <w:rsid w:val="3A3E2041"/>
    <w:rsid w:val="3B077108"/>
    <w:rsid w:val="3B131EF6"/>
    <w:rsid w:val="3B490D86"/>
    <w:rsid w:val="3B8D6BA5"/>
    <w:rsid w:val="3C2F2290"/>
    <w:rsid w:val="3C635E14"/>
    <w:rsid w:val="3D5B17C7"/>
    <w:rsid w:val="3D6B43DA"/>
    <w:rsid w:val="3EAD1B36"/>
    <w:rsid w:val="3EDB57BA"/>
    <w:rsid w:val="3F056B9E"/>
    <w:rsid w:val="3F354A62"/>
    <w:rsid w:val="406370BC"/>
    <w:rsid w:val="40FB7670"/>
    <w:rsid w:val="41B30AFD"/>
    <w:rsid w:val="423C06E2"/>
    <w:rsid w:val="42815397"/>
    <w:rsid w:val="42C94634"/>
    <w:rsid w:val="4309649B"/>
    <w:rsid w:val="4356095A"/>
    <w:rsid w:val="43CB1014"/>
    <w:rsid w:val="43EE5E80"/>
    <w:rsid w:val="450D2DC0"/>
    <w:rsid w:val="45540446"/>
    <w:rsid w:val="45BB5620"/>
    <w:rsid w:val="45E71A33"/>
    <w:rsid w:val="45F127ED"/>
    <w:rsid w:val="4674141B"/>
    <w:rsid w:val="46CD66A0"/>
    <w:rsid w:val="46F82DED"/>
    <w:rsid w:val="472803B7"/>
    <w:rsid w:val="47850646"/>
    <w:rsid w:val="487D0651"/>
    <w:rsid w:val="488B59A4"/>
    <w:rsid w:val="48962E2C"/>
    <w:rsid w:val="48F83E16"/>
    <w:rsid w:val="494502E1"/>
    <w:rsid w:val="49ED3C35"/>
    <w:rsid w:val="4A405BF6"/>
    <w:rsid w:val="4A7F0ADF"/>
    <w:rsid w:val="4B0D3113"/>
    <w:rsid w:val="4B2F56F4"/>
    <w:rsid w:val="4B554E7B"/>
    <w:rsid w:val="4C29108D"/>
    <w:rsid w:val="4C6B0DDA"/>
    <w:rsid w:val="4C6E1306"/>
    <w:rsid w:val="4C9E21E8"/>
    <w:rsid w:val="4DDA4860"/>
    <w:rsid w:val="4E186164"/>
    <w:rsid w:val="4E2F1033"/>
    <w:rsid w:val="4E8274B0"/>
    <w:rsid w:val="4EFC1B31"/>
    <w:rsid w:val="4FF363B3"/>
    <w:rsid w:val="50B73634"/>
    <w:rsid w:val="51504FE6"/>
    <w:rsid w:val="52C66301"/>
    <w:rsid w:val="540A7D17"/>
    <w:rsid w:val="54E91D9C"/>
    <w:rsid w:val="5540500D"/>
    <w:rsid w:val="55A0648D"/>
    <w:rsid w:val="55A92CF5"/>
    <w:rsid w:val="55E056D8"/>
    <w:rsid w:val="562F08DB"/>
    <w:rsid w:val="56D52E08"/>
    <w:rsid w:val="57252C25"/>
    <w:rsid w:val="57296DBC"/>
    <w:rsid w:val="57B94BA2"/>
    <w:rsid w:val="57BB6218"/>
    <w:rsid w:val="57FF3AAA"/>
    <w:rsid w:val="58DD2EEE"/>
    <w:rsid w:val="58E96C7A"/>
    <w:rsid w:val="59573977"/>
    <w:rsid w:val="59AD3C67"/>
    <w:rsid w:val="59F95365"/>
    <w:rsid w:val="5A2F3A7E"/>
    <w:rsid w:val="5AF7537D"/>
    <w:rsid w:val="5B0D630F"/>
    <w:rsid w:val="5B1367B9"/>
    <w:rsid w:val="5B6B608E"/>
    <w:rsid w:val="5D160516"/>
    <w:rsid w:val="5DA13F4A"/>
    <w:rsid w:val="5DB61BFF"/>
    <w:rsid w:val="5DEF454B"/>
    <w:rsid w:val="5DF26B07"/>
    <w:rsid w:val="5E35342E"/>
    <w:rsid w:val="5E5A6C63"/>
    <w:rsid w:val="5F1116E8"/>
    <w:rsid w:val="5F3C6712"/>
    <w:rsid w:val="5F4B58F3"/>
    <w:rsid w:val="5FCF6136"/>
    <w:rsid w:val="606C7275"/>
    <w:rsid w:val="60A47029"/>
    <w:rsid w:val="60AB2000"/>
    <w:rsid w:val="60AD3AC2"/>
    <w:rsid w:val="61D85325"/>
    <w:rsid w:val="62860AAA"/>
    <w:rsid w:val="62885FA4"/>
    <w:rsid w:val="629D5796"/>
    <w:rsid w:val="630E7FE6"/>
    <w:rsid w:val="64954D64"/>
    <w:rsid w:val="66FF60CC"/>
    <w:rsid w:val="671E2162"/>
    <w:rsid w:val="67BE72F0"/>
    <w:rsid w:val="68D8721E"/>
    <w:rsid w:val="691056DB"/>
    <w:rsid w:val="695A49BA"/>
    <w:rsid w:val="69BF6670"/>
    <w:rsid w:val="6AF535D5"/>
    <w:rsid w:val="6B610D05"/>
    <w:rsid w:val="6BAC21D5"/>
    <w:rsid w:val="6C184007"/>
    <w:rsid w:val="6CED1CB3"/>
    <w:rsid w:val="6D3B42C3"/>
    <w:rsid w:val="6DF71DF2"/>
    <w:rsid w:val="6E0B5972"/>
    <w:rsid w:val="6E51251F"/>
    <w:rsid w:val="6E7E575F"/>
    <w:rsid w:val="6EF15941"/>
    <w:rsid w:val="6EFC3973"/>
    <w:rsid w:val="6F7A415E"/>
    <w:rsid w:val="6F9921A1"/>
    <w:rsid w:val="6FC93EBB"/>
    <w:rsid w:val="727E507A"/>
    <w:rsid w:val="730C5849"/>
    <w:rsid w:val="73266980"/>
    <w:rsid w:val="73396EC2"/>
    <w:rsid w:val="73407EBD"/>
    <w:rsid w:val="73835D66"/>
    <w:rsid w:val="738D1DD9"/>
    <w:rsid w:val="73EF4563"/>
    <w:rsid w:val="74175679"/>
    <w:rsid w:val="744124AA"/>
    <w:rsid w:val="745A6083"/>
    <w:rsid w:val="74664F47"/>
    <w:rsid w:val="74835737"/>
    <w:rsid w:val="75313062"/>
    <w:rsid w:val="75977087"/>
    <w:rsid w:val="759D35B4"/>
    <w:rsid w:val="75A871AE"/>
    <w:rsid w:val="77523D71"/>
    <w:rsid w:val="77E0572E"/>
    <w:rsid w:val="78EF4372"/>
    <w:rsid w:val="79385012"/>
    <w:rsid w:val="79642F4A"/>
    <w:rsid w:val="79771B00"/>
    <w:rsid w:val="798F6426"/>
    <w:rsid w:val="7A6D7156"/>
    <w:rsid w:val="7A917304"/>
    <w:rsid w:val="7ACA272A"/>
    <w:rsid w:val="7AE86DBD"/>
    <w:rsid w:val="7B996067"/>
    <w:rsid w:val="7C1E0CFC"/>
    <w:rsid w:val="7CBF6012"/>
    <w:rsid w:val="7D7862F0"/>
    <w:rsid w:val="7DB00FDC"/>
    <w:rsid w:val="7DC671DD"/>
    <w:rsid w:val="7DD1709E"/>
    <w:rsid w:val="7DD5513F"/>
    <w:rsid w:val="7E6F339A"/>
    <w:rsid w:val="7E8655E6"/>
    <w:rsid w:val="7EAC2F5C"/>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3"/>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批注框文本 Char"/>
    <w:link w:val="6"/>
    <w:qFormat/>
    <w:uiPriority w:val="0"/>
    <w:rPr>
      <w:rFonts w:ascii="Calibri" w:hAnsi="Calibri" w:cs="黑体"/>
      <w:kern w:val="2"/>
      <w:sz w:val="18"/>
      <w:szCs w:val="18"/>
    </w:rPr>
  </w:style>
  <w:style w:type="character" w:customStyle="1" w:styleId="20">
    <w:name w:val="批注文字 Char"/>
    <w:link w:val="5"/>
    <w:qFormat/>
    <w:uiPriority w:val="0"/>
    <w:rPr>
      <w:rFonts w:ascii="Calibri" w:hAnsi="Calibri" w:cs="黑体"/>
      <w:kern w:val="2"/>
      <w:sz w:val="21"/>
      <w:szCs w:val="24"/>
    </w:rPr>
  </w:style>
  <w:style w:type="character" w:customStyle="1" w:styleId="21">
    <w:name w:val="标题 3 Char"/>
    <w:link w:val="4"/>
    <w:qFormat/>
    <w:uiPriority w:val="0"/>
    <w:rPr>
      <w:rFonts w:hAnsi="Calibri" w:eastAsia="宋体"/>
      <w:b/>
      <w:sz w:val="24"/>
    </w:rPr>
  </w:style>
  <w:style w:type="character" w:customStyle="1" w:styleId="22">
    <w:name w:val="标题 2 Char"/>
    <w:link w:val="3"/>
    <w:qFormat/>
    <w:uiPriority w:val="0"/>
    <w:rPr>
      <w:rFonts w:ascii="Arial" w:hAnsi="Arial" w:eastAsia="宋体"/>
      <w:b/>
      <w:sz w:val="24"/>
    </w:rPr>
  </w:style>
  <w:style w:type="character" w:customStyle="1" w:styleId="23">
    <w:name w:val="批注主题 Char"/>
    <w:link w:val="10"/>
    <w:qFormat/>
    <w:uiPriority w:val="0"/>
    <w:rPr>
      <w:rFonts w:ascii="Calibri" w:hAnsi="Calibri" w:cs="黑体"/>
      <w:b/>
      <w:bCs/>
      <w:kern w:val="2"/>
      <w:sz w:val="21"/>
      <w:szCs w:val="24"/>
    </w:rPr>
  </w:style>
  <w:style w:type="character" w:customStyle="1" w:styleId="24">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34416</Words>
  <Characters>36125</Characters>
  <Lines>210</Lines>
  <Paragraphs>59</Paragraphs>
  <TotalTime>0</TotalTime>
  <ScaleCrop>false</ScaleCrop>
  <LinksUpToDate>false</LinksUpToDate>
  <CharactersWithSpaces>36356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2024-08-14T07:51:56Z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