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ascii="微软雅黑" w:hAnsi="微软雅黑" w:cs="宋体"/>
          <w:b/>
          <w:bCs/>
          <w:color w:val="004EA2"/>
          <w:kern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color w:val="004EA2"/>
          <w:sz w:val="27"/>
        </w:rPr>
        <w:t>杭银理财幸福99天添益（安享优选）1期理财</w:t>
      </w:r>
      <w:r>
        <w:rPr>
          <w:rFonts w:ascii="微软雅黑" w:hAnsi="微软雅黑" w:eastAsia="微软雅黑" w:cs="微软雅黑"/>
          <w:b/>
          <w:color w:val="004EA2"/>
          <w:sz w:val="27"/>
        </w:rPr>
        <w:t>（</w:t>
      </w:r>
      <w:r>
        <w:rPr>
          <w:rFonts w:hint="eastAsia" w:ascii="微软雅黑" w:hAnsi="微软雅黑" w:eastAsia="微软雅黑" w:cs="微软雅黑"/>
          <w:b/>
          <w:color w:val="004EA2"/>
          <w:sz w:val="27"/>
          <w:lang w:val="en-US" w:eastAsia="zh-CN"/>
        </w:rPr>
        <w:t>TY</w:t>
      </w:r>
      <w:r>
        <w:rPr>
          <w:rFonts w:ascii="微软雅黑" w:hAnsi="微软雅黑" w:eastAsia="微软雅黑" w:cs="微软雅黑"/>
          <w:b/>
          <w:color w:val="004EA2"/>
          <w:sz w:val="27"/>
        </w:rPr>
        <w:t>G</w:t>
      </w:r>
      <w:r>
        <w:rPr>
          <w:rFonts w:hint="eastAsia" w:ascii="微软雅黑" w:hAnsi="微软雅黑" w:eastAsia="微软雅黑" w:cs="微软雅黑"/>
          <w:b/>
          <w:color w:val="004EA2"/>
          <w:sz w:val="27"/>
          <w:lang w:val="en-US" w:eastAsia="zh-CN"/>
        </w:rPr>
        <w:t>1D2201</w:t>
      </w:r>
      <w:r>
        <w:rPr>
          <w:rFonts w:ascii="微软雅黑" w:hAnsi="微软雅黑" w:eastAsia="微软雅黑" w:cs="微软雅黑"/>
          <w:b/>
          <w:color w:val="004EA2"/>
          <w:sz w:val="27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微软雅黑" w:hAnsi="微软雅黑" w:eastAsia="微软雅黑" w:cs="微软雅黑"/>
          <w:b/>
          <w:color w:val="004EA2"/>
          <w:sz w:val="27"/>
        </w:rPr>
      </w:pPr>
      <w:r>
        <w:rPr>
          <w:rFonts w:hint="eastAsia" w:ascii="微软雅黑" w:hAnsi="微软雅黑" w:eastAsia="微软雅黑" w:cs="微软雅黑"/>
          <w:b/>
          <w:color w:val="004EA2"/>
          <w:sz w:val="27"/>
          <w:lang w:val="en-US" w:eastAsia="zh-CN"/>
        </w:rPr>
        <w:t>合同调整</w:t>
      </w:r>
      <w:r>
        <w:rPr>
          <w:rFonts w:hint="eastAsia" w:ascii="微软雅黑" w:hAnsi="微软雅黑" w:eastAsia="微软雅黑" w:cs="微软雅黑"/>
          <w:b/>
          <w:color w:val="004EA2"/>
          <w:sz w:val="27"/>
        </w:rPr>
        <w:t>公告</w:t>
      </w:r>
    </w:p>
    <w:p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尊敬的投资者：</w:t>
      </w:r>
    </w:p>
    <w:p>
      <w:pPr>
        <w:keepNext w:val="0"/>
        <w:keepLines w:val="0"/>
        <w:pageBreakBefore w:val="0"/>
        <w:widowControl/>
        <w:tabs>
          <w:tab w:val="left" w:pos="2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left"/>
        <w:textAlignment w:val="auto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为满足投资者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的</w:t>
      </w:r>
      <w:r>
        <w:rPr>
          <w:rFonts w:hint="eastAsia" w:ascii="宋体" w:hAnsi="宋体" w:cs="宋体"/>
          <w:color w:val="333333"/>
          <w:kern w:val="0"/>
          <w:sz w:val="24"/>
        </w:rPr>
        <w:t>理财需求，更好地为投资者提供服务，杭银理财幸福99天添益（安享优选）1期理财</w:t>
      </w:r>
      <w:r>
        <w:rPr>
          <w:rFonts w:ascii="宋体" w:hAnsi="宋体" w:eastAsia="宋体" w:cs="宋体"/>
          <w:color w:val="333333"/>
          <w:sz w:val="24"/>
        </w:rPr>
        <w:t>（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产品代码</w:t>
      </w:r>
      <w:r>
        <w:rPr>
          <w:rFonts w:ascii="宋体" w:hAnsi="宋体" w:eastAsia="宋体" w:cs="宋体"/>
          <w:color w:val="333333"/>
          <w:sz w:val="24"/>
        </w:rPr>
        <w:t>：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TY</w:t>
      </w:r>
      <w:r>
        <w:rPr>
          <w:rFonts w:ascii="宋体" w:hAnsi="宋体" w:eastAsia="宋体" w:cs="宋体"/>
          <w:color w:val="333333"/>
          <w:sz w:val="24"/>
        </w:rPr>
        <w:t>G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1D2201</w:t>
      </w:r>
      <w:r>
        <w:rPr>
          <w:rFonts w:ascii="宋体" w:hAnsi="宋体" w:eastAsia="宋体" w:cs="宋体"/>
          <w:color w:val="333333"/>
          <w:sz w:val="24"/>
        </w:rPr>
        <w:t>）的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合同要素（单户限额）自2024年8月16日开始将进行</w:t>
      </w:r>
      <w:r>
        <w:rPr>
          <w:rFonts w:ascii="宋体" w:hAnsi="宋体" w:eastAsia="宋体" w:cs="宋体"/>
          <w:color w:val="333333"/>
          <w:sz w:val="24"/>
        </w:rPr>
        <w:t>如下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调整</w:t>
      </w:r>
      <w:r>
        <w:rPr>
          <w:rFonts w:ascii="宋体" w:hAnsi="宋体" w:eastAsia="宋体" w:cs="宋体"/>
          <w:color w:val="333333"/>
          <w:sz w:val="24"/>
        </w:rPr>
        <w:t>：</w:t>
      </w:r>
    </w:p>
    <w:tbl>
      <w:tblPr>
        <w:tblStyle w:val="8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131"/>
        <w:gridCol w:w="2131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销售代码</w:t>
            </w:r>
          </w:p>
        </w:tc>
        <w:tc>
          <w:tcPr>
            <w:tcW w:w="213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调整项目</w:t>
            </w:r>
          </w:p>
        </w:tc>
        <w:tc>
          <w:tcPr>
            <w:tcW w:w="213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调整前</w:t>
            </w:r>
          </w:p>
        </w:tc>
        <w:tc>
          <w:tcPr>
            <w:tcW w:w="2254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TY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G</w:t>
            </w: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1D2201</w:t>
            </w:r>
          </w:p>
        </w:tc>
        <w:tc>
          <w:tcPr>
            <w:tcW w:w="2131" w:type="dxa"/>
            <w:vMerge w:val="restart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单户限额</w:t>
            </w:r>
          </w:p>
        </w:tc>
        <w:tc>
          <w:tcPr>
            <w:tcW w:w="2131" w:type="dxa"/>
            <w:vMerge w:val="restart"/>
            <w:vAlign w:val="top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单户持有上限</w:t>
            </w:r>
          </w:p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〖5000万〗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元</w:t>
            </w:r>
          </w:p>
        </w:tc>
        <w:tc>
          <w:tcPr>
            <w:tcW w:w="2254" w:type="dxa"/>
            <w:vMerge w:val="restart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widowControl/>
              <w:tabs>
                <w:tab w:val="left" w:pos="2930"/>
              </w:tabs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widowControl/>
              <w:tabs>
                <w:tab w:val="left" w:pos="2930"/>
              </w:tabs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单户持有上限</w:t>
            </w:r>
          </w:p>
          <w:p>
            <w:pPr>
              <w:widowControl/>
              <w:tabs>
                <w:tab w:val="left" w:pos="2930"/>
              </w:tabs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〖1亿〗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TY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G</w:t>
            </w: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1D2201B</w:t>
            </w:r>
          </w:p>
        </w:tc>
        <w:tc>
          <w:tcPr>
            <w:tcW w:w="2131" w:type="dxa"/>
            <w:vMerge w:val="continue"/>
            <w:tcBorders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2131" w:type="dxa"/>
            <w:vMerge w:val="continue"/>
            <w:tcBorders/>
            <w:vAlign w:val="top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54" w:type="dxa"/>
            <w:vMerge w:val="continue"/>
            <w:tcBorders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TY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G</w:t>
            </w: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1D2201C</w:t>
            </w:r>
          </w:p>
        </w:tc>
        <w:tc>
          <w:tcPr>
            <w:tcW w:w="2131" w:type="dxa"/>
            <w:vMerge w:val="continue"/>
            <w:tcBorders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2131" w:type="dxa"/>
            <w:vMerge w:val="continue"/>
            <w:tcBorders/>
            <w:vAlign w:val="top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54" w:type="dxa"/>
            <w:vMerge w:val="continue"/>
            <w:tcBorders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TY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G</w:t>
            </w: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1D2201D</w:t>
            </w:r>
          </w:p>
        </w:tc>
        <w:tc>
          <w:tcPr>
            <w:tcW w:w="2131" w:type="dxa"/>
            <w:vMerge w:val="continue"/>
            <w:tcBorders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2131" w:type="dxa"/>
            <w:vMerge w:val="continue"/>
            <w:tcBorders/>
            <w:vAlign w:val="top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54" w:type="dxa"/>
            <w:vMerge w:val="continue"/>
            <w:tcBorders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TY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G</w:t>
            </w: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1D2201E</w:t>
            </w:r>
          </w:p>
        </w:tc>
        <w:tc>
          <w:tcPr>
            <w:tcW w:w="2131" w:type="dxa"/>
            <w:vMerge w:val="continue"/>
            <w:tcBorders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2131" w:type="dxa"/>
            <w:vMerge w:val="continue"/>
            <w:tcBorders/>
            <w:vAlign w:val="top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54" w:type="dxa"/>
            <w:vMerge w:val="continue"/>
            <w:tcBorders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TY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G</w:t>
            </w: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1D2201G</w:t>
            </w:r>
          </w:p>
        </w:tc>
        <w:tc>
          <w:tcPr>
            <w:tcW w:w="2131" w:type="dxa"/>
            <w:vMerge w:val="continue"/>
            <w:tcBorders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2131" w:type="dxa"/>
            <w:vMerge w:val="continue"/>
            <w:tcBorders/>
            <w:vAlign w:val="top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54" w:type="dxa"/>
            <w:vMerge w:val="continue"/>
            <w:tcBorders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TY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G</w:t>
            </w: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1D2201H</w:t>
            </w:r>
          </w:p>
        </w:tc>
        <w:tc>
          <w:tcPr>
            <w:tcW w:w="2131" w:type="dxa"/>
            <w:vMerge w:val="continue"/>
            <w:tcBorders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2131" w:type="dxa"/>
            <w:vMerge w:val="continue"/>
            <w:tcBorders/>
            <w:vAlign w:val="top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54" w:type="dxa"/>
            <w:vMerge w:val="continue"/>
            <w:tcBorders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tabs>
          <w:tab w:val="left" w:pos="2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left"/>
        <w:textAlignment w:val="auto"/>
        <w:rPr>
          <w:rFonts w:hint="default" w:ascii="宋体" w:hAnsi="宋体" w:cs="宋体" w:eastAsiaTheme="minorEastAsia"/>
          <w:color w:val="333333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若您不同意本次调整，请及时于开放期内申请赎回。感谢您一直以来对杭银理财的支持，敬请继续关注杭银理财的理财产品。</w:t>
      </w:r>
    </w:p>
    <w:p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hint="eastAsia" w:ascii="微软雅黑" w:hAnsi="微软雅黑" w:cs="宋体"/>
          <w:color w:val="333333"/>
          <w:kern w:val="0"/>
          <w:sz w:val="24"/>
        </w:rPr>
        <w:t>                         杭银理财有限责任公司</w:t>
      </w:r>
    </w:p>
    <w:p>
      <w:pPr>
        <w:widowControl/>
        <w:jc w:val="right"/>
      </w:pPr>
      <w:r>
        <w:rPr>
          <w:rFonts w:hint="eastAsia" w:ascii="宋体" w:hAnsi="宋体" w:cs="宋体"/>
          <w:color w:val="333333"/>
          <w:kern w:val="0"/>
          <w:sz w:val="24"/>
        </w:rPr>
        <w:t>                         </w:t>
      </w:r>
      <w:r>
        <w:rPr>
          <w:rFonts w:ascii="宋体" w:hAnsi="宋体" w:eastAsia="宋体" w:cs="宋体"/>
          <w:color w:val="333333"/>
          <w:sz w:val="24"/>
        </w:rPr>
        <w:t>2024年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8</w:t>
      </w:r>
      <w:r>
        <w:rPr>
          <w:rFonts w:ascii="宋体" w:hAnsi="宋体" w:eastAsia="宋体" w:cs="宋体"/>
          <w:color w:val="333333"/>
          <w:sz w:val="24"/>
        </w:rPr>
        <w:t>月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14</w:t>
      </w:r>
      <w:r>
        <w:rPr>
          <w:rFonts w:ascii="宋体" w:hAnsi="宋体" w:eastAsia="宋体" w:cs="宋体"/>
          <w:color w:val="333333"/>
          <w:sz w:val="24"/>
        </w:rPr>
        <w:t>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00000000"/>
    <w:rsid w:val="000971F2"/>
    <w:rsid w:val="00DC74C8"/>
    <w:rsid w:val="0BC64809"/>
    <w:rsid w:val="0C2E5756"/>
    <w:rsid w:val="0ECF7E0B"/>
    <w:rsid w:val="100F125C"/>
    <w:rsid w:val="171D24B0"/>
    <w:rsid w:val="17827C15"/>
    <w:rsid w:val="1D4568D6"/>
    <w:rsid w:val="21C2339A"/>
    <w:rsid w:val="2B810EB9"/>
    <w:rsid w:val="34B30DDD"/>
    <w:rsid w:val="37C22A44"/>
    <w:rsid w:val="3B2A42C8"/>
    <w:rsid w:val="441D67B3"/>
    <w:rsid w:val="50651D3E"/>
    <w:rsid w:val="556B4BBD"/>
    <w:rsid w:val="558E6FDB"/>
    <w:rsid w:val="5E0A6696"/>
    <w:rsid w:val="75042A3C"/>
    <w:rsid w:val="77967BC8"/>
    <w:rsid w:val="77D433D2"/>
    <w:rsid w:val="79C20E50"/>
    <w:rsid w:val="7D26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516</Characters>
  <Lines>4</Lines>
  <Paragraphs>1</Paragraphs>
  <TotalTime>1</TotalTime>
  <ScaleCrop>false</ScaleCrop>
  <LinksUpToDate>false</LinksUpToDate>
  <CharactersWithSpaces>605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2022-08-17T14:47:00Z</dcterms:created>
  <dc:creator>Administrator</dc:creator>
  <cp:lastModifiedBy>未定义</cp:lastModifiedBy>
  <dcterms:modified xsi:type="dcterms:W3CDTF">2024-08-14T09:50:06Z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