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杭银理财幸福99半年添益1901期理财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杭银理财幸福99半年添益1901期理财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TYG6M1901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3.2152%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4.2306%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0.1164%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4.7733%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4.6673%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3.9153%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4.1833%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4.6929%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杭银理财幸福99半年添益1901期理财B款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TYG6M1901B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3.1361%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2024年8月14日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