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0"/>
        <w:rPr>
          <w:rFonts w:hint="eastAsia" w:ascii="华文中宋" w:hAnsi="华文中宋" w:eastAsia="华文中宋" w:cs="华文中宋"/>
          <w:b/>
          <w:bCs/>
          <w:kern w:val="0"/>
          <w:sz w:val="36"/>
          <w:szCs w:val="36"/>
          <w:lang w:val="en-US" w:eastAsia="zh-CN"/>
        </w:rPr>
      </w:pPr>
      <w:r>
        <w:rPr>
          <w:rFonts w:hint="eastAsia" w:ascii="华文中宋" w:hAnsi="华文中宋" w:eastAsia="华文中宋" w:cs="华文中宋"/>
          <w:b/>
          <w:bCs/>
          <w:kern w:val="0"/>
          <w:sz w:val="36"/>
          <w:szCs w:val="36"/>
          <w:lang w:val="en-US" w:eastAsia="zh-CN"/>
        </w:rPr>
        <w:t>杭银理财幸福99天添益（安享优选）6期理财</w:t>
      </w:r>
    </w:p>
    <w:p>
      <w:pPr>
        <w:widowControl/>
        <w:spacing w:before="100" w:beforeAutospacing="1" w:after="100" w:afterAutospacing="1" w:line="360" w:lineRule="auto"/>
        <w:jc w:val="center"/>
        <w:outlineLvl w:val="0"/>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lang w:val="en-US" w:eastAsia="zh-CN"/>
        </w:rPr>
        <w:t>合同</w:t>
      </w:r>
      <w:r>
        <w:rPr>
          <w:rFonts w:hint="eastAsia" w:ascii="华文中宋" w:hAnsi="华文中宋" w:eastAsia="华文中宋" w:cs="华文中宋"/>
          <w:b/>
          <w:bCs/>
          <w:kern w:val="0"/>
          <w:sz w:val="36"/>
          <w:szCs w:val="36"/>
        </w:rPr>
        <w:t>调整公告</w:t>
      </w:r>
    </w:p>
    <w:p>
      <w:pPr>
        <w:widowControl/>
        <w:spacing w:before="100" w:beforeAutospacing="1" w:after="100" w:afterAutospacing="1" w:line="360" w:lineRule="auto"/>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尊敬的投资者：</w:t>
      </w:r>
    </w:p>
    <w:p>
      <w:pPr>
        <w:widowControl/>
        <w:spacing w:before="100" w:beforeAutospacing="1" w:after="100" w:afterAutospacing="1" w:line="360" w:lineRule="auto"/>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为满足投资者</w:t>
      </w:r>
      <w:r>
        <w:rPr>
          <w:rFonts w:hint="eastAsia" w:ascii="仿宋_GB2312" w:hAnsi="仿宋_GB2312" w:eastAsia="仿宋_GB2312" w:cs="仿宋_GB2312"/>
          <w:color w:val="333333"/>
          <w:kern w:val="0"/>
          <w:sz w:val="28"/>
          <w:szCs w:val="28"/>
          <w:lang w:val="en-US" w:eastAsia="zh-CN"/>
        </w:rPr>
        <w:t>的</w:t>
      </w:r>
      <w:r>
        <w:rPr>
          <w:rFonts w:hint="eastAsia" w:ascii="仿宋_GB2312" w:hAnsi="仿宋_GB2312" w:eastAsia="仿宋_GB2312" w:cs="仿宋_GB2312"/>
          <w:color w:val="333333"/>
          <w:kern w:val="0"/>
          <w:sz w:val="28"/>
          <w:szCs w:val="28"/>
        </w:rPr>
        <w:t>理财需求，更好地为投资者提供服务</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杭银理财拟对</w:t>
      </w:r>
      <w:r>
        <w:rPr>
          <w:rFonts w:hint="default" w:ascii="仿宋_GB2312" w:hAnsi="仿宋_GB2312" w:eastAsia="仿宋_GB2312" w:cs="仿宋_GB2312"/>
          <w:color w:val="333333"/>
          <w:kern w:val="0"/>
          <w:sz w:val="28"/>
          <w:szCs w:val="28"/>
          <w:lang w:eastAsia="zh-CN"/>
        </w:rPr>
        <w:t>杭银理财幸福99天添益（安享优选）6期理财</w:t>
      </w:r>
      <w:r>
        <w:rPr>
          <w:rFonts w:hint="eastAsia" w:ascii="仿宋_GB2312" w:hAnsi="仿宋_GB2312" w:eastAsia="仿宋_GB2312" w:cs="仿宋_GB2312"/>
          <w:color w:val="333333"/>
          <w:kern w:val="0"/>
          <w:sz w:val="28"/>
          <w:szCs w:val="28"/>
          <w:lang w:val="en-US" w:eastAsia="zh-CN"/>
        </w:rPr>
        <w:t>的说明书进行调整，主要调整内容</w:t>
      </w:r>
      <w:r>
        <w:rPr>
          <w:rFonts w:hint="eastAsia" w:ascii="仿宋_GB2312" w:hAnsi="仿宋_GB2312" w:eastAsia="仿宋_GB2312" w:cs="仿宋_GB2312"/>
          <w:color w:val="333333"/>
          <w:kern w:val="0"/>
          <w:sz w:val="28"/>
          <w:szCs w:val="28"/>
        </w:rPr>
        <w:t>如下：</w:t>
      </w:r>
    </w:p>
    <w:tbl>
      <w:tblPr>
        <w:tblStyle w:val="11"/>
        <w:tblW w:w="909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665"/>
        <w:gridCol w:w="2145"/>
        <w:gridCol w:w="21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635" w:type="dxa"/>
            <w:vAlign w:val="center"/>
          </w:tcPr>
          <w:p>
            <w:pPr>
              <w:pStyle w:val="9"/>
              <w:shd w:val="clear" w:color="auto" w:fill="FFFFFF"/>
              <w:jc w:val="center"/>
              <w:rPr>
                <w:rFonts w:ascii="仿宋_GB2312" w:hAnsi="仿宋_GB2312" w:eastAsia="仿宋_GB2312" w:cs="仿宋_GB2312"/>
                <w:color w:val="333333"/>
              </w:rPr>
            </w:pPr>
            <w:r>
              <w:rPr>
                <w:rFonts w:hint="eastAsia" w:ascii="仿宋_GB2312" w:hAnsi="仿宋_GB2312" w:eastAsia="仿宋_GB2312" w:cs="仿宋_GB2312"/>
                <w:color w:val="333333"/>
                <w:lang w:val="en-US" w:eastAsia="zh-CN"/>
              </w:rPr>
              <w:t>产品</w:t>
            </w:r>
            <w:r>
              <w:rPr>
                <w:rFonts w:hint="eastAsia" w:ascii="仿宋_GB2312" w:hAnsi="仿宋_GB2312" w:eastAsia="仿宋_GB2312" w:cs="仿宋_GB2312"/>
                <w:color w:val="333333"/>
              </w:rPr>
              <w:t>代码</w:t>
            </w:r>
          </w:p>
        </w:tc>
        <w:tc>
          <w:tcPr>
            <w:tcW w:w="1665" w:type="dxa"/>
            <w:vAlign w:val="center"/>
          </w:tcPr>
          <w:p>
            <w:pPr>
              <w:pStyle w:val="9"/>
              <w:shd w:val="clear" w:color="auto" w:fill="FFFFFF"/>
              <w:jc w:val="center"/>
              <w:rPr>
                <w:rFonts w:hint="default" w:ascii="仿宋_GB2312" w:hAnsi="仿宋_GB2312" w:eastAsia="仿宋_GB2312" w:cs="仿宋_GB2312"/>
                <w:color w:val="333333"/>
                <w:lang w:val="en-US"/>
              </w:rPr>
            </w:pPr>
            <w:r>
              <w:rPr>
                <w:rFonts w:hint="eastAsia" w:ascii="仿宋_GB2312" w:hAnsi="仿宋_GB2312" w:eastAsia="仿宋_GB2312" w:cs="仿宋_GB2312"/>
                <w:color w:val="333333"/>
                <w:lang w:val="en-US" w:eastAsia="zh-CN"/>
              </w:rPr>
              <w:t>修改要素</w:t>
            </w:r>
          </w:p>
        </w:tc>
        <w:tc>
          <w:tcPr>
            <w:tcW w:w="214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rPr>
              <w:t>说明书</w:t>
            </w:r>
            <w:r>
              <w:rPr>
                <w:rFonts w:hint="eastAsia" w:ascii="仿宋_GB2312" w:hAnsi="仿宋_GB2312" w:eastAsia="仿宋_GB2312" w:cs="仿宋_GB2312"/>
                <w:color w:val="333333"/>
                <w:lang w:val="en-US" w:eastAsia="zh-CN"/>
              </w:rPr>
              <w:t>原</w:t>
            </w:r>
            <w:r>
              <w:rPr>
                <w:rFonts w:hint="eastAsia" w:ascii="仿宋_GB2312" w:hAnsi="仿宋_GB2312" w:eastAsia="仿宋_GB2312" w:cs="仿宋_GB2312"/>
                <w:color w:val="333333"/>
              </w:rPr>
              <w:t>约定</w:t>
            </w:r>
            <w:r>
              <w:rPr>
                <w:rFonts w:hint="eastAsia" w:ascii="仿宋_GB2312" w:hAnsi="仿宋_GB2312" w:eastAsia="仿宋_GB2312" w:cs="仿宋_GB2312"/>
                <w:color w:val="333333"/>
                <w:lang w:val="en-US" w:eastAsia="zh-CN"/>
              </w:rPr>
              <w:t>情况</w:t>
            </w:r>
          </w:p>
        </w:tc>
        <w:tc>
          <w:tcPr>
            <w:tcW w:w="2160" w:type="dxa"/>
            <w:vAlign w:val="center"/>
          </w:tcPr>
          <w:p>
            <w:pPr>
              <w:pStyle w:val="9"/>
              <w:shd w:val="clear" w:color="auto" w:fill="FFFFFF"/>
              <w:jc w:val="center"/>
              <w:rPr>
                <w:rFonts w:hint="default" w:ascii="仿宋_GB2312" w:hAnsi="仿宋_GB2312" w:eastAsia="仿宋_GB2312" w:cs="仿宋_GB2312"/>
                <w:color w:val="333333"/>
                <w:lang w:val="en-US"/>
              </w:rPr>
            </w:pPr>
            <w:r>
              <w:rPr>
                <w:rFonts w:hint="eastAsia" w:ascii="仿宋_GB2312" w:hAnsi="仿宋_GB2312" w:eastAsia="仿宋_GB2312" w:cs="仿宋_GB2312"/>
                <w:color w:val="333333"/>
              </w:rPr>
              <w:t>调整后</w:t>
            </w:r>
            <w:r>
              <w:rPr>
                <w:rFonts w:hint="eastAsia" w:ascii="仿宋_GB2312" w:hAnsi="仿宋_GB2312" w:eastAsia="仿宋_GB2312" w:cs="仿宋_GB2312"/>
                <w:color w:val="333333"/>
                <w:lang w:val="en-US" w:eastAsia="zh-CN"/>
              </w:rPr>
              <w:t>说明书情况</w:t>
            </w:r>
          </w:p>
        </w:tc>
        <w:tc>
          <w:tcPr>
            <w:tcW w:w="1485" w:type="dxa"/>
            <w:vAlign w:val="center"/>
          </w:tcPr>
          <w:p>
            <w:pPr>
              <w:pStyle w:val="9"/>
              <w:shd w:val="clear" w:color="auto" w:fill="FFFFFF"/>
              <w:jc w:val="center"/>
              <w:rPr>
                <w:rFonts w:hint="eastAsia" w:ascii="仿宋_GB2312" w:hAnsi="仿宋_GB2312" w:eastAsia="仿宋_GB2312" w:cs="仿宋_GB2312"/>
                <w:color w:val="333333"/>
                <w:lang w:eastAsia="zh-CN"/>
              </w:rPr>
            </w:pPr>
            <w:r>
              <w:rPr>
                <w:rFonts w:hint="eastAsia" w:ascii="仿宋_GB2312" w:hAnsi="仿宋_GB2312" w:eastAsia="仿宋_GB2312" w:cs="仿宋_GB2312"/>
                <w:color w:val="333333"/>
              </w:rPr>
              <w:t>生效日</w:t>
            </w:r>
            <w:r>
              <w:rPr>
                <w:rFonts w:hint="eastAsia" w:ascii="仿宋_GB2312" w:hAnsi="仿宋_GB2312" w:eastAsia="仿宋_GB2312" w:cs="仿宋_GB2312"/>
                <w:color w:val="333333"/>
                <w:lang w:eastAsia="zh-CN"/>
              </w:rPr>
              <w:t>（</w:t>
            </w:r>
            <w:r>
              <w:rPr>
                <w:rFonts w:hint="eastAsia" w:ascii="仿宋_GB2312" w:hAnsi="仿宋_GB2312" w:eastAsia="仿宋_GB2312" w:cs="仿宋_GB2312"/>
                <w:color w:val="333333"/>
                <w:lang w:val="en-US" w:eastAsia="zh-CN"/>
              </w:rPr>
              <w:t>含</w:t>
            </w:r>
            <w:r>
              <w:rPr>
                <w:rFonts w:hint="eastAsia" w:ascii="仿宋_GB2312" w:hAnsi="仿宋_GB2312" w:eastAsia="仿宋_GB2312" w:cs="仿宋_GB2312"/>
                <w:color w:val="333333"/>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35" w:type="dxa"/>
            <w:vMerge w:val="restart"/>
            <w:vAlign w:val="center"/>
          </w:tcPr>
          <w:p>
            <w:pPr>
              <w:pStyle w:val="9"/>
              <w:shd w:val="clear" w:color="auto" w:fill="FFFFFF"/>
              <w:jc w:val="center"/>
              <w:rPr>
                <w:rFonts w:hint="default" w:ascii="仿宋_GB2312" w:hAnsi="仿宋_GB2312" w:eastAsia="仿宋_GB2312" w:cs="仿宋_GB2312"/>
                <w:color w:val="333333"/>
                <w:lang w:val="en-US"/>
              </w:rPr>
            </w:pPr>
            <w:r>
              <w:rPr>
                <w:rFonts w:hint="default" w:ascii="仿宋_GB2312" w:hAnsi="仿宋_GB2312" w:eastAsia="仿宋_GB2312" w:cs="仿宋_GB2312"/>
                <w:color w:val="333333"/>
                <w:lang w:eastAsia="zh-CN"/>
              </w:rPr>
              <w:t>TYG</w:t>
            </w:r>
            <w:r>
              <w:rPr>
                <w:rFonts w:hint="eastAsia" w:ascii="仿宋_GB2312" w:hAnsi="仿宋_GB2312" w:eastAsia="仿宋_GB2312" w:cs="仿宋_GB2312"/>
                <w:color w:val="333333"/>
                <w:lang w:val="en-US" w:eastAsia="zh-CN"/>
              </w:rPr>
              <w:t>1</w:t>
            </w:r>
            <w:r>
              <w:rPr>
                <w:rFonts w:hint="default" w:ascii="仿宋_GB2312" w:hAnsi="仿宋_GB2312" w:eastAsia="仿宋_GB2312" w:cs="仿宋_GB2312"/>
                <w:color w:val="333333"/>
                <w:lang w:eastAsia="zh-CN"/>
              </w:rPr>
              <w:t>D2</w:t>
            </w:r>
            <w:r>
              <w:rPr>
                <w:rFonts w:hint="eastAsia" w:ascii="仿宋_GB2312" w:hAnsi="仿宋_GB2312" w:eastAsia="仿宋_GB2312" w:cs="仿宋_GB2312"/>
                <w:color w:val="333333"/>
                <w:lang w:val="en-US" w:eastAsia="zh-CN"/>
              </w:rPr>
              <w:t>306</w:t>
            </w:r>
          </w:p>
        </w:tc>
        <w:tc>
          <w:tcPr>
            <w:tcW w:w="166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风险揭示书--</w:t>
            </w:r>
            <w:r>
              <w:rPr>
                <w:rFonts w:hint="eastAsia" w:ascii="仿宋_GB2312" w:hAnsi="仿宋_GB2312" w:eastAsia="仿宋_GB2312" w:cs="仿宋_GB2312"/>
                <w:color w:val="333333"/>
              </w:rPr>
              <w:t>理财计划共性风险</w:t>
            </w:r>
          </w:p>
        </w:tc>
        <w:tc>
          <w:tcPr>
            <w:tcW w:w="2145" w:type="dxa"/>
            <w:vAlign w:val="center"/>
          </w:tcPr>
          <w:p>
            <w:pPr>
              <w:pStyle w:val="9"/>
              <w:shd w:val="clear" w:color="auto" w:fill="FFFFFF"/>
              <w:jc w:val="center"/>
              <w:rPr>
                <w:rFonts w:ascii="仿宋_GB2312" w:hAnsi="仿宋_GB2312" w:eastAsia="仿宋_GB2312" w:cs="仿宋_GB2312"/>
                <w:color w:val="333333"/>
              </w:rPr>
            </w:pPr>
            <w:r>
              <w:rPr>
                <w:rFonts w:hint="eastAsia" w:ascii="仿宋_GB2312" w:hAnsi="仿宋_GB2312" w:eastAsia="仿宋_GB2312" w:cs="仿宋_GB2312"/>
                <w:color w:val="333333"/>
                <w:lang w:val="en-US" w:eastAsia="zh-CN"/>
              </w:rPr>
              <w:t>（新增）</w:t>
            </w:r>
          </w:p>
        </w:tc>
        <w:tc>
          <w:tcPr>
            <w:tcW w:w="2160" w:type="dxa"/>
            <w:vAlign w:val="center"/>
          </w:tcPr>
          <w:p>
            <w:pPr>
              <w:pStyle w:val="9"/>
              <w:shd w:val="clear" w:color="auto" w:fill="FFFFFF"/>
              <w:jc w:val="center"/>
              <w:rPr>
                <w:rFonts w:ascii="仿宋_GB2312" w:hAnsi="仿宋_GB2312" w:eastAsia="仿宋_GB2312" w:cs="仿宋_GB2312"/>
                <w:color w:val="333333"/>
              </w:rPr>
            </w:pPr>
            <w:r>
              <w:rPr>
                <w:rFonts w:hint="eastAsia" w:ascii="仿宋_GB2312" w:hAnsi="仿宋_GB2312" w:eastAsia="仿宋_GB2312" w:cs="仿宋_GB2312"/>
                <w:color w:val="333333"/>
                <w:lang w:val="en-US" w:eastAsia="zh-CN"/>
              </w:rPr>
              <w:t>（十五）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tc>
        <w:tc>
          <w:tcPr>
            <w:tcW w:w="1485" w:type="dxa"/>
            <w:vMerge w:val="restart"/>
            <w:vAlign w:val="center"/>
          </w:tcPr>
          <w:p>
            <w:pPr>
              <w:pStyle w:val="9"/>
              <w:shd w:val="clear" w:color="auto" w:fill="FFFFFF"/>
              <w:jc w:val="center"/>
              <w:rPr>
                <w:rFonts w:hint="default" w:ascii="仿宋_GB2312" w:hAnsi="仿宋_GB2312" w:eastAsia="仿宋_GB2312" w:cs="仿宋_GB2312"/>
                <w:color w:val="333333"/>
                <w:lang w:val="en-US"/>
              </w:rPr>
            </w:pPr>
            <w:r>
              <w:rPr>
                <w:rFonts w:hint="default" w:ascii="仿宋_GB2312" w:hAnsi="仿宋_GB2312" w:eastAsia="仿宋_GB2312" w:cs="仿宋_GB2312"/>
                <w:color w:val="333333"/>
                <w:lang w:eastAsia="zh-CN"/>
              </w:rPr>
              <w:t>2024-0</w:t>
            </w:r>
            <w:r>
              <w:rPr>
                <w:rFonts w:hint="eastAsia" w:ascii="仿宋_GB2312" w:hAnsi="仿宋_GB2312" w:eastAsia="仿宋_GB2312" w:cs="仿宋_GB2312"/>
                <w:color w:val="333333"/>
                <w:lang w:val="en-US" w:eastAsia="zh-CN"/>
              </w:rPr>
              <w:t>7</w:t>
            </w:r>
            <w:r>
              <w:rPr>
                <w:rFonts w:hint="default" w:ascii="仿宋_GB2312" w:hAnsi="仿宋_GB2312" w:eastAsia="仿宋_GB2312" w:cs="仿宋_GB2312"/>
                <w:color w:val="333333"/>
                <w:lang w:eastAsia="zh-CN"/>
              </w:rPr>
              <w:t>-</w:t>
            </w:r>
            <w:r>
              <w:rPr>
                <w:rFonts w:hint="eastAsia" w:ascii="仿宋_GB2312" w:hAnsi="仿宋_GB2312" w:eastAsia="仿宋_GB2312" w:cs="仿宋_GB2312"/>
                <w:color w:val="333333"/>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3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c>
          <w:tcPr>
            <w:tcW w:w="166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风险揭示书--</w:t>
            </w:r>
            <w:r>
              <w:rPr>
                <w:rFonts w:hint="eastAsia" w:ascii="仿宋_GB2312" w:hAnsi="仿宋_GB2312" w:eastAsia="仿宋_GB2312" w:cs="仿宋_GB2312"/>
                <w:color w:val="333333"/>
              </w:rPr>
              <w:t>理财计划</w:t>
            </w:r>
            <w:r>
              <w:rPr>
                <w:rFonts w:hint="eastAsia" w:ascii="仿宋_GB2312" w:hAnsi="仿宋_GB2312" w:eastAsia="仿宋_GB2312" w:cs="仿宋_GB2312"/>
                <w:color w:val="333333"/>
                <w:lang w:val="en-US" w:eastAsia="zh-CN"/>
              </w:rPr>
              <w:t>特定</w:t>
            </w:r>
            <w:r>
              <w:rPr>
                <w:rFonts w:hint="eastAsia" w:ascii="仿宋_GB2312" w:hAnsi="仿宋_GB2312" w:eastAsia="仿宋_GB2312" w:cs="仿宋_GB2312"/>
                <w:color w:val="333333"/>
              </w:rPr>
              <w:t>风险</w:t>
            </w:r>
          </w:p>
        </w:tc>
        <w:tc>
          <w:tcPr>
            <w:tcW w:w="214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（新增）</w:t>
            </w:r>
          </w:p>
        </w:tc>
        <w:tc>
          <w:tcPr>
            <w:tcW w:w="2160"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一）国内上市优先股资产风险：本理财计划所投优先股资产，由于受到发行人的经营状况、信用评级下降或资产交易市场不活跃等因素的影响，存在因市场风险、信用风险、流动性风险等引起的资产价值波动，投资者的本金可能会出现损失。</w:t>
            </w:r>
          </w:p>
        </w:tc>
        <w:tc>
          <w:tcPr>
            <w:tcW w:w="148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3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c>
          <w:tcPr>
            <w:tcW w:w="1665" w:type="dxa"/>
            <w:vAlign w:val="center"/>
          </w:tcPr>
          <w:p>
            <w:pPr>
              <w:pStyle w:val="9"/>
              <w:shd w:val="clear" w:color="auto" w:fill="FFFFFF"/>
              <w:jc w:val="center"/>
              <w:rPr>
                <w:rFonts w:hint="default"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杭银理财投资者权益须知--理财计划办理流程</w:t>
            </w:r>
          </w:p>
        </w:tc>
        <w:tc>
          <w:tcPr>
            <w:tcW w:w="214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（二）首次在销售机构购买杭银理财理财计划的个人投资者须接受并完成销售机构对您的风险承受能力评估，并确认风险承受能力等级不低于本理财计划风险评级。</w:t>
            </w:r>
          </w:p>
        </w:tc>
        <w:tc>
          <w:tcPr>
            <w:tcW w:w="2160"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二）首次在销售机构购买杭银理财理财计划的个人投资者须接受并完成销售机构对您的风险承受能力评估，并确认风险承受能力等级不低于本理财计划风险评级。如销售机构对于机构投资者的风险承受能力评估有要求的，则参照销售机构相关评估标准或代理销售协议书执行。</w:t>
            </w:r>
          </w:p>
        </w:tc>
        <w:tc>
          <w:tcPr>
            <w:tcW w:w="148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3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c>
          <w:tcPr>
            <w:tcW w:w="166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杭银理财投资者权益须知--投资者风险承受能力评估</w:t>
            </w:r>
          </w:p>
        </w:tc>
        <w:tc>
          <w:tcPr>
            <w:tcW w:w="214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六）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tc>
        <w:tc>
          <w:tcPr>
            <w:tcW w:w="2160"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六）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如销售机构对于机构投资者的风险承受能力评估有要求的，则参照销售机构相关评估标准或代理销售协议书执行。</w:t>
            </w:r>
          </w:p>
        </w:tc>
        <w:tc>
          <w:tcPr>
            <w:tcW w:w="148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3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c>
          <w:tcPr>
            <w:tcW w:w="166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杭银理财理财计划投资协议书--协议生效和终止</w:t>
            </w:r>
          </w:p>
        </w:tc>
        <w:tc>
          <w:tcPr>
            <w:tcW w:w="214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（二）本协议书以纸质书面形式订立的，自投资者签字和销售机构代表管理人签署盖章之后立即生效。协议一式贰份，投资者和管理人双方各执壹份，具有同等法律效力。</w:t>
            </w:r>
          </w:p>
        </w:tc>
        <w:tc>
          <w:tcPr>
            <w:tcW w:w="2160"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二）本协议书以纸质书面形式订立的，自投资者签署（如投资者为个人，应签字；如投资者为机构，应法定代表人或授权代理人签字或盖章并加盖公章或有效授权印章）并经管理人系统确认购买理财计划份额之后立即生效。</w:t>
            </w:r>
          </w:p>
        </w:tc>
        <w:tc>
          <w:tcPr>
            <w:tcW w:w="148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3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c>
          <w:tcPr>
            <w:tcW w:w="166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杭银理财理财计划销售协议书--协议生效和终止</w:t>
            </w:r>
          </w:p>
        </w:tc>
        <w:tc>
          <w:tcPr>
            <w:tcW w:w="2145"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（二）本协议书以纸质书面形式订立的，自投资者签字和销售机构签章之后立即生效。协议一式叁份，投资者、管理人和销售机构各执壹份，具有同等法律效力。</w:t>
            </w:r>
          </w:p>
        </w:tc>
        <w:tc>
          <w:tcPr>
            <w:tcW w:w="2160" w:type="dxa"/>
            <w:vAlign w:val="center"/>
          </w:tcPr>
          <w:p>
            <w:pPr>
              <w:pStyle w:val="9"/>
              <w:shd w:val="clear" w:color="auto" w:fill="FFFFFF"/>
              <w:jc w:val="center"/>
              <w:rPr>
                <w:rFonts w:hint="eastAsia" w:ascii="仿宋_GB2312" w:hAnsi="仿宋_GB2312" w:eastAsia="仿宋_GB2312" w:cs="仿宋_GB2312"/>
                <w:color w:val="333333"/>
                <w:lang w:val="en-US" w:eastAsia="zh-CN"/>
              </w:rPr>
            </w:pPr>
            <w:r>
              <w:rPr>
                <w:rFonts w:hint="eastAsia" w:ascii="仿宋_GB2312" w:hAnsi="仿宋_GB2312" w:eastAsia="仿宋_GB2312" w:cs="仿宋_GB2312"/>
                <w:color w:val="333333"/>
                <w:lang w:val="en-US" w:eastAsia="zh-CN"/>
              </w:rPr>
              <w:t>（二）本协议书以纸质书面形式订立的，自投资者签署（如投资者为个人，应签字；如投资者为机构，应法定代表人或授权代理人签字或盖章并加盖公章或有效授权印章）和销售机构签章之后立即生效。协议一式叁份，投资者、管理人和销售机构各执壹份，具有同等法律效力。</w:t>
            </w:r>
          </w:p>
        </w:tc>
        <w:tc>
          <w:tcPr>
            <w:tcW w:w="1485" w:type="dxa"/>
            <w:vMerge w:val="continue"/>
            <w:vAlign w:val="center"/>
          </w:tcPr>
          <w:p>
            <w:pPr>
              <w:pStyle w:val="9"/>
              <w:shd w:val="clear" w:color="auto" w:fill="FFFFFF"/>
              <w:jc w:val="center"/>
              <w:rPr>
                <w:rFonts w:hint="default" w:ascii="仿宋_GB2312" w:hAnsi="仿宋_GB2312" w:eastAsia="仿宋_GB2312" w:cs="仿宋_GB2312"/>
                <w:color w:val="333333"/>
                <w:lang w:eastAsia="zh-CN"/>
              </w:rPr>
            </w:pPr>
          </w:p>
        </w:tc>
      </w:tr>
    </w:tbl>
    <w:p>
      <w:pPr>
        <w:widowControl/>
        <w:spacing w:before="100" w:beforeAutospacing="1" w:after="100" w:afterAutospacing="1"/>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完整内容详见合同文件。</w:t>
      </w:r>
      <w:r>
        <w:rPr>
          <w:rFonts w:hint="eastAsia" w:ascii="仿宋_GB2312" w:hAnsi="仿宋_GB2312" w:eastAsia="仿宋_GB2312" w:cs="仿宋_GB2312"/>
          <w:color w:val="333333"/>
          <w:kern w:val="0"/>
          <w:sz w:val="28"/>
          <w:szCs w:val="28"/>
        </w:rPr>
        <w:t>后续若有调整，请以最新公告为准。</w:t>
      </w:r>
    </w:p>
    <w:p>
      <w:pPr>
        <w:widowControl/>
        <w:spacing w:before="100" w:beforeAutospacing="1" w:after="100" w:afterAutospacing="1"/>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感谢您一直以来对杭银理财的支持，敬请继续关注杭银理财的理财产品。</w:t>
      </w:r>
    </w:p>
    <w:p>
      <w:pPr>
        <w:widowControl/>
        <w:spacing w:before="100" w:beforeAutospacing="1" w:after="100" w:afterAutospacing="1"/>
        <w:ind w:firstLine="560" w:firstLineChars="200"/>
        <w:jc w:val="left"/>
        <w:rPr>
          <w:rFonts w:ascii="仿宋_GB2312" w:hAnsi="仿宋_GB2312" w:eastAsia="仿宋_GB2312" w:cs="仿宋_GB2312"/>
          <w:color w:val="333333"/>
          <w:kern w:val="0"/>
          <w:sz w:val="28"/>
          <w:szCs w:val="28"/>
        </w:rPr>
      </w:pPr>
    </w:p>
    <w:p>
      <w:pPr>
        <w:widowControl/>
        <w:spacing w:before="100" w:beforeAutospacing="1" w:after="100" w:afterAutospacing="1"/>
        <w:ind w:firstLine="560" w:firstLineChars="200"/>
        <w:jc w:val="righ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杭银理财有限责任公司</w:t>
      </w:r>
    </w:p>
    <w:p>
      <w:pPr>
        <w:widowControl/>
        <w:spacing w:before="100" w:beforeAutospacing="1" w:after="100" w:afterAutospacing="1"/>
        <w:ind w:firstLine="560" w:firstLineChars="200"/>
        <w:jc w:val="right"/>
        <w:rPr>
          <w:rFonts w:ascii="仿宋_GB2312" w:hAnsi="仿宋_GB2312" w:eastAsia="仿宋_GB2312" w:cs="仿宋_GB2312"/>
          <w:color w:val="0000FF"/>
          <w:kern w:val="0"/>
          <w:sz w:val="28"/>
          <w:szCs w:val="28"/>
        </w:rPr>
      </w:pPr>
      <w:r>
        <w:rPr>
          <w:rFonts w:hint="eastAsia" w:ascii="仿宋_GB2312" w:hAnsi="仿宋_GB2312" w:eastAsia="仿宋_GB2312" w:cs="仿宋_GB2312"/>
          <w:color w:val="333333"/>
          <w:kern w:val="0"/>
          <w:sz w:val="28"/>
          <w:szCs w:val="28"/>
        </w:rPr>
        <w:t xml:space="preserve">                                  </w:t>
      </w:r>
      <w:r>
        <w:rPr>
          <w:rFonts w:hint="default" w:ascii="仿宋_GB2312" w:hAnsi="仿宋_GB2312" w:eastAsia="仿宋_GB2312" w:cs="仿宋_GB2312"/>
          <w:color w:val="333333"/>
          <w:kern w:val="0"/>
          <w:sz w:val="28"/>
          <w:szCs w:val="28"/>
          <w:lang w:eastAsia="zh-CN"/>
        </w:rPr>
        <w:t>2024年</w:t>
      </w:r>
      <w:r>
        <w:rPr>
          <w:rFonts w:hint="eastAsia" w:ascii="仿宋_GB2312" w:hAnsi="仿宋_GB2312" w:eastAsia="仿宋_GB2312" w:cs="仿宋_GB2312"/>
          <w:color w:val="333333"/>
          <w:kern w:val="0"/>
          <w:sz w:val="28"/>
          <w:szCs w:val="28"/>
          <w:lang w:val="en-US" w:eastAsia="zh-CN"/>
        </w:rPr>
        <w:t>7</w:t>
      </w:r>
      <w:r>
        <w:rPr>
          <w:rFonts w:hint="default" w:ascii="仿宋_GB2312" w:hAnsi="仿宋_GB2312" w:eastAsia="仿宋_GB2312" w:cs="仿宋_GB2312"/>
          <w:color w:val="333333"/>
          <w:kern w:val="0"/>
          <w:sz w:val="28"/>
          <w:szCs w:val="28"/>
          <w:lang w:eastAsia="zh-CN"/>
        </w:rPr>
        <w:t>月</w:t>
      </w:r>
      <w:r>
        <w:rPr>
          <w:rFonts w:hint="eastAsia" w:ascii="仿宋_GB2312" w:hAnsi="仿宋_GB2312" w:eastAsia="仿宋_GB2312" w:cs="仿宋_GB2312"/>
          <w:color w:val="333333"/>
          <w:kern w:val="0"/>
          <w:sz w:val="28"/>
          <w:szCs w:val="28"/>
          <w:lang w:val="en-US" w:eastAsia="zh-CN"/>
        </w:rPr>
        <w:t>23</w:t>
      </w:r>
      <w:bookmarkStart w:id="0" w:name="_GoBack"/>
      <w:bookmarkEnd w:id="0"/>
      <w:r>
        <w:rPr>
          <w:rFonts w:hint="default" w:ascii="仿宋_GB2312" w:hAnsi="仿宋_GB2312" w:eastAsia="仿宋_GB2312" w:cs="仿宋_GB2312"/>
          <w:color w:val="333333"/>
          <w:kern w:val="0"/>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7B097FDB"/>
    <w:rsid w:val="002922F3"/>
    <w:rsid w:val="00936F91"/>
    <w:rsid w:val="00F13F70"/>
    <w:rsid w:val="097B1200"/>
    <w:rsid w:val="0B5338A3"/>
    <w:rsid w:val="0C27016F"/>
    <w:rsid w:val="0C951B18"/>
    <w:rsid w:val="0E5218F4"/>
    <w:rsid w:val="12C05C95"/>
    <w:rsid w:val="179272F5"/>
    <w:rsid w:val="1A021508"/>
    <w:rsid w:val="1B7156DA"/>
    <w:rsid w:val="1DDB1F45"/>
    <w:rsid w:val="1E9F5045"/>
    <w:rsid w:val="1F856959"/>
    <w:rsid w:val="21EF7EC3"/>
    <w:rsid w:val="23855271"/>
    <w:rsid w:val="23E9139B"/>
    <w:rsid w:val="262042C4"/>
    <w:rsid w:val="28FE4FFD"/>
    <w:rsid w:val="29637C98"/>
    <w:rsid w:val="2A9B7EEB"/>
    <w:rsid w:val="2AAD7E4C"/>
    <w:rsid w:val="2DAC478B"/>
    <w:rsid w:val="2EF3355D"/>
    <w:rsid w:val="3122558A"/>
    <w:rsid w:val="31F16DE0"/>
    <w:rsid w:val="357F4616"/>
    <w:rsid w:val="365D0235"/>
    <w:rsid w:val="36EE7B17"/>
    <w:rsid w:val="384635C2"/>
    <w:rsid w:val="3BDA699B"/>
    <w:rsid w:val="3DE81F93"/>
    <w:rsid w:val="430C62A5"/>
    <w:rsid w:val="43687F91"/>
    <w:rsid w:val="438D6AF3"/>
    <w:rsid w:val="44F65DEA"/>
    <w:rsid w:val="48AE7640"/>
    <w:rsid w:val="48B60138"/>
    <w:rsid w:val="495010BE"/>
    <w:rsid w:val="4C401C66"/>
    <w:rsid w:val="4D975F11"/>
    <w:rsid w:val="4DFC7D00"/>
    <w:rsid w:val="4E386CB2"/>
    <w:rsid w:val="50A26328"/>
    <w:rsid w:val="51202DF8"/>
    <w:rsid w:val="54FD13A9"/>
    <w:rsid w:val="569A3030"/>
    <w:rsid w:val="59DA769E"/>
    <w:rsid w:val="5C575328"/>
    <w:rsid w:val="5CCC5D32"/>
    <w:rsid w:val="6193451D"/>
    <w:rsid w:val="619E18CE"/>
    <w:rsid w:val="64453FF8"/>
    <w:rsid w:val="64C4452C"/>
    <w:rsid w:val="66EF4CD2"/>
    <w:rsid w:val="671244D5"/>
    <w:rsid w:val="67BF728E"/>
    <w:rsid w:val="6A8221BF"/>
    <w:rsid w:val="6B7D2BE9"/>
    <w:rsid w:val="6E5454EA"/>
    <w:rsid w:val="733325D8"/>
    <w:rsid w:val="75507940"/>
    <w:rsid w:val="760179B3"/>
    <w:rsid w:val="79004989"/>
    <w:rsid w:val="7B097FDB"/>
    <w:rsid w:val="7D6C08F2"/>
    <w:rsid w:val="7DAC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next w:val="1"/>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next w:val="1"/>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96F98AEF.dotm</Template>
  <Pages>1</Pages>
  <Words>55</Words>
  <Characters>316</Characters>
  <Lines>2</Lines>
  <Paragraphs>1</Paragraphs>
  <TotalTime>0</TotalTime>
  <ScaleCrop>false</ScaleCrop>
  <LinksUpToDate>false</LinksUpToDate>
  <CharactersWithSpaces>370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2024-03-12T11:38:00Z</dcterms:created>
  <dc:creator>陈舒虹</dc:creator>
  <cp:lastModifiedBy>高玉锦</cp:lastModifiedBy>
  <dcterms:modified xsi:type="dcterms:W3CDTF">2024-07-23T02:09:16Z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97E7EEED53A54652B024B934AFD422AC</vt:lpwstr>
  </property>
</Properties>
</file>