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12.0 -->
  <w:body>
    <w:p>
      <w:pPr>
        <w:widowControl/>
        <w:shd w:val="clear" w:color="auto" w:fill="FFFFFF"/>
        <w:spacing w:line="837" w:lineRule="atLeast"/>
        <w:jc w:val="center"/>
        <w:outlineLvl w:val="1"/>
        <w:rPr>
          <w:rFonts w:ascii="微软雅黑" w:eastAsia="宋体" w:hAnsi="微软雅黑" w:cs="宋体" w:hint="eastAsia"/>
          <w:b/>
          <w:bCs/>
          <w:color w:val="004EA2"/>
          <w:kern w:val="0"/>
          <w:sz w:val="28"/>
          <w:szCs w:val="28"/>
        </w:rPr>
      </w:pPr>
      <w:r>
        <w:rPr>
          <w:rFonts w:ascii="微软雅黑" w:eastAsia="宋体" w:hAnsi="微软雅黑" w:cs="宋体" w:hint="eastAsia"/>
          <w:b/>
          <w:bCs/>
          <w:color w:val="004EA2"/>
          <w:kern w:val="0"/>
          <w:sz w:val="28"/>
          <w:szCs w:val="28"/>
        </w:rPr>
        <w:t>杭银理财幸福99丰裕固收23021期理财（稳利低波款）C款</w:t>
      </w:r>
    </w:p>
    <w:p>
      <w:pPr>
        <w:widowControl/>
        <w:shd w:val="clear" w:color="auto" w:fill="FFFFFF"/>
        <w:spacing w:line="837" w:lineRule="atLeast"/>
        <w:jc w:val="center"/>
        <w:outlineLvl w:val="1"/>
        <w:rPr>
          <w:rFonts w:ascii="微软雅黑" w:eastAsia="宋体" w:hAnsi="微软雅黑" w:cs="宋体" w:hint="eastAsia"/>
          <w:b/>
          <w:bCs/>
          <w:color w:val="004EA2"/>
          <w:kern w:val="0"/>
          <w:sz w:val="28"/>
          <w:szCs w:val="28"/>
        </w:rPr>
      </w:pPr>
      <w:r>
        <w:rPr>
          <w:rFonts w:ascii="微软雅黑" w:eastAsia="宋体" w:hAnsi="微软雅黑" w:cs="宋体" w:hint="eastAsia"/>
          <w:b/>
          <w:bCs/>
          <w:color w:val="004EA2"/>
          <w:kern w:val="0"/>
          <w:sz w:val="28"/>
          <w:szCs w:val="28"/>
        </w:rPr>
        <w:t>产品到期兑付公告</w:t>
      </w:r>
    </w:p>
    <w:p>
      <w:pPr>
        <w:rPr>
          <w:rFonts w:asciiTheme="minorEastAsia" w:hAnsiTheme="minorEastAsia" w:cstheme="minorEastAsia" w:hint="eastAsia"/>
          <w:sz w:val="28"/>
          <w:szCs w:val="28"/>
        </w:rPr>
      </w:pPr>
      <w:r>
        <w:rPr>
          <w:rFonts w:asciiTheme="minorEastAsia" w:hAnsiTheme="minorEastAsia" w:cstheme="minorEastAsia" w:hint="eastAsia"/>
          <w:sz w:val="28"/>
          <w:szCs w:val="28"/>
        </w:rPr>
        <w:t>尊敬的投资者：</w:t>
      </w:r>
    </w:p>
    <w:p>
      <w:pPr>
        <w:ind w:firstLine="480"/>
        <w:rPr>
          <w:rFonts w:asciiTheme="minorEastAsia" w:hAnsiTheme="minorEastAsia" w:cstheme="minorEastAsia" w:hint="eastAsia"/>
          <w:sz w:val="28"/>
          <w:szCs w:val="28"/>
        </w:rPr>
      </w:pPr>
      <w:r>
        <w:rPr>
          <w:rFonts w:asciiTheme="minorEastAsia" w:hAnsiTheme="minorEastAsia" w:cstheme="minorEastAsia" w:hint="eastAsia"/>
          <w:sz w:val="28"/>
          <w:szCs w:val="28"/>
        </w:rPr>
        <w:t>杭银理财幸福99丰裕固收23021期理财（稳利低波款）C款</w:t>
      </w:r>
      <w:r>
        <w:rPr>
          <w:sz w:val="28"/>
        </w:rPr>
        <w:t>产品已于</w:t>
      </w:r>
      <w:r>
        <w:rPr>
          <w:sz w:val="28"/>
        </w:rPr>
        <w:t>2024年7月24日</w:t>
      </w:r>
      <w:r>
        <w:rPr>
          <w:sz w:val="28"/>
        </w:rPr>
        <w:t>到期终止，现将相关信息公告如下：</w:t>
      </w:r>
    </w:p>
    <w:tbl>
      <w:tblPr>
        <w:tblStyle w:val="TableGrid"/>
        <w:tblW w:w="8516"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3934"/>
        <w:gridCol w:w="4582"/>
      </w:tblGrid>
      <w:tr>
        <w:tblPrEx>
          <w:tblW w:w="8516"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产品名称</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杭银理财幸福99丰裕固收23021期理财（稳利低波款）C款</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理财产品代码</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FYG23021C</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产品登记编码</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Z7002223000023</w:t>
            </w:r>
            <w:r>
              <w:rPr>
                <w:sz w:val="24"/>
              </w:rPr>
              <w:t xml:space="preserve">（可在中国理财网 www.chinawealth.com.cn 查询产品信息） </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产品起始日期</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2023-01-31</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产品终止日期</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2024-07-24</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产品存续天数</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540</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highlight w:val="none"/>
              </w:rPr>
            </w:pPr>
            <w:r>
              <w:rPr>
                <w:rFonts w:asciiTheme="minorEastAsia" w:eastAsiaTheme="minorEastAsia" w:hAnsiTheme="minorEastAsia" w:cstheme="minorEastAsia" w:hint="eastAsia"/>
                <w:sz w:val="24"/>
                <w:szCs w:val="22"/>
                <w:highlight w:val="none"/>
              </w:rPr>
              <w:t>产品</w:t>
            </w:r>
            <w:r>
              <w:rPr>
                <w:rFonts w:asciiTheme="minorEastAsia" w:hAnsiTheme="minorEastAsia" w:cstheme="minorEastAsia" w:hint="eastAsia"/>
                <w:sz w:val="24"/>
                <w:szCs w:val="22"/>
                <w:highlight w:val="none"/>
                <w:lang w:val="en-US" w:eastAsia="zh-CN"/>
              </w:rPr>
              <w:t>累计</w:t>
            </w:r>
            <w:r>
              <w:rPr>
                <w:rFonts w:asciiTheme="minorEastAsia" w:eastAsiaTheme="minorEastAsia" w:hAnsiTheme="minorEastAsia" w:cstheme="minorEastAsia" w:hint="eastAsia"/>
                <w:sz w:val="24"/>
                <w:szCs w:val="22"/>
                <w:highlight w:val="none"/>
              </w:rPr>
              <w:t>净值</w:t>
            </w:r>
          </w:p>
        </w:tc>
        <w:tc>
          <w:tcPr>
            <w:tcW w:w="4582" w:type="dxa"/>
            <w:vAlign w:val="center"/>
          </w:tcPr>
          <w:p>
            <w:pPr>
              <w:rPr>
                <w:rFonts w:asciiTheme="minorEastAsia" w:eastAsiaTheme="minorEastAsia" w:hAnsiTheme="minorEastAsia" w:cstheme="minorEastAsia" w:hint="eastAsia"/>
                <w:sz w:val="24"/>
                <w:highlight w:val="none"/>
              </w:rPr>
            </w:pPr>
            <w:r>
              <w:rPr>
                <w:rFonts w:asciiTheme="minorEastAsia" w:eastAsiaTheme="minorEastAsia" w:hAnsiTheme="minorEastAsia" w:cstheme="minorEastAsia" w:hint="eastAsia"/>
                <w:sz w:val="24"/>
                <w:highlight w:val="none"/>
              </w:rPr>
              <w:t>1.0658</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default"/>
                <w:sz w:val="24"/>
                <w:szCs w:val="22"/>
                <w:highlight w:val="none"/>
                <w:lang w:val="en-US" w:eastAsia="zh-CN"/>
              </w:rPr>
            </w:pPr>
            <w:r>
              <w:rPr>
                <w:rFonts w:asciiTheme="minorEastAsia" w:eastAsiaTheme="minorEastAsia" w:hAnsiTheme="minorEastAsia" w:cstheme="minorEastAsia" w:hint="eastAsia"/>
                <w:sz w:val="24"/>
                <w:szCs w:val="22"/>
                <w:highlight w:val="none"/>
              </w:rPr>
              <w:t>产品到期兑付净值</w:t>
            </w:r>
          </w:p>
        </w:tc>
        <w:tc>
          <w:tcPr>
            <w:tcW w:w="4582" w:type="dxa"/>
            <w:vAlign w:val="center"/>
          </w:tcPr>
          <w:p>
            <w:pPr>
              <w:rPr>
                <w:rFonts w:asciiTheme="minorEastAsia" w:eastAsiaTheme="minorEastAsia" w:hAnsiTheme="minorEastAsia" w:cstheme="minorEastAsia" w:hint="eastAsia"/>
                <w:sz w:val="24"/>
                <w:highlight w:val="none"/>
              </w:rPr>
            </w:pPr>
            <w:r>
              <w:rPr>
                <w:rFonts w:asciiTheme="minorEastAsia" w:eastAsiaTheme="minorEastAsia" w:hAnsiTheme="minorEastAsia" w:cstheme="minorEastAsia" w:hint="eastAsia"/>
                <w:sz w:val="24"/>
                <w:highlight w:val="none"/>
              </w:rPr>
              <w:t>1.0658</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szCs w:val="22"/>
              </w:rPr>
            </w:pPr>
            <w:r>
              <w:rPr>
                <w:rFonts w:asciiTheme="minorEastAsia" w:eastAsiaTheme="minorEastAsia" w:hAnsiTheme="minorEastAsia" w:cstheme="minorEastAsia" w:hint="eastAsia"/>
                <w:sz w:val="24"/>
                <w:szCs w:val="22"/>
              </w:rPr>
              <w:t>业绩比较基准</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4.30%</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szCs w:val="22"/>
              </w:rPr>
            </w:pPr>
            <w:r>
              <w:rPr>
                <w:rFonts w:asciiTheme="minorEastAsia" w:eastAsiaTheme="minorEastAsia" w:hAnsiTheme="minorEastAsia" w:cstheme="minorEastAsia" w:hint="eastAsia"/>
                <w:sz w:val="24"/>
                <w:szCs w:val="22"/>
              </w:rPr>
              <w:t>折合年化收益率</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4.4475</w:t>
            </w:r>
            <w:r>
              <w:rPr>
                <w:sz w:val="24"/>
              </w:rPr>
              <w:t>%</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szCs w:val="22"/>
              </w:rPr>
            </w:pPr>
            <w:r>
              <w:rPr>
                <w:rFonts w:asciiTheme="minorEastAsia" w:eastAsiaTheme="minorEastAsia" w:hAnsiTheme="minorEastAsia" w:cstheme="minorEastAsia" w:hint="eastAsia"/>
                <w:sz w:val="24"/>
                <w:szCs w:val="22"/>
              </w:rPr>
              <w:t>固定管理费</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0.30%</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szCs w:val="22"/>
              </w:rPr>
            </w:pPr>
            <w:r>
              <w:rPr>
                <w:rFonts w:asciiTheme="minorEastAsia" w:eastAsiaTheme="minorEastAsia" w:hAnsiTheme="minorEastAsia" w:cstheme="minorEastAsia" w:hint="eastAsia"/>
                <w:sz w:val="24"/>
                <w:szCs w:val="22"/>
              </w:rPr>
              <w:t>销售服务费</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0.20%</w:t>
            </w:r>
            <w:bookmarkStart w:id="0" w:name="_GoBack"/>
            <w:bookmarkEnd w:id="0"/>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szCs w:val="22"/>
              </w:rPr>
            </w:pPr>
            <w:r>
              <w:rPr>
                <w:rFonts w:asciiTheme="minorEastAsia" w:eastAsiaTheme="minorEastAsia" w:hAnsiTheme="minorEastAsia" w:cstheme="minorEastAsia" w:hint="eastAsia"/>
                <w:sz w:val="24"/>
                <w:szCs w:val="22"/>
              </w:rPr>
              <w:t>浮动管理费</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80.00%</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szCs w:val="22"/>
              </w:rPr>
            </w:pPr>
            <w:r>
              <w:rPr>
                <w:rFonts w:asciiTheme="minorEastAsia" w:eastAsiaTheme="minorEastAsia" w:hAnsiTheme="minorEastAsia" w:cstheme="minorEastAsia" w:hint="eastAsia"/>
                <w:sz w:val="24"/>
                <w:szCs w:val="22"/>
              </w:rPr>
              <w:t>托管费</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0.025</w:t>
            </w:r>
            <w:r>
              <w:rPr>
                <w:sz w:val="24"/>
              </w:rPr>
              <w:t>%</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szCs w:val="22"/>
              </w:rPr>
            </w:pPr>
            <w:r>
              <w:rPr>
                <w:rFonts w:asciiTheme="minorEastAsia" w:eastAsiaTheme="minorEastAsia" w:hAnsiTheme="minorEastAsia" w:cstheme="minorEastAsia" w:hint="eastAsia"/>
                <w:sz w:val="24"/>
                <w:szCs w:val="22"/>
              </w:rPr>
              <w:t>其他费用</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0.00%</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szCs w:val="22"/>
              </w:rPr>
            </w:pPr>
            <w:r>
              <w:rPr>
                <w:rFonts w:asciiTheme="minorEastAsia" w:eastAsiaTheme="minorEastAsia" w:hAnsiTheme="minorEastAsia" w:cstheme="minorEastAsia" w:hint="eastAsia"/>
                <w:sz w:val="24"/>
                <w:szCs w:val="22"/>
              </w:rPr>
              <w:t>收益分配情况（单位：万元）</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1222.32</w:t>
            </w:r>
          </w:p>
        </w:tc>
      </w:tr>
    </w:tbl>
    <w:p>
      <w:pPr>
        <w:rPr>
          <w:rFonts w:asciiTheme="minorEastAsia" w:eastAsiaTheme="minorEastAsia" w:hAnsiTheme="minorEastAsia" w:cstheme="minorEastAsia" w:hint="eastAsia"/>
          <w:sz w:val="24"/>
          <w:szCs w:val="22"/>
        </w:rPr>
      </w:pPr>
    </w:p>
    <w:p>
      <w:pPr>
        <w:ind w:firstLine="560" w:firstLineChars="200"/>
        <w:rPr>
          <w:rFonts w:asciiTheme="minorEastAsia" w:hAnsiTheme="minorEastAsia" w:cstheme="minorEastAsia" w:hint="eastAsia"/>
          <w:sz w:val="28"/>
          <w:szCs w:val="24"/>
        </w:rPr>
      </w:pPr>
      <w:r>
        <w:rPr>
          <w:rFonts w:asciiTheme="minorEastAsia" w:hAnsiTheme="minorEastAsia" w:cstheme="minorEastAsia" w:hint="eastAsia"/>
          <w:sz w:val="28"/>
          <w:szCs w:val="24"/>
        </w:rPr>
        <w:t>特此公告。</w:t>
      </w:r>
    </w:p>
    <w:p>
      <w:pPr>
        <w:rPr>
          <w:rFonts w:asciiTheme="minorEastAsia" w:hAnsiTheme="minorEastAsia" w:cstheme="minorEastAsia" w:hint="eastAsia"/>
          <w:sz w:val="24"/>
        </w:rPr>
      </w:pPr>
    </w:p>
    <w:p>
      <w:pPr>
        <w:rPr>
          <w:rFonts w:asciiTheme="minorEastAsia" w:hAnsiTheme="minorEastAsia" w:cstheme="minorEastAsia" w:hint="eastAsia"/>
          <w:sz w:val="24"/>
        </w:rPr>
      </w:pPr>
      <w:r>
        <w:rPr>
          <w:rFonts w:asciiTheme="minorEastAsia" w:hAnsiTheme="minorEastAsia" w:cstheme="minorEastAsia" w:hint="eastAsia"/>
          <w:sz w:val="24"/>
        </w:rPr>
        <w:t>注：</w:t>
      </w:r>
    </w:p>
    <w:p>
      <w:pPr>
        <w:numPr>
          <w:ilvl w:val="0"/>
          <w:numId w:val="1"/>
        </w:numPr>
        <w:rPr>
          <w:rFonts w:asciiTheme="minorEastAsia" w:hAnsiTheme="minorEastAsia" w:cstheme="minorEastAsia" w:hint="eastAsia"/>
          <w:sz w:val="24"/>
        </w:rPr>
      </w:pPr>
      <w:r>
        <w:rPr>
          <w:rFonts w:asciiTheme="minorEastAsia" w:hAnsiTheme="minorEastAsia" w:cstheme="minorEastAsia" w:hint="eastAsia"/>
          <w:sz w:val="24"/>
        </w:rPr>
        <w:t>理财计划财产在管理、运用、处分过程中产生的税费（包括但不限于增值税及相应的附加税费等），由理财计划财产承担；产品管理人对该等税费无垫付义务。前述税费（包括但不限于增值税及相应附加税费）的计算、提取及缴纳，由产品管理人按照应税行为发生时有效的相关法律法规的规定执行。支付给客户的理财收益的应纳税款由客户自行申报及缴纳。</w:t>
      </w:r>
    </w:p>
    <w:p>
      <w:pPr>
        <w:numPr>
          <w:ilvl w:val="0"/>
          <w:numId w:val="1"/>
        </w:numPr>
        <w:rPr>
          <w:rFonts w:asciiTheme="minorEastAsia" w:hAnsiTheme="minorEastAsia" w:cstheme="minorEastAsia" w:hint="eastAsia"/>
          <w:sz w:val="24"/>
        </w:rPr>
      </w:pPr>
      <w:r>
        <w:rPr>
          <w:rFonts w:asciiTheme="minorEastAsia" w:hAnsiTheme="minorEastAsia" w:cstheme="minorEastAsia" w:hint="eastAsia"/>
          <w:sz w:val="24"/>
        </w:rPr>
        <w:t>托管费：原则上按日计提，逐日累计</w:t>
      </w:r>
      <w:r>
        <w:rPr>
          <w:rFonts w:asciiTheme="minorEastAsia" w:hAnsiTheme="minorEastAsia" w:cstheme="minorEastAsia" w:hint="eastAsia"/>
          <w:sz w:val="24"/>
          <w:lang w:val="en-US" w:eastAsia="zh-CN"/>
        </w:rPr>
        <w:t>至到期日</w:t>
      </w:r>
      <w:r>
        <w:rPr>
          <w:rFonts w:asciiTheme="minorEastAsia" w:hAnsiTheme="minorEastAsia" w:cstheme="minorEastAsia" w:hint="eastAsia"/>
          <w:sz w:val="24"/>
        </w:rPr>
        <w:t>从理财计划财产中扣除。</w:t>
      </w:r>
    </w:p>
    <w:p>
      <w:pPr>
        <w:numPr>
          <w:ilvl w:val="0"/>
          <w:numId w:val="1"/>
        </w:numPr>
        <w:rPr>
          <w:rFonts w:asciiTheme="minorEastAsia" w:hAnsiTheme="minorEastAsia" w:cstheme="minorEastAsia" w:hint="eastAsia"/>
          <w:sz w:val="24"/>
        </w:rPr>
      </w:pPr>
      <w:r>
        <w:rPr>
          <w:rFonts w:asciiTheme="minorEastAsia" w:hAnsiTheme="minorEastAsia" w:cstheme="minorEastAsia" w:hint="eastAsia"/>
          <w:sz w:val="24"/>
        </w:rPr>
        <w:t>固定管理费：原则上按日计提，逐日累计</w:t>
      </w:r>
      <w:r>
        <w:rPr>
          <w:rFonts w:asciiTheme="minorEastAsia" w:hAnsiTheme="minorEastAsia" w:cstheme="minorEastAsia" w:hint="eastAsia"/>
          <w:sz w:val="24"/>
          <w:lang w:val="en-US" w:eastAsia="zh-CN"/>
        </w:rPr>
        <w:t>至到期日</w:t>
      </w:r>
      <w:r>
        <w:rPr>
          <w:rFonts w:asciiTheme="minorEastAsia" w:hAnsiTheme="minorEastAsia" w:cstheme="minorEastAsia" w:hint="eastAsia"/>
          <w:sz w:val="24"/>
        </w:rPr>
        <w:t>从理财计划财产中扣除。</w:t>
      </w:r>
    </w:p>
    <w:p>
      <w:pPr>
        <w:numPr>
          <w:ilvl w:val="0"/>
          <w:numId w:val="1"/>
        </w:numPr>
        <w:rPr>
          <w:rFonts w:asciiTheme="minorEastAsia" w:hAnsiTheme="minorEastAsia" w:cstheme="minorEastAsia" w:hint="eastAsia"/>
          <w:sz w:val="24"/>
        </w:rPr>
      </w:pPr>
      <w:r>
        <w:rPr>
          <w:rFonts w:asciiTheme="minorEastAsia" w:hAnsiTheme="minorEastAsia" w:cstheme="minorEastAsia" w:hint="eastAsia"/>
          <w:sz w:val="24"/>
        </w:rPr>
        <w:t>固定管理费、销售服务费、托管费、其他费用为对应费用的收取费率。浮动管理费为产品实际业绩超出产品说明书中约定的提取标准后，管理人对超出部分收取的超额业绩报酬比例。</w:t>
      </w:r>
    </w:p>
    <w:p>
      <w:pPr>
        <w:numPr>
          <w:ilvl w:val="0"/>
          <w:numId w:val="1"/>
        </w:numPr>
        <w:rPr>
          <w:rFonts w:asciiTheme="minorEastAsia" w:hAnsiTheme="minorEastAsia" w:cstheme="minorEastAsia" w:hint="eastAsia"/>
          <w:sz w:val="24"/>
        </w:rPr>
      </w:pPr>
      <w:r>
        <w:rPr>
          <w:rFonts w:asciiTheme="minorEastAsia" w:hAnsiTheme="minorEastAsia" w:cstheme="minorEastAsia" w:hint="eastAsia"/>
          <w:sz w:val="24"/>
        </w:rPr>
        <w:t>各期理财产品详细信息可根据产品登记编码登陆中国理财网进行查询。</w:t>
      </w:r>
    </w:p>
    <w:p>
      <w:pPr>
        <w:ind w:left="360"/>
        <w:jc w:val="right"/>
        <w:rPr>
          <w:rFonts w:ascii="仿宋_GB2312" w:eastAsia="仿宋_GB2312" w:hAnsi="仿宋_GB2312" w:cs="仿宋_GB2312" w:hint="eastAsia"/>
          <w:sz w:val="24"/>
        </w:rPr>
      </w:pPr>
    </w:p>
    <w:p>
      <w:pPr>
        <w:ind w:left="360"/>
        <w:jc w:val="right"/>
        <w:rPr>
          <w:rFonts w:ascii="仿宋_GB2312" w:eastAsia="仿宋_GB2312" w:hAnsi="仿宋_GB2312" w:cs="仿宋_GB2312" w:hint="eastAsia"/>
          <w:sz w:val="28"/>
          <w:szCs w:val="28"/>
        </w:rPr>
      </w:pPr>
    </w:p>
    <w:p>
      <w:pPr>
        <w:ind w:left="360"/>
        <w:jc w:val="right"/>
        <w:rPr>
          <w:rFonts w:asciiTheme="minorEastAsia" w:hAnsiTheme="minorEastAsia" w:cstheme="minorEastAsia" w:hint="eastAsia"/>
          <w:sz w:val="28"/>
          <w:szCs w:val="28"/>
        </w:rPr>
      </w:pPr>
      <w:r>
        <w:rPr>
          <w:rFonts w:asciiTheme="minorEastAsia" w:hAnsiTheme="minorEastAsia" w:cstheme="minorEastAsia" w:hint="eastAsia"/>
          <w:sz w:val="28"/>
          <w:szCs w:val="28"/>
        </w:rPr>
        <w:t>杭银理财有限责任公司</w:t>
      </w:r>
    </w:p>
    <w:p>
      <w:pPr>
        <w:jc w:val="right"/>
        <w:rPr>
          <w:rFonts w:asciiTheme="minorEastAsia" w:hAnsiTheme="minorEastAsia" w:cstheme="minorEastAsia" w:hint="eastAsia"/>
          <w:sz w:val="28"/>
          <w:szCs w:val="28"/>
        </w:rPr>
      </w:pPr>
      <w:r>
        <w:rPr>
          <w:rFonts w:asciiTheme="minorEastAsia" w:hAnsiTheme="minorEastAsia" w:cstheme="minorEastAsia" w:hint="eastAsia"/>
          <w:sz w:val="28"/>
          <w:szCs w:val="28"/>
        </w:rPr>
        <w:t>2024年7月25日</w:t>
      </w:r>
    </w:p>
    <w:sectPr>
      <w:headerReference w:type="default" r:id="rId5"/>
      <w:pgSz w:w="11906" w:h="16838"/>
      <w:pgMar w:top="2551" w:right="1803" w:bottom="2551" w:left="1803" w:header="851" w:footer="992" w:gutter="0"/>
      <w:cols w:num="1" w:space="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Pr>
    <w: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7543800" cy="10671810"/>
          <wp:effectExtent l="0" t="0" r="0" b="15240"/>
          <wp:wrapNone/>
          <wp:docPr id="5" name="WordPictureWatermark140627" descr="微信图片_20220817144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PictureWatermark140627" descr="微信图片_20220817144322"/>
                  <pic:cNvPicPr>
                    <a:picLocks noChangeAspect="1"/>
                  </pic:cNvPicPr>
                </pic:nvPicPr>
                <pic:blipFill>
                  <a:blip xmlns:r="http://schemas.openxmlformats.org/officeDocument/2006/relationships" r:embed="rId1"/>
                  <a:stretch>
                    <a:fillRect/>
                  </a:stretch>
                </pic:blipFill>
                <pic:spPr>
                  <a:xfrm>
                    <a:off x="0" y="0"/>
                    <a:ext cx="7543800" cy="1067181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D3811CC"/>
    <w:multiLevelType w:val="multilevel"/>
    <w:tmpl w:val="1D3811C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00"/>
  <w:doNotDisplayPageBoundaries/>
  <w:embedSystemFonts/>
  <w:bordersDoNotSurroundHeader/>
  <w:bordersDoNotSurroundFooter/>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687052B"/>
    <w:rsid w:val="001E34DE"/>
    <w:rsid w:val="00200A72"/>
    <w:rsid w:val="00603D57"/>
    <w:rsid w:val="00632F14"/>
    <w:rsid w:val="0073172D"/>
    <w:rsid w:val="00C47DF8"/>
    <w:rsid w:val="00D00D6A"/>
    <w:rsid w:val="050F5184"/>
    <w:rsid w:val="0AB0656E"/>
    <w:rsid w:val="0CB459D4"/>
    <w:rsid w:val="151D7E14"/>
    <w:rsid w:val="18462C74"/>
    <w:rsid w:val="190B63BC"/>
    <w:rsid w:val="1F0A0FE5"/>
    <w:rsid w:val="1F48553E"/>
    <w:rsid w:val="21F964F5"/>
    <w:rsid w:val="28362D7D"/>
    <w:rsid w:val="2AB67C98"/>
    <w:rsid w:val="3286081F"/>
    <w:rsid w:val="3BF50A6E"/>
    <w:rsid w:val="3C231661"/>
    <w:rsid w:val="3E174A3C"/>
    <w:rsid w:val="3ED86525"/>
    <w:rsid w:val="3F221A4C"/>
    <w:rsid w:val="3FC04F0B"/>
    <w:rsid w:val="447B660D"/>
    <w:rsid w:val="462266D9"/>
    <w:rsid w:val="4C4A04BD"/>
    <w:rsid w:val="50B7489E"/>
    <w:rsid w:val="50DC0E7A"/>
    <w:rsid w:val="548E4345"/>
    <w:rsid w:val="595715BE"/>
    <w:rsid w:val="5A7F5A78"/>
    <w:rsid w:val="600F7924"/>
    <w:rsid w:val="612B75BF"/>
    <w:rsid w:val="661D745C"/>
    <w:rsid w:val="6687052B"/>
    <w:rsid w:val="6B6670CE"/>
    <w:rsid w:val="6D5B6E8B"/>
    <w:rsid w:val="6D623B7E"/>
    <w:rsid w:val="6E683E61"/>
    <w:rsid w:val="78026722"/>
    <w:rsid w:val="79337090"/>
    <w:rsid w:val="7EA037DA"/>
    <w:rsid w:val="7EF7C949"/>
  </w:rsids>
  <w:docVars>
    <w:docVar w:name="commondata" w:val="eyJoZGlkIjoiMDZlY2ZiYmExOWJmOTY5NWFmNzQwOWFhNmE0ZjgxMT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semiHidden="0" w:uiPriority="0" w:qFormat="1"/>
    <w:lsdException w:name="heading 3" w:semiHidden="0"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qFormat="1"/>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lsdException w:name="Table Grid" w:semiHidden="0" w:unhideWhenUsed="0" w:qFormat="1"/>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4"/>
      <w:lang w:val="en-US" w:eastAsia="zh-CN" w:bidi="ar-SA"/>
    </w:rPr>
  </w:style>
  <w:style w:type="paragraph" w:styleId="Heading1">
    <w:name w:val="heading 1"/>
    <w:basedOn w:val="Normal"/>
    <w:next w:val="Normal"/>
    <w:qFormat/>
    <w:pPr>
      <w:keepNext/>
      <w:keepLines/>
      <w:spacing w:line="400" w:lineRule="exact"/>
      <w:jc w:val="center"/>
      <w:outlineLvl w:val="0"/>
    </w:pPr>
    <w:rPr>
      <w:rFonts w:ascii="Times New Roman" w:eastAsia="宋体" w:hAnsi="Times New Roman"/>
      <w:b/>
      <w:kern w:val="44"/>
      <w:sz w:val="24"/>
    </w:rPr>
  </w:style>
  <w:style w:type="paragraph" w:styleId="Heading2">
    <w:name w:val="heading 2"/>
    <w:basedOn w:val="Normal"/>
    <w:next w:val="Normal"/>
    <w:unhideWhenUsed/>
    <w:qFormat/>
    <w:pPr>
      <w:keepNext/>
      <w:keepLines/>
      <w:spacing w:line="400" w:lineRule="exact"/>
      <w:jc w:val="left"/>
      <w:outlineLvl w:val="1"/>
    </w:pPr>
    <w:rPr>
      <w:rFonts w:ascii="Arial" w:eastAsia="宋体" w:hAnsi="Arial"/>
      <w:b/>
    </w:rPr>
  </w:style>
  <w:style w:type="paragraph" w:styleId="Heading3">
    <w:name w:val="heading 3"/>
    <w:basedOn w:val="Normal"/>
    <w:next w:val="Normal"/>
    <w:unhideWhenUsed/>
    <w:qFormat/>
    <w:pPr>
      <w:keepNext/>
      <w:keepLines/>
      <w:spacing w:line="400" w:lineRule="exact"/>
      <w:jc w:val="left"/>
      <w:outlineLvl w:val="2"/>
    </w:pPr>
    <w:rPr>
      <w:rFonts w:ascii="Times New Roman" w:eastAsia="宋体" w:hAnsi="Times New Roman"/>
      <w:b/>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CommentText">
    <w:name w:val="annotation text"/>
    <w:basedOn w:val="Normal"/>
    <w:qFormat/>
    <w:pPr>
      <w:jc w:val="left"/>
    </w:pPr>
  </w:style>
  <w:style w:type="paragraph" w:styleId="Footer">
    <w:name w:val="footer"/>
    <w:basedOn w:val="Normal"/>
    <w:qFormat/>
    <w:pPr>
      <w:tabs>
        <w:tab w:val="center" w:pos="4153"/>
        <w:tab w:val="right" w:pos="8306"/>
      </w:tabs>
      <w:snapToGrid w:val="0"/>
      <w:jc w:val="left"/>
    </w:pPr>
    <w:rPr>
      <w:sz w:val="18"/>
    </w:rPr>
  </w:style>
  <w:style w:type="paragraph" w:styleId="Header">
    <w:name w:val="header"/>
    <w:basedOn w:val="Normal"/>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TableGrid">
    <w:name w:val="Table Grid"/>
    <w:basedOn w:val="TableNormal"/>
    <w:uiPriority w:val="99"/>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_rels/header1.xml.rels><?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125</Words>
  <Characters>717</Characters>
  <Application>Microsoft Office Word</Application>
  <DocSecurity>0</DocSecurity>
  <Lines>5</Lines>
  <Paragraphs>1</Paragraphs>
  <ScaleCrop>false</ScaleCrop>
  <Company/>
  <LinksUpToDate>false</LinksUpToDate>
  <CharactersWithSpaces>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kf1806</cp:lastModifiedBy>
  <cp:revision>3</cp:revision>
  <dcterms:created xsi:type="dcterms:W3CDTF">2022-08-17T14:47:00Z</dcterms:created>
  <dcterms:modified xsi:type="dcterms:W3CDTF">2023-11-14T11:54:57Z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156FBEF45315492997A928A82EDAEB25</vt:lpwstr>
  </property>
  <property fmtid="{D5CDD505-2E9C-101B-9397-08002B2CF9AE}" pid="3" name="KSOProductBuildVer">
    <vt:lpwstr>2052-11.8.2.8411</vt:lpwstr>
  </property>
</Properties>
</file>