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龙盈固定收益类半</w:t>
      </w:r>
      <w:r>
        <w:rPr>
          <w:rFonts w:eastAsia="黑体"/>
          <w:bCs/>
          <w:sz w:val="36"/>
          <w:szCs w:val="36"/>
        </w:rPr>
        <w:t>年定期</w:t>
      </w:r>
      <w:r>
        <w:rPr>
          <w:rFonts w:hint="eastAsia" w:eastAsia="黑体"/>
          <w:bCs/>
          <w:sz w:val="36"/>
          <w:szCs w:val="36"/>
        </w:rPr>
        <w:t>开放式净值型</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理财产品（005号）</w:t>
      </w: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华夏理财龙盈固定收益类半年定期开放式净值型理财产品（005号)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简称：“龙盈固收半</w:t>
            </w:r>
            <w:r>
              <w:rPr>
                <w:rFonts w:ascii="仿宋" w:hAnsi="仿宋" w:eastAsia="仿宋"/>
                <w:b/>
                <w:bCs/>
                <w:szCs w:val="21"/>
              </w:rPr>
              <w:t>年定开</w:t>
            </w:r>
            <w:r>
              <w:rPr>
                <w:rFonts w:hint="eastAsia" w:ascii="仿宋" w:hAnsi="仿宋" w:eastAsia="仿宋"/>
                <w:b/>
                <w:bCs/>
                <w:szCs w:val="21"/>
              </w:rPr>
              <w:t>005号”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1910621000201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Z7003921000432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highlight w:val="none"/>
              </w:rPr>
            </w:pPr>
            <w:r>
              <w:rPr>
                <w:rFonts w:hint="eastAsia" w:ascii="仿宋" w:hAnsi="仿宋" w:eastAsia="仿宋" w:cs="Cambria"/>
                <w:bCs/>
                <w:szCs w:val="21"/>
                <w:highlight w:val="none"/>
              </w:rPr>
              <w:t>业绩</w:t>
            </w:r>
            <w:r>
              <w:rPr>
                <w:rFonts w:hint="eastAsia" w:ascii="仿宋" w:hAnsi="仿宋" w:eastAsia="仿宋"/>
                <w:bCs/>
                <w:szCs w:val="21"/>
                <w:highlight w:val="none"/>
              </w:rPr>
              <w:t>比较</w:t>
            </w:r>
            <w:r>
              <w:rPr>
                <w:rFonts w:hint="eastAsia" w:ascii="仿宋" w:hAnsi="仿宋" w:eastAsia="仿宋" w:cs="Cambria"/>
                <w:bCs/>
                <w:szCs w:val="21"/>
                <w:highlight w:val="none"/>
              </w:rPr>
              <w:t>基准为</w:t>
            </w:r>
            <w:r>
              <w:rPr>
                <w:rFonts w:hint="eastAsia" w:ascii="仿宋" w:hAnsi="仿宋" w:eastAsia="仿宋" w:cs="Cambria"/>
                <w:bCs/>
                <w:szCs w:val="21"/>
                <w:highlight w:val="none"/>
                <w:lang w:val="en-US" w:eastAsia="zh-CN"/>
              </w:rPr>
              <w:t>2.45%-2</w:t>
            </w:r>
            <w:r>
              <w:rPr>
                <w:rFonts w:ascii="仿宋" w:hAnsi="仿宋" w:eastAsia="仿宋" w:cs="Cambria"/>
                <w:bCs/>
                <w:szCs w:val="21"/>
                <w:highlight w:val="none"/>
              </w:rPr>
              <w:t>.</w:t>
            </w:r>
            <w:r>
              <w:rPr>
                <w:rFonts w:hint="eastAsia" w:ascii="仿宋" w:hAnsi="仿宋" w:eastAsia="仿宋" w:cs="Cambria"/>
                <w:bCs/>
                <w:szCs w:val="21"/>
                <w:highlight w:val="none"/>
                <w:lang w:val="en-US" w:eastAsia="zh-CN"/>
              </w:rPr>
              <w:t>65</w:t>
            </w:r>
            <w:r>
              <w:rPr>
                <w:rFonts w:ascii="仿宋" w:hAnsi="仿宋" w:eastAsia="仿宋" w:cs="Cambria"/>
                <w:bCs/>
                <w:szCs w:val="21"/>
                <w:highlight w:val="none"/>
              </w:rPr>
              <w:t>%</w:t>
            </w:r>
            <w:r>
              <w:rPr>
                <w:rFonts w:hint="eastAsia" w:ascii="仿宋" w:hAnsi="仿宋" w:eastAsia="仿宋" w:cs="Cambria"/>
                <w:bCs/>
                <w:szCs w:val="21"/>
                <w:highlight w:val="none"/>
              </w:rPr>
              <w:t>（年化）。以产品投资债券类资产仓位80%-120%，非标债权类资产仓位0-45%，权益类资产仓位0-20%，组合杠杆率100%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01月14</w:t>
            </w:r>
            <w:r>
              <w:rPr>
                <w:rFonts w:ascii="仿宋" w:hAnsi="仿宋" w:eastAsia="仿宋"/>
                <w:bCs/>
                <w:szCs w:val="21"/>
              </w:rPr>
              <w:t>日－</w:t>
            </w: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22</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开放期/开放日为产品成立后每年01月、07月的15日（含）起连续五个工作日开放，开放期/开放日如遇非工作日则顺延至下一个工作日。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2</w:t>
            </w:r>
            <w:r>
              <w:rPr>
                <w:rFonts w:ascii="仿宋" w:hAnsi="仿宋" w:eastAsia="仿宋"/>
                <w:b/>
                <w:bCs w:val="0"/>
                <w:szCs w:val="21"/>
              </w:rPr>
              <w:t>.</w:t>
            </w:r>
            <w:r>
              <w:rPr>
                <w:rFonts w:hint="eastAsia" w:ascii="仿宋" w:hAnsi="仿宋" w:eastAsia="仿宋"/>
                <w:b/>
                <w:bCs w:val="0"/>
                <w:szCs w:val="21"/>
                <w:lang w:val="en-US" w:eastAsia="zh-CN"/>
              </w:rPr>
              <w:t>55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1.投资范围</w:t>
      </w:r>
    </w:p>
    <w:p>
      <w:pPr>
        <w:widowControl/>
        <w:adjustRightInd w:val="0"/>
        <w:snapToGrid w:val="0"/>
        <w:spacing w:line="276" w:lineRule="auto"/>
        <w:ind w:firstLine="480" w:firstLineChars="200"/>
        <w:contextualSpacing/>
        <w:jc w:val="left"/>
        <w:rPr>
          <w:rFonts w:hint="eastAsia" w:ascii="仿宋" w:hAnsi="仿宋" w:eastAsia="仿宋" w:cs="宋体"/>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宋体"/>
          <w:kern w:val="0"/>
          <w:sz w:val="24"/>
          <w:lang w:val="en-US" w:eastAsia="zh-CN"/>
        </w:rPr>
        <w:t>，其中固定收益类资产包括但不限于</w:t>
      </w:r>
      <w:r>
        <w:rPr>
          <w:rFonts w:hint="eastAsia" w:ascii="仿宋" w:hAnsi="仿宋" w:eastAsia="仿宋" w:cs="宋体"/>
          <w:kern w:val="0"/>
          <w:sz w:val="24"/>
        </w:rPr>
        <w:t>货币市场工具、标准化债权类资产、非标准化债权类资产等</w:t>
      </w:r>
      <w:r>
        <w:rPr>
          <w:rFonts w:hint="eastAsia" w:ascii="仿宋" w:hAnsi="仿宋" w:eastAsia="仿宋" w:cs="宋体"/>
          <w:kern w:val="0"/>
          <w:sz w:val="24"/>
          <w:lang w:eastAsia="zh-CN"/>
        </w:rPr>
        <w:t>。</w:t>
      </w:r>
    </w:p>
    <w:p>
      <w:pPr>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kern w:val="0"/>
          <w:sz w:val="24"/>
        </w:rPr>
        <w:t>认可的其他具有良好流动性的金融工具；</w:t>
      </w:r>
    </w:p>
    <w:p>
      <w:pPr>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kern w:val="0"/>
          <w:sz w:val="24"/>
        </w:rPr>
        <w:t>权益类资产</w:t>
      </w:r>
      <w:r>
        <w:rPr>
          <w:rFonts w:hint="eastAsia" w:ascii="仿宋" w:hAnsi="仿宋" w:eastAsia="仿宋" w:cs="宋体"/>
          <w:kern w:val="0"/>
          <w:sz w:val="24"/>
          <w:lang w:val="en-US" w:eastAsia="zh-CN"/>
        </w:rPr>
        <w:t>仅</w:t>
      </w:r>
      <w:r>
        <w:rPr>
          <w:rFonts w:hint="eastAsia" w:ascii="仿宋" w:hAnsi="仿宋" w:eastAsia="仿宋" w:cs="宋体"/>
          <w:kern w:val="0"/>
          <w:sz w:val="24"/>
        </w:rPr>
        <w:t>包括优先股。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2.资产配置比例范围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境内市场固定收益类、权益类、商品及金融衍生品类资产及资产管理产品，其中固定收益类包括但不限于银行存款、货币市场工具、标准化债权类资产、非标准化债权资产，所投资的资产管理产品需符合本产品约定的投资范围。本产品的总资产不得超过产品净资产的140%。</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3.投资集中度限制</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（1）产品投资单只证券或者单只证券投资基金的市值不得超过该产品净资产的10%。</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（2）产品投资单只证券或者单只证券投资基金的市值不得超过该证券市值或者证券投资基金市值的30%。</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hint="eastAsia"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519" w:type="dxa"/>
            <w:vAlign w:val="center"/>
          </w:tcPr>
          <w:p>
            <w:pPr>
              <w:adjustRightInd w:val="0"/>
              <w:snapToGrid w:val="0"/>
              <w:spacing w:line="240"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0%-5%</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w:t>
      </w:r>
      <w:r>
        <w:rPr>
          <w:rFonts w:hint="eastAsia" w:ascii="仿宋" w:hAnsi="仿宋" w:eastAsia="仿宋"/>
          <w:lang w:val="en-US" w:eastAsia="zh-CN"/>
        </w:rPr>
        <w:t>类</w:t>
      </w:r>
      <w:r>
        <w:rPr>
          <w:rFonts w:hint="eastAsia" w:ascii="仿宋" w:hAnsi="仿宋" w:eastAsia="仿宋"/>
        </w:rPr>
        <w:t>资产、权益类资产及资产管理产品等。</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10</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F81DD0"/>
    <w:multiLevelType w:val="singleLevel"/>
    <w:tmpl w:val="45F81DD0"/>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F81"/>
    <w:rsid w:val="00031A25"/>
    <w:rsid w:val="000415EF"/>
    <w:rsid w:val="00044107"/>
    <w:rsid w:val="0004485A"/>
    <w:rsid w:val="00044B7F"/>
    <w:rsid w:val="0004783E"/>
    <w:rsid w:val="0006081B"/>
    <w:rsid w:val="00063561"/>
    <w:rsid w:val="000713E1"/>
    <w:rsid w:val="0007571C"/>
    <w:rsid w:val="000763B3"/>
    <w:rsid w:val="000805E4"/>
    <w:rsid w:val="00083ED3"/>
    <w:rsid w:val="00085777"/>
    <w:rsid w:val="00086B30"/>
    <w:rsid w:val="00087166"/>
    <w:rsid w:val="00092E28"/>
    <w:rsid w:val="000932F8"/>
    <w:rsid w:val="000950EC"/>
    <w:rsid w:val="000973A7"/>
    <w:rsid w:val="000A2EE9"/>
    <w:rsid w:val="000A3C07"/>
    <w:rsid w:val="000A546B"/>
    <w:rsid w:val="000A78E8"/>
    <w:rsid w:val="000B2154"/>
    <w:rsid w:val="000B3204"/>
    <w:rsid w:val="000B32CF"/>
    <w:rsid w:val="000C2AA9"/>
    <w:rsid w:val="000D002A"/>
    <w:rsid w:val="000D7DE2"/>
    <w:rsid w:val="000E195A"/>
    <w:rsid w:val="000F6AF3"/>
    <w:rsid w:val="000F7A80"/>
    <w:rsid w:val="00102B50"/>
    <w:rsid w:val="00111BDB"/>
    <w:rsid w:val="0011683A"/>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5CE6"/>
    <w:rsid w:val="003767EF"/>
    <w:rsid w:val="0038373F"/>
    <w:rsid w:val="00383E8C"/>
    <w:rsid w:val="003923B3"/>
    <w:rsid w:val="003A4560"/>
    <w:rsid w:val="003B43C0"/>
    <w:rsid w:val="003C0388"/>
    <w:rsid w:val="003C4235"/>
    <w:rsid w:val="003C51E8"/>
    <w:rsid w:val="003C5A8A"/>
    <w:rsid w:val="003C7D21"/>
    <w:rsid w:val="003D2B76"/>
    <w:rsid w:val="003D55AF"/>
    <w:rsid w:val="003D65A8"/>
    <w:rsid w:val="003D7B76"/>
    <w:rsid w:val="003E4BEB"/>
    <w:rsid w:val="003E5FCB"/>
    <w:rsid w:val="003F1B6F"/>
    <w:rsid w:val="003F4BBB"/>
    <w:rsid w:val="003F5AF4"/>
    <w:rsid w:val="003F6114"/>
    <w:rsid w:val="003F7EA5"/>
    <w:rsid w:val="004021F4"/>
    <w:rsid w:val="00422249"/>
    <w:rsid w:val="0042748A"/>
    <w:rsid w:val="0043490E"/>
    <w:rsid w:val="0043495C"/>
    <w:rsid w:val="0043669B"/>
    <w:rsid w:val="00440BC3"/>
    <w:rsid w:val="00440F4D"/>
    <w:rsid w:val="0045546E"/>
    <w:rsid w:val="00456C1F"/>
    <w:rsid w:val="00462536"/>
    <w:rsid w:val="004734C8"/>
    <w:rsid w:val="00474458"/>
    <w:rsid w:val="00484075"/>
    <w:rsid w:val="004840B2"/>
    <w:rsid w:val="004929E8"/>
    <w:rsid w:val="0049300B"/>
    <w:rsid w:val="00494748"/>
    <w:rsid w:val="004950C5"/>
    <w:rsid w:val="00495582"/>
    <w:rsid w:val="00497138"/>
    <w:rsid w:val="004A1573"/>
    <w:rsid w:val="004A7A7E"/>
    <w:rsid w:val="004B06AD"/>
    <w:rsid w:val="004B07F8"/>
    <w:rsid w:val="004B2908"/>
    <w:rsid w:val="004B4F8B"/>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6EC5"/>
    <w:rsid w:val="005835EB"/>
    <w:rsid w:val="005A3BD8"/>
    <w:rsid w:val="005A6E67"/>
    <w:rsid w:val="005B52D3"/>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22518"/>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6606B"/>
    <w:rsid w:val="0077324B"/>
    <w:rsid w:val="00777429"/>
    <w:rsid w:val="007815CF"/>
    <w:rsid w:val="00785CAB"/>
    <w:rsid w:val="00791180"/>
    <w:rsid w:val="00792744"/>
    <w:rsid w:val="007A66AB"/>
    <w:rsid w:val="007B1FB0"/>
    <w:rsid w:val="007B234E"/>
    <w:rsid w:val="007B5822"/>
    <w:rsid w:val="007C0AE0"/>
    <w:rsid w:val="007D5636"/>
    <w:rsid w:val="007E7879"/>
    <w:rsid w:val="007F00D6"/>
    <w:rsid w:val="007F32C1"/>
    <w:rsid w:val="007F32F8"/>
    <w:rsid w:val="007F72E0"/>
    <w:rsid w:val="00804404"/>
    <w:rsid w:val="00806D06"/>
    <w:rsid w:val="00807C05"/>
    <w:rsid w:val="008114AC"/>
    <w:rsid w:val="00811683"/>
    <w:rsid w:val="008132DF"/>
    <w:rsid w:val="008137C7"/>
    <w:rsid w:val="00813B69"/>
    <w:rsid w:val="008202B4"/>
    <w:rsid w:val="0082398B"/>
    <w:rsid w:val="00826F03"/>
    <w:rsid w:val="008277B6"/>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7E73"/>
    <w:rsid w:val="0089364D"/>
    <w:rsid w:val="008B03DB"/>
    <w:rsid w:val="008B3093"/>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5C0B"/>
    <w:rsid w:val="009267C7"/>
    <w:rsid w:val="00935161"/>
    <w:rsid w:val="009502B1"/>
    <w:rsid w:val="00953E36"/>
    <w:rsid w:val="00962622"/>
    <w:rsid w:val="00965372"/>
    <w:rsid w:val="00971A91"/>
    <w:rsid w:val="00972105"/>
    <w:rsid w:val="0097432F"/>
    <w:rsid w:val="00975626"/>
    <w:rsid w:val="00975A65"/>
    <w:rsid w:val="00991FA8"/>
    <w:rsid w:val="00994117"/>
    <w:rsid w:val="009941FD"/>
    <w:rsid w:val="009A21D5"/>
    <w:rsid w:val="009A3572"/>
    <w:rsid w:val="009A3901"/>
    <w:rsid w:val="009A5350"/>
    <w:rsid w:val="009C0A85"/>
    <w:rsid w:val="009C16E3"/>
    <w:rsid w:val="009C4B76"/>
    <w:rsid w:val="009C4D27"/>
    <w:rsid w:val="009C5840"/>
    <w:rsid w:val="009C59CA"/>
    <w:rsid w:val="009D3B86"/>
    <w:rsid w:val="009D480A"/>
    <w:rsid w:val="009D6CE2"/>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3593"/>
    <w:rsid w:val="00A94487"/>
    <w:rsid w:val="00A978E7"/>
    <w:rsid w:val="00AA05C6"/>
    <w:rsid w:val="00AA7C52"/>
    <w:rsid w:val="00AA7D8A"/>
    <w:rsid w:val="00AC45F9"/>
    <w:rsid w:val="00AD7FE0"/>
    <w:rsid w:val="00AE13B1"/>
    <w:rsid w:val="00AE1B0B"/>
    <w:rsid w:val="00AF3F07"/>
    <w:rsid w:val="00AF4C92"/>
    <w:rsid w:val="00B0003E"/>
    <w:rsid w:val="00B11D64"/>
    <w:rsid w:val="00B1284F"/>
    <w:rsid w:val="00B1362C"/>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A2547"/>
    <w:rsid w:val="00BA7546"/>
    <w:rsid w:val="00BA77A8"/>
    <w:rsid w:val="00BB4269"/>
    <w:rsid w:val="00BB5103"/>
    <w:rsid w:val="00BB75C5"/>
    <w:rsid w:val="00BC00E6"/>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46DA"/>
    <w:rsid w:val="00C57F25"/>
    <w:rsid w:val="00C61C44"/>
    <w:rsid w:val="00C747FC"/>
    <w:rsid w:val="00C83009"/>
    <w:rsid w:val="00C841D0"/>
    <w:rsid w:val="00C8421C"/>
    <w:rsid w:val="00C86BB2"/>
    <w:rsid w:val="00C91027"/>
    <w:rsid w:val="00CA222E"/>
    <w:rsid w:val="00CA25C5"/>
    <w:rsid w:val="00CB5DFA"/>
    <w:rsid w:val="00CB6DD5"/>
    <w:rsid w:val="00CC008B"/>
    <w:rsid w:val="00CC156B"/>
    <w:rsid w:val="00CC1EEF"/>
    <w:rsid w:val="00CC7239"/>
    <w:rsid w:val="00CD2B51"/>
    <w:rsid w:val="00CE4568"/>
    <w:rsid w:val="00CF69E2"/>
    <w:rsid w:val="00CF6CE2"/>
    <w:rsid w:val="00CF7DDD"/>
    <w:rsid w:val="00D04582"/>
    <w:rsid w:val="00D04841"/>
    <w:rsid w:val="00D06C20"/>
    <w:rsid w:val="00D06F7A"/>
    <w:rsid w:val="00D233D9"/>
    <w:rsid w:val="00D31F9E"/>
    <w:rsid w:val="00D3392B"/>
    <w:rsid w:val="00D34745"/>
    <w:rsid w:val="00D534F9"/>
    <w:rsid w:val="00D55ED7"/>
    <w:rsid w:val="00D65353"/>
    <w:rsid w:val="00D65F44"/>
    <w:rsid w:val="00D67764"/>
    <w:rsid w:val="00D67869"/>
    <w:rsid w:val="00D76E1C"/>
    <w:rsid w:val="00D77548"/>
    <w:rsid w:val="00D81BC8"/>
    <w:rsid w:val="00D8427B"/>
    <w:rsid w:val="00D87E03"/>
    <w:rsid w:val="00D919BF"/>
    <w:rsid w:val="00D91DBA"/>
    <w:rsid w:val="00D932B9"/>
    <w:rsid w:val="00D96BB6"/>
    <w:rsid w:val="00DA36BD"/>
    <w:rsid w:val="00DA511D"/>
    <w:rsid w:val="00DB0246"/>
    <w:rsid w:val="00DC1D82"/>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1C80"/>
    <w:rsid w:val="00E72AA6"/>
    <w:rsid w:val="00E75399"/>
    <w:rsid w:val="00E816F5"/>
    <w:rsid w:val="00E879FF"/>
    <w:rsid w:val="00E93A5D"/>
    <w:rsid w:val="00E95A0F"/>
    <w:rsid w:val="00EB07F6"/>
    <w:rsid w:val="00EE1D7F"/>
    <w:rsid w:val="00EE7A2F"/>
    <w:rsid w:val="00EF3381"/>
    <w:rsid w:val="00EF42A4"/>
    <w:rsid w:val="00EF50CA"/>
    <w:rsid w:val="00EF60FA"/>
    <w:rsid w:val="00EF6ADC"/>
    <w:rsid w:val="00EF6B2A"/>
    <w:rsid w:val="00F02EAF"/>
    <w:rsid w:val="00F1550F"/>
    <w:rsid w:val="00F15940"/>
    <w:rsid w:val="00F34BEA"/>
    <w:rsid w:val="00F36652"/>
    <w:rsid w:val="00F37C88"/>
    <w:rsid w:val="00F444A8"/>
    <w:rsid w:val="00F54393"/>
    <w:rsid w:val="00F56D69"/>
    <w:rsid w:val="00F70D52"/>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1D5000"/>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BB550BD"/>
    <w:rsid w:val="3C691FB2"/>
    <w:rsid w:val="3D0A76A1"/>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1F5F13"/>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A0041B"/>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A548A0"/>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3C04A35"/>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0E7D5E"/>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E85AA6"/>
    <w:rsid w:val="7EFE58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2846</Words>
  <Characters>16226</Characters>
  <Lines>135</Lines>
  <Paragraphs>38</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2023-01-10T09:05:00Z</dcterms:created>
  <dc:creator>ylh</dc:creator>
  <cp:keywords>新版</cp:keywords>
  <cp:lastModifiedBy>马宁</cp:lastModifiedBy>
  <dcterms:modified xsi:type="dcterms:W3CDTF">2024-07-05T02:41:02Z</dcterms:modified>
  <dc:title>华夏理财龙盈固定收益类半年定期开放式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