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1B8F4B" w14:textId="247D75D5" w:rsidR="00000000" w:rsidRDefault="005E287A">
      <w:pPr>
        <w:rPr>
          <w:rFonts w:ascii="微软简标宋" w:eastAsia="微软简标宋" w:hint="eastAsia"/>
          <w:sz w:val="28"/>
          <w:szCs w:val="28"/>
        </w:rPr>
      </w:pPr>
      <w:r>
        <w:rPr>
          <w:rFonts w:ascii="微软简仿宋" w:eastAsia="微软简仿宋"/>
          <w:noProof/>
          <w:sz w:val="32"/>
          <w:szCs w:val="32"/>
        </w:rPr>
        <w:drawing>
          <wp:inline distT="0" distB="0" distL="0" distR="0" wp14:anchorId="638D5AD4" wp14:editId="6841042A">
            <wp:extent cx="2767330" cy="467360"/>
            <wp:effectExtent l="0" t="0" r="0" b="0"/>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767330" cy="467360"/>
                    </a:xfrm>
                    <a:prstGeom prst="rect">
                      <a:avLst/>
                    </a:prstGeom>
                    <a:noFill/>
                    <a:ln>
                      <a:noFill/>
                    </a:ln>
                  </pic:spPr>
                </pic:pic>
              </a:graphicData>
            </a:graphic>
          </wp:inline>
        </w:drawing>
      </w:r>
    </w:p>
    <w:p w14:paraId="1A551A92" w14:textId="77777777" w:rsidR="00000000" w:rsidRDefault="00000000">
      <w:pPr>
        <w:numPr>
          <w:ins w:id="0" w:author="张晓华" w:date="2021-07-12T15:01:00Z"/>
        </w:numPr>
        <w:spacing w:line="360" w:lineRule="exact"/>
        <w:jc w:val="left"/>
        <w:rPr>
          <w:rFonts w:hint="eastAsia"/>
        </w:rPr>
      </w:pPr>
    </w:p>
    <w:p w14:paraId="4DE92349" w14:textId="77777777" w:rsidR="00000000" w:rsidRDefault="00000000">
      <w:pPr>
        <w:numPr>
          <w:ins w:id="1" w:author="张晓华" w:date="2021-07-12T15:01:00Z"/>
        </w:numPr>
        <w:spacing w:line="360" w:lineRule="exact"/>
        <w:jc w:val="center"/>
        <w:rPr>
          <w:rFonts w:ascii="微软简标宋" w:eastAsia="微软简标宋" w:hint="eastAsia"/>
          <w:sz w:val="32"/>
        </w:rPr>
      </w:pPr>
      <w:r>
        <w:rPr>
          <w:rFonts w:ascii="微软简标宋" w:eastAsia="微软简标宋" w:hint="eastAsia"/>
          <w:sz w:val="32"/>
        </w:rPr>
        <w:t>华夏理财有限责任公司个人理财产品</w:t>
      </w:r>
      <w:r>
        <w:rPr>
          <w:rFonts w:ascii="微软简标宋" w:eastAsia="微软简标宋" w:hint="eastAsia"/>
          <w:sz w:val="32"/>
          <w:szCs w:val="32"/>
        </w:rPr>
        <w:t>投资者</w:t>
      </w:r>
      <w:r>
        <w:rPr>
          <w:rFonts w:ascii="微软简标宋" w:eastAsia="微软简标宋" w:hint="eastAsia"/>
          <w:sz w:val="32"/>
        </w:rPr>
        <w:t>权益须知</w:t>
      </w:r>
    </w:p>
    <w:p w14:paraId="03FB95F8" w14:textId="77777777" w:rsidR="00000000" w:rsidRDefault="00000000">
      <w:pPr>
        <w:numPr>
          <w:ins w:id="2" w:author="张晓华" w:date="2021-07-12T15:01:00Z"/>
        </w:numPr>
        <w:spacing w:line="360" w:lineRule="exact"/>
        <w:jc w:val="center"/>
        <w:rPr>
          <w:rFonts w:ascii="微软简标宋" w:eastAsia="微软简标宋" w:hint="eastAsia"/>
          <w:sz w:val="32"/>
        </w:rPr>
      </w:pPr>
      <w:r>
        <w:rPr>
          <w:rFonts w:ascii="微软简标宋" w:eastAsia="微软简标宋" w:hint="eastAsia"/>
          <w:sz w:val="32"/>
        </w:rPr>
        <w:t>（适用于代销机构）</w:t>
      </w:r>
    </w:p>
    <w:p w14:paraId="65B4F487" w14:textId="77777777" w:rsidR="00000000" w:rsidRDefault="00000000">
      <w:pPr>
        <w:spacing w:line="360" w:lineRule="exact"/>
        <w:rPr>
          <w:rFonts w:ascii="微软简标宋" w:eastAsia="微软简标宋" w:hAnsi="宋体" w:cs="宋体" w:hint="eastAsia"/>
          <w:sz w:val="24"/>
        </w:rPr>
      </w:pPr>
    </w:p>
    <w:p w14:paraId="6A15CA0A" w14:textId="77777777" w:rsidR="00000000" w:rsidRDefault="00000000">
      <w:pPr>
        <w:spacing w:line="360" w:lineRule="exact"/>
        <w:jc w:val="center"/>
        <w:rPr>
          <w:rFonts w:ascii="微软简标宋" w:eastAsia="微软简标宋" w:hAnsi="宋体" w:cs="宋体" w:hint="eastAsia"/>
          <w:sz w:val="24"/>
        </w:rPr>
      </w:pPr>
    </w:p>
    <w:p w14:paraId="60F4CA28" w14:textId="77777777" w:rsidR="00000000" w:rsidRDefault="00000000">
      <w:pPr>
        <w:spacing w:line="360" w:lineRule="exact"/>
        <w:ind w:left="180"/>
        <w:rPr>
          <w:rFonts w:ascii="微软简仿宋" w:eastAsia="微软简仿宋" w:hint="eastAsia"/>
          <w:szCs w:val="21"/>
        </w:rPr>
      </w:pPr>
      <w:r>
        <w:rPr>
          <w:rFonts w:ascii="微软简仿宋" w:eastAsia="微软简仿宋" w:hint="eastAsia"/>
          <w:szCs w:val="21"/>
        </w:rPr>
        <w:t>尊敬的投资者：</w:t>
      </w:r>
    </w:p>
    <w:p w14:paraId="29FC4948"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为方便您办理理财业务，请仔细阅读以下内容，如有问题请及时联系</w:t>
      </w:r>
      <w:r>
        <w:rPr>
          <w:rFonts w:ascii="微软简仿宋" w:eastAsia="微软简仿宋" w:hAnsi="宋体" w:hint="eastAsia"/>
          <w:b/>
          <w:szCs w:val="21"/>
        </w:rPr>
        <w:t>□</w:t>
      </w:r>
      <w:r>
        <w:rPr>
          <w:rFonts w:ascii="微软简仿宋" w:eastAsia="微软简仿宋" w:hAnsi="宋体" w:hint="eastAsia"/>
          <w:b/>
          <w:szCs w:val="21"/>
          <w:u w:val="single"/>
        </w:rPr>
        <w:t xml:space="preserve">     </w:t>
      </w:r>
      <w:r>
        <w:rPr>
          <w:rFonts w:ascii="微软简仿宋" w:eastAsia="微软简仿宋" w:hAnsi="宋体" w:hint="eastAsia"/>
          <w:b/>
          <w:szCs w:val="21"/>
        </w:rPr>
        <w:t>、□</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eastAsia="微软简仿宋" w:hAnsi="宋体" w:hint="eastAsia"/>
          <w:b/>
          <w:szCs w:val="21"/>
          <w:u w:val="single"/>
        </w:rPr>
        <w:t xml:space="preserve">  </w:t>
      </w:r>
      <w:r w:rsidR="00975ED0">
        <w:rPr>
          <w:rFonts w:ascii="微软简仿宋" w:eastAsia="微软简仿宋" w:hAnsi="宋体" w:hint="eastAsia"/>
          <w:b/>
          <w:szCs w:val="21"/>
          <w:u w:val="single"/>
        </w:rPr>
        <w:t>南粤银行</w:t>
      </w:r>
      <w:r>
        <w:rPr>
          <w:rFonts w:ascii="微软简仿宋" w:eastAsia="微软简仿宋" w:hAnsi="宋体" w:hint="eastAsia"/>
          <w:b/>
          <w:szCs w:val="21"/>
          <w:u w:val="single"/>
        </w:rPr>
        <w:t xml:space="preserve">  </w:t>
      </w:r>
      <w:r>
        <w:rPr>
          <w:rFonts w:ascii="微软简仿宋" w:eastAsia="微软简仿宋" w:hAnsi="宋体" w:hint="eastAsia"/>
          <w:b/>
          <w:szCs w:val="21"/>
        </w:rPr>
        <w:t>代销机构客户服务热线</w:t>
      </w:r>
      <w:r>
        <w:rPr>
          <w:rFonts w:ascii="微软简仿宋" w:eastAsia="微软简仿宋" w:hint="eastAsia"/>
          <w:szCs w:val="21"/>
        </w:rPr>
        <w:t>。</w:t>
      </w:r>
    </w:p>
    <w:p w14:paraId="4E942672" w14:textId="77777777" w:rsidR="00000000" w:rsidRDefault="00000000">
      <w:pPr>
        <w:spacing w:line="360" w:lineRule="exact"/>
        <w:ind w:left="180" w:firstLineChars="200" w:firstLine="420"/>
        <w:rPr>
          <w:rFonts w:ascii="微软简仿宋" w:eastAsia="微软简仿宋" w:hint="eastAsia"/>
          <w:b/>
          <w:szCs w:val="21"/>
        </w:rPr>
      </w:pPr>
      <w:r>
        <w:rPr>
          <w:rFonts w:ascii="微软简仿宋" w:eastAsia="微软简仿宋" w:hint="eastAsia"/>
          <w:b/>
          <w:szCs w:val="21"/>
        </w:rPr>
        <w:t>本理财产品的发行人为华夏理财有限责任公司</w:t>
      </w:r>
      <w:r>
        <w:rPr>
          <w:rFonts w:ascii="微软简仿宋" w:eastAsia="微软简仿宋" w:hAnsi="Calibri" w:hint="eastAsia"/>
          <w:b/>
          <w:szCs w:val="21"/>
        </w:rPr>
        <w:t>（以下简称：华夏理财/本公司）</w:t>
      </w:r>
      <w:r>
        <w:rPr>
          <w:rFonts w:ascii="微软简仿宋" w:eastAsia="微软简仿宋" w:hint="eastAsia"/>
          <w:b/>
          <w:szCs w:val="21"/>
        </w:rPr>
        <w:t>，代销机构仅为本理财产品的代理销售人，非理财产品的发行机构与管理机构。</w:t>
      </w:r>
    </w:p>
    <w:p w14:paraId="2493D4B5"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一、理财业务的办理</w:t>
      </w:r>
    </w:p>
    <w:p w14:paraId="5653EFCE"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（1）投资者办理理财业务时，须指定一个银行账户作为理财资金账户（具体账户开户行须满足理财代销机构业务要求）。理财产品认/申购资金、兑付、赎回、分红等款项将通过该账户扣缴和收付。</w:t>
      </w:r>
    </w:p>
    <w:p w14:paraId="6D2399AF"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（2）投资者可通过代销机构营业网点、电子银行、APP等渠道办理理财业务，具体交易时间及办理流程以代销机构的业务规则为准。</w:t>
      </w:r>
    </w:p>
    <w:p w14:paraId="09CBC557"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（3）投资者选择投资符合自身需求及风险承受能力的理财产品后，须阅读并签署投资协议书、销售（代理销售）协议书、产品说明书、风险揭示书和投资者权益须知等文件。</w:t>
      </w:r>
    </w:p>
    <w:p w14:paraId="695E4A55"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（4）投资者提交认购/申购/预约认购/预约申购交易后，代销机构依据销售文件约定划款时间划款。</w:t>
      </w:r>
    </w:p>
    <w:p w14:paraId="615693C4"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（5）华夏理财按照销售文件约定的业务规则，受理交易申请并进行交易确认。投资者应及时查询确认结果。</w:t>
      </w:r>
    </w:p>
    <w:p w14:paraId="516FADD4"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（6）代销机构对业务办理流程另有约定的，以代销机构约定为准。</w:t>
      </w:r>
    </w:p>
    <w:p w14:paraId="446C7FDF"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二、风险</w:t>
      </w:r>
      <w:r>
        <w:rPr>
          <w:rFonts w:ascii="微软简仿宋" w:eastAsia="微软简仿宋"/>
          <w:szCs w:val="21"/>
        </w:rPr>
        <w:t>承受能力评估流程</w:t>
      </w:r>
    </w:p>
    <w:p w14:paraId="11727065"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您首次购买理财产品前，需要在理财代销机构营业网点或其他指定方式完成风险承受能力评估。该评估结果有效期一年，并将作为评价您是否适合购买相应理财产品的重要因素，您可以通过理财代销机构营业网点或网上银行、手机银行进行风险承受能力持续评估。您的评估结果超过一年后再次购买理财产品时，必须重新评估风险承受能力；如您发生可能影响自身风险承受能力的情形，再次购买理财产品时应当主动要求重新评估风险承受能力。</w:t>
      </w:r>
      <w:r>
        <w:rPr>
          <w:rFonts w:ascii="微软简仿宋" w:eastAsia="微软简仿宋" w:hint="eastAsia"/>
          <w:b/>
          <w:bCs/>
          <w:szCs w:val="21"/>
        </w:rPr>
        <w:t>未准确、如实进行风险承受能力评估可能对产品购买带来不利影响，华夏理财及理财代销机构对因此产生的后果不承担任何责任。</w:t>
      </w:r>
    </w:p>
    <w:p w14:paraId="6E4E991F"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华夏理财客户风险承受能力评级及风险特征描述、适合的产品风险等级告知如下：</w:t>
      </w: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70"/>
        <w:gridCol w:w="5734"/>
        <w:gridCol w:w="1967"/>
      </w:tblGrid>
      <w:tr w:rsidR="00000000" w14:paraId="2486670D" w14:textId="77777777">
        <w:trPr>
          <w:trHeight w:val="309"/>
          <w:tblHeader/>
          <w:jc w:val="center"/>
        </w:trPr>
        <w:tc>
          <w:tcPr>
            <w:tcW w:w="1370" w:type="dxa"/>
            <w:vAlign w:val="center"/>
          </w:tcPr>
          <w:p w14:paraId="58553093" w14:textId="77777777" w:rsidR="00000000" w:rsidRDefault="00000000">
            <w:pPr>
              <w:adjustRightInd w:val="0"/>
              <w:snapToGrid w:val="0"/>
              <w:spacing w:line="300" w:lineRule="exact"/>
              <w:jc w:val="center"/>
              <w:rPr>
                <w:rFonts w:ascii="微软简仿宋" w:eastAsia="微软简仿宋" w:hint="eastAsia"/>
                <w:b/>
                <w:color w:val="000000"/>
                <w:kern w:val="0"/>
                <w:sz w:val="18"/>
                <w:szCs w:val="18"/>
              </w:rPr>
            </w:pPr>
            <w:r>
              <w:rPr>
                <w:rFonts w:ascii="微软简仿宋" w:eastAsia="微软简仿宋" w:hint="eastAsia"/>
                <w:b/>
                <w:color w:val="000000"/>
                <w:kern w:val="0"/>
                <w:sz w:val="18"/>
                <w:szCs w:val="18"/>
              </w:rPr>
              <w:t>评级类型</w:t>
            </w:r>
          </w:p>
        </w:tc>
        <w:tc>
          <w:tcPr>
            <w:tcW w:w="5734" w:type="dxa"/>
            <w:vAlign w:val="center"/>
          </w:tcPr>
          <w:p w14:paraId="57354A0C" w14:textId="77777777" w:rsidR="00000000" w:rsidRDefault="00000000">
            <w:pPr>
              <w:adjustRightInd w:val="0"/>
              <w:snapToGrid w:val="0"/>
              <w:spacing w:line="300" w:lineRule="exact"/>
              <w:jc w:val="center"/>
              <w:rPr>
                <w:rFonts w:ascii="微软简仿宋" w:eastAsia="微软简仿宋" w:hint="eastAsia"/>
                <w:b/>
                <w:color w:val="000000"/>
                <w:kern w:val="0"/>
                <w:sz w:val="18"/>
                <w:szCs w:val="18"/>
              </w:rPr>
            </w:pPr>
            <w:r>
              <w:rPr>
                <w:rFonts w:ascii="微软简仿宋" w:eastAsia="微软简仿宋" w:hint="eastAsia"/>
                <w:b/>
                <w:color w:val="000000"/>
                <w:kern w:val="0"/>
                <w:sz w:val="18"/>
                <w:szCs w:val="18"/>
              </w:rPr>
              <w:t>评级具体含义</w:t>
            </w:r>
          </w:p>
        </w:tc>
        <w:tc>
          <w:tcPr>
            <w:tcW w:w="1967" w:type="dxa"/>
            <w:vAlign w:val="center"/>
          </w:tcPr>
          <w:p w14:paraId="3266959D" w14:textId="77777777" w:rsidR="00000000" w:rsidRDefault="00000000">
            <w:pPr>
              <w:adjustRightInd w:val="0"/>
              <w:snapToGrid w:val="0"/>
              <w:spacing w:line="300" w:lineRule="exact"/>
              <w:jc w:val="center"/>
              <w:rPr>
                <w:rFonts w:ascii="微软简仿宋" w:eastAsia="微软简仿宋" w:hint="eastAsia"/>
                <w:b/>
                <w:color w:val="000000"/>
                <w:kern w:val="0"/>
                <w:sz w:val="18"/>
                <w:szCs w:val="18"/>
              </w:rPr>
            </w:pPr>
            <w:r>
              <w:rPr>
                <w:rFonts w:ascii="微软简仿宋" w:eastAsia="微软简仿宋" w:hint="eastAsia"/>
                <w:b/>
                <w:color w:val="000000"/>
                <w:kern w:val="0"/>
                <w:sz w:val="18"/>
                <w:szCs w:val="18"/>
              </w:rPr>
              <w:t>适合的产品风险等级（华夏理财内部评级）</w:t>
            </w:r>
          </w:p>
        </w:tc>
      </w:tr>
      <w:tr w:rsidR="00000000" w14:paraId="77784878" w14:textId="77777777">
        <w:trPr>
          <w:trHeight w:val="526"/>
          <w:jc w:val="center"/>
        </w:trPr>
        <w:tc>
          <w:tcPr>
            <w:tcW w:w="1370" w:type="dxa"/>
            <w:vAlign w:val="center"/>
          </w:tcPr>
          <w:p w14:paraId="532C2E58"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CR1（谨慎型）</w:t>
            </w:r>
          </w:p>
        </w:tc>
        <w:tc>
          <w:tcPr>
            <w:tcW w:w="5734" w:type="dxa"/>
          </w:tcPr>
          <w:p w14:paraId="60FAD0E4"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低风险承受能力：您只能承受低程度的本金损失风险和收益波动，适合投资于本金损失概率低的投资工具。</w:t>
            </w:r>
          </w:p>
        </w:tc>
        <w:tc>
          <w:tcPr>
            <w:tcW w:w="1967" w:type="dxa"/>
            <w:vAlign w:val="center"/>
          </w:tcPr>
          <w:p w14:paraId="112C9C63"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w:t>
            </w:r>
          </w:p>
        </w:tc>
      </w:tr>
      <w:tr w:rsidR="00000000" w14:paraId="192E16AE" w14:textId="77777777">
        <w:trPr>
          <w:trHeight w:val="526"/>
          <w:jc w:val="center"/>
        </w:trPr>
        <w:tc>
          <w:tcPr>
            <w:tcW w:w="1370" w:type="dxa"/>
            <w:vAlign w:val="center"/>
          </w:tcPr>
          <w:p w14:paraId="5C8120DF"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CR2（稳健型）</w:t>
            </w:r>
          </w:p>
        </w:tc>
        <w:tc>
          <w:tcPr>
            <w:tcW w:w="5734" w:type="dxa"/>
          </w:tcPr>
          <w:p w14:paraId="60D6FFD3"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中低风险承受能力：您愿意承受较低程度的本金损失风险和收益波动，以获取稳健的投资收益，适合投资于本金损失概率较低、具有一定升值潜力的投资工具。</w:t>
            </w:r>
          </w:p>
        </w:tc>
        <w:tc>
          <w:tcPr>
            <w:tcW w:w="1967" w:type="dxa"/>
            <w:vAlign w:val="center"/>
          </w:tcPr>
          <w:p w14:paraId="33212250"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w:t>
            </w:r>
          </w:p>
        </w:tc>
      </w:tr>
      <w:tr w:rsidR="00000000" w14:paraId="6D30B949" w14:textId="77777777">
        <w:trPr>
          <w:trHeight w:val="542"/>
          <w:jc w:val="center"/>
        </w:trPr>
        <w:tc>
          <w:tcPr>
            <w:tcW w:w="1370" w:type="dxa"/>
            <w:vAlign w:val="center"/>
          </w:tcPr>
          <w:p w14:paraId="1828CCDB"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Ansi="宋体" w:cs="宋体" w:hint="eastAsia"/>
                <w:color w:val="000000"/>
                <w:kern w:val="0"/>
                <w:sz w:val="18"/>
                <w:szCs w:val="18"/>
              </w:rPr>
              <w:t>CR3（</w:t>
            </w:r>
            <w:r>
              <w:rPr>
                <w:rFonts w:ascii="微软简仿宋" w:eastAsia="微软简仿宋" w:hint="eastAsia"/>
                <w:color w:val="000000"/>
                <w:kern w:val="0"/>
                <w:sz w:val="18"/>
                <w:szCs w:val="18"/>
              </w:rPr>
              <w:t>平衡型）</w:t>
            </w:r>
          </w:p>
        </w:tc>
        <w:tc>
          <w:tcPr>
            <w:tcW w:w="5734" w:type="dxa"/>
          </w:tcPr>
          <w:p w14:paraId="7047B783"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中等风险承受能力：您愿意承受中等程度的本金损失风险和收益波动，以获取适当的投资收益，适合投资于有一定升值潜力但投资价值存在一定波动的投资工具。</w:t>
            </w:r>
          </w:p>
        </w:tc>
        <w:tc>
          <w:tcPr>
            <w:tcW w:w="1967" w:type="dxa"/>
            <w:vAlign w:val="center"/>
          </w:tcPr>
          <w:p w14:paraId="0A580126"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PR1级、PR2级、PR3级</w:t>
            </w:r>
          </w:p>
        </w:tc>
      </w:tr>
      <w:tr w:rsidR="00000000" w14:paraId="5175CE72" w14:textId="77777777">
        <w:trPr>
          <w:trHeight w:val="526"/>
          <w:jc w:val="center"/>
        </w:trPr>
        <w:tc>
          <w:tcPr>
            <w:tcW w:w="1370" w:type="dxa"/>
            <w:vAlign w:val="center"/>
          </w:tcPr>
          <w:p w14:paraId="0141255A"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Ansi="宋体" w:cs="宋体" w:hint="eastAsia"/>
                <w:color w:val="000000"/>
                <w:kern w:val="0"/>
                <w:sz w:val="18"/>
                <w:szCs w:val="18"/>
              </w:rPr>
              <w:lastRenderedPageBreak/>
              <w:t>CR4（</w:t>
            </w:r>
            <w:r>
              <w:rPr>
                <w:rFonts w:ascii="微软简仿宋" w:eastAsia="微软简仿宋" w:hint="eastAsia"/>
                <w:color w:val="000000"/>
                <w:kern w:val="0"/>
                <w:sz w:val="18"/>
                <w:szCs w:val="18"/>
              </w:rPr>
              <w:t>进取型）</w:t>
            </w:r>
          </w:p>
        </w:tc>
        <w:tc>
          <w:tcPr>
            <w:tcW w:w="5734" w:type="dxa"/>
          </w:tcPr>
          <w:p w14:paraId="3B429CAD"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中高风险承受能力：您愿意承受较高程度的本金损失风险和收益波动，以获取较高的投资收益，适合投资于有较高升值潜力但投资价值存在较大波动的投资工具。</w:t>
            </w:r>
          </w:p>
        </w:tc>
        <w:tc>
          <w:tcPr>
            <w:tcW w:w="1967" w:type="dxa"/>
            <w:vAlign w:val="center"/>
          </w:tcPr>
          <w:p w14:paraId="05816E6C"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PR1级、PR2级、PR3级、PR4级</w:t>
            </w:r>
          </w:p>
        </w:tc>
      </w:tr>
      <w:tr w:rsidR="00000000" w14:paraId="016833BC" w14:textId="77777777">
        <w:trPr>
          <w:trHeight w:val="858"/>
          <w:jc w:val="center"/>
        </w:trPr>
        <w:tc>
          <w:tcPr>
            <w:tcW w:w="1370" w:type="dxa"/>
            <w:tcBorders>
              <w:bottom w:val="single" w:sz="4" w:space="0" w:color="auto"/>
            </w:tcBorders>
            <w:vAlign w:val="center"/>
          </w:tcPr>
          <w:p w14:paraId="2F7DC182"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Ansi="宋体" w:cs="宋体" w:hint="eastAsia"/>
                <w:color w:val="000000"/>
                <w:kern w:val="0"/>
                <w:sz w:val="18"/>
                <w:szCs w:val="18"/>
              </w:rPr>
              <w:t>CR5（</w:t>
            </w:r>
            <w:r>
              <w:rPr>
                <w:rFonts w:ascii="微软简仿宋" w:eastAsia="微软简仿宋" w:hint="eastAsia"/>
                <w:color w:val="000000"/>
                <w:kern w:val="0"/>
                <w:sz w:val="18"/>
                <w:szCs w:val="18"/>
              </w:rPr>
              <w:t>激进型）</w:t>
            </w:r>
          </w:p>
        </w:tc>
        <w:tc>
          <w:tcPr>
            <w:tcW w:w="5734" w:type="dxa"/>
            <w:tcBorders>
              <w:bottom w:val="single" w:sz="4" w:space="0" w:color="auto"/>
            </w:tcBorders>
          </w:tcPr>
          <w:p w14:paraId="067566C1"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高风险承受能力：您愿意承受高程度的本金损失风险和收益波动，以获取高额投资收益，适合投资于升值潜力高但投资价值波动大的投资工具。</w:t>
            </w:r>
          </w:p>
        </w:tc>
        <w:tc>
          <w:tcPr>
            <w:tcW w:w="1967" w:type="dxa"/>
            <w:tcBorders>
              <w:bottom w:val="single" w:sz="4" w:space="0" w:color="auto"/>
            </w:tcBorders>
            <w:vAlign w:val="center"/>
          </w:tcPr>
          <w:p w14:paraId="60F3BB60"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PR1级、PR2级、PR3级、PR4级、PR5级</w:t>
            </w:r>
          </w:p>
        </w:tc>
      </w:tr>
    </w:tbl>
    <w:p w14:paraId="15956F51" w14:textId="77777777" w:rsidR="00000000" w:rsidRDefault="00000000">
      <w:pPr>
        <w:spacing w:line="360" w:lineRule="exact"/>
        <w:ind w:left="180" w:firstLineChars="200" w:firstLine="420"/>
        <w:rPr>
          <w:rFonts w:ascii="微软简仿宋" w:eastAsia="微软简仿宋" w:hint="eastAsia"/>
          <w:szCs w:val="21"/>
        </w:rPr>
      </w:pPr>
    </w:p>
    <w:p w14:paraId="20DC3CDD" w14:textId="77777777" w:rsidR="00000000" w:rsidRDefault="00000000">
      <w:pPr>
        <w:spacing w:line="360" w:lineRule="exact"/>
        <w:ind w:left="218" w:hangingChars="104" w:hanging="218"/>
        <w:rPr>
          <w:rFonts w:ascii="微软简仿宋" w:eastAsia="微软简仿宋" w:hAnsi="宋体" w:cs="宋体" w:hint="eastAsia"/>
          <w:b/>
          <w:bCs/>
          <w:szCs w:val="21"/>
        </w:rPr>
      </w:pPr>
      <w:r>
        <w:rPr>
          <w:rFonts w:ascii="微软简仿宋" w:eastAsia="微软简仿宋" w:hAnsi="宋体" w:cs="宋体" w:hint="eastAsia"/>
          <w:szCs w:val="21"/>
        </w:rPr>
        <w:t xml:space="preserve">      </w:t>
      </w:r>
      <w:r>
        <w:rPr>
          <w:rFonts w:ascii="微软简仿宋" w:eastAsia="微软简仿宋" w:hAnsi="宋体" w:cs="宋体" w:hint="eastAsia"/>
          <w:b/>
          <w:bCs/>
          <w:szCs w:val="21"/>
        </w:rPr>
        <w:t>代销机构投资者风险承受能力评估流程、风险承受能力评级结果及评级具体含义以代销机构告知的结果为准。</w:t>
      </w:r>
    </w:p>
    <w:p w14:paraId="3C179F5F" w14:textId="77777777" w:rsidR="00000000" w:rsidRDefault="00000000">
      <w:pPr>
        <w:spacing w:line="360" w:lineRule="exact"/>
        <w:ind w:left="180" w:firstLineChars="200" w:firstLine="420"/>
        <w:rPr>
          <w:rFonts w:ascii="微软简仿宋" w:eastAsia="微软简仿宋" w:hAnsi="宋体" w:cs="宋体" w:hint="eastAsia"/>
          <w:szCs w:val="21"/>
        </w:rPr>
      </w:pPr>
      <w:r>
        <w:rPr>
          <w:rFonts w:ascii="微软简仿宋" w:eastAsia="微软简仿宋" w:hAnsi="宋体" w:cs="宋体" w:hint="eastAsia"/>
          <w:szCs w:val="21"/>
        </w:rPr>
        <w:t>您购买具体的理财产品，应签署投资协议书、销售（代理销售）协议书、产品说明书、风险揭示书和投资者权益须知等文件。</w:t>
      </w:r>
    </w:p>
    <w:p w14:paraId="7149E0BA"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Ansi="宋体" w:cs="宋体" w:hint="eastAsia"/>
          <w:szCs w:val="21"/>
        </w:rPr>
        <w:t>三、有关理财产品的信息披露将通过</w:t>
      </w:r>
      <w:r>
        <w:rPr>
          <w:rFonts w:ascii="微软简仿宋" w:eastAsia="微软简仿宋" w:hAnsi="宋体" w:hint="eastAsia"/>
          <w:b/>
          <w:szCs w:val="21"/>
        </w:rPr>
        <w:t>□</w:t>
      </w:r>
      <w:r>
        <w:rPr>
          <w:rFonts w:ascii="微软简仿宋" w:eastAsia="微软简仿宋" w:hAnsi="宋体" w:hint="eastAsia"/>
          <w:b/>
          <w:szCs w:val="21"/>
          <w:u w:val="single"/>
        </w:rPr>
        <w:t xml:space="preserve">     </w:t>
      </w:r>
      <w:r>
        <w:rPr>
          <w:rFonts w:ascii="微软简仿宋" w:eastAsia="微软简仿宋" w:hAnsi="宋体" w:hint="eastAsia"/>
          <w:b/>
          <w:szCs w:val="21"/>
        </w:rPr>
        <w:t>、□</w:t>
      </w:r>
      <w:r>
        <w:rPr>
          <w:rFonts w:ascii="微软简仿宋" w:eastAsia="微软简仿宋" w:hAnsi="宋体" w:cs="宋体" w:hint="eastAsia"/>
          <w:szCs w:val="21"/>
        </w:rPr>
        <w:t>华夏银行官方</w:t>
      </w:r>
      <w:r>
        <w:rPr>
          <w:rFonts w:ascii="微软简仿宋" w:eastAsia="微软简仿宋" w:hint="eastAsia"/>
          <w:szCs w:val="21"/>
        </w:rPr>
        <w:t>网站（</w:t>
      </w:r>
      <w:hyperlink r:id="rId7" w:history="1">
        <w:r>
          <w:rPr>
            <w:rStyle w:val="aa"/>
            <w:rFonts w:ascii="微软简仿宋" w:eastAsia="微软简仿宋" w:hint="eastAsia"/>
            <w:szCs w:val="21"/>
          </w:rPr>
          <w:t>http://www.hxb.com.cn</w:t>
        </w:r>
      </w:hyperlink>
      <w:r>
        <w:rPr>
          <w:rFonts w:ascii="微软简仿宋" w:eastAsia="微软简仿宋" w:hint="eastAsia"/>
          <w:szCs w:val="21"/>
        </w:rPr>
        <w:t>）或其他方式、渠道</w:t>
      </w:r>
      <w:r>
        <w:rPr>
          <w:rFonts w:ascii="微软简仿宋" w:eastAsia="微软简仿宋" w:hAnsi="宋体" w:cs="宋体" w:hint="eastAsia"/>
          <w:szCs w:val="21"/>
        </w:rPr>
        <w:t>通知客户</w:t>
      </w:r>
      <w:r>
        <w:rPr>
          <w:rFonts w:ascii="微软简仿宋" w:eastAsia="微软简仿宋" w:hint="eastAsia"/>
          <w:szCs w:val="21"/>
        </w:rPr>
        <w:t>，披露内容、方式、渠道及频率以理财产品说明书及本公司最新公告为准，请您及时查询。</w:t>
      </w:r>
    </w:p>
    <w:p w14:paraId="3A3F4697"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四、您对理财产品有任何意见或异议，请联系</w:t>
      </w:r>
      <w:bookmarkStart w:id="3" w:name="_Hlk76302332"/>
      <w:r>
        <w:rPr>
          <w:rFonts w:ascii="微软简仿宋" w:eastAsia="微软简仿宋" w:hint="eastAsia"/>
          <w:szCs w:val="21"/>
        </w:rPr>
        <w:t>华夏理财/代销机构</w:t>
      </w:r>
      <w:bookmarkEnd w:id="3"/>
      <w:r>
        <w:rPr>
          <w:rFonts w:ascii="微软简仿宋" w:eastAsia="微软简仿宋" w:hint="eastAsia"/>
          <w:szCs w:val="21"/>
        </w:rPr>
        <w:t>理财经理</w:t>
      </w:r>
      <w:bookmarkStart w:id="4" w:name="_Hlk76302339"/>
      <w:r>
        <w:rPr>
          <w:rFonts w:ascii="微软简仿宋" w:eastAsia="微软简仿宋" w:hint="eastAsia"/>
          <w:szCs w:val="21"/>
        </w:rPr>
        <w:t>或反馈至华夏理财/代销机构营业网点</w:t>
      </w:r>
      <w:bookmarkEnd w:id="4"/>
      <w:r>
        <w:rPr>
          <w:rFonts w:ascii="微软简仿宋" w:eastAsia="微软简仿宋" w:hint="eastAsia"/>
          <w:szCs w:val="21"/>
        </w:rPr>
        <w:t>，也可致电</w:t>
      </w:r>
      <w:r>
        <w:rPr>
          <w:rFonts w:ascii="微软简仿宋" w:eastAsia="微软简仿宋" w:hAnsi="宋体" w:hint="eastAsia"/>
          <w:b/>
          <w:szCs w:val="21"/>
        </w:rPr>
        <w:t>□</w:t>
      </w:r>
      <w:r>
        <w:rPr>
          <w:rFonts w:ascii="微软简仿宋" w:eastAsia="微软简仿宋" w:hAnsi="宋体" w:hint="eastAsia"/>
          <w:b/>
          <w:szCs w:val="21"/>
          <w:u w:val="single"/>
        </w:rPr>
        <w:t xml:space="preserve">     </w:t>
      </w:r>
      <w:r>
        <w:rPr>
          <w:rFonts w:ascii="微软简仿宋" w:eastAsia="微软简仿宋" w:hAnsi="宋体" w:hint="eastAsia"/>
          <w:b/>
          <w:szCs w:val="21"/>
        </w:rPr>
        <w:t>、□</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eastAsia="微软简仿宋" w:hAnsi="宋体" w:hint="eastAsia"/>
          <w:b/>
          <w:szCs w:val="21"/>
          <w:u w:val="single"/>
        </w:rPr>
        <w:t xml:space="preserve"> </w:t>
      </w:r>
      <w:r w:rsidR="006F24B6">
        <w:rPr>
          <w:rFonts w:ascii="微软简仿宋" w:eastAsia="微软简仿宋" w:hAnsi="宋体" w:hint="eastAsia"/>
          <w:b/>
          <w:szCs w:val="21"/>
          <w:u w:val="single"/>
        </w:rPr>
        <w:t xml:space="preserve"> 南粤银行</w:t>
      </w:r>
      <w:r>
        <w:rPr>
          <w:rFonts w:ascii="微软简仿宋" w:eastAsia="微软简仿宋" w:hAnsi="宋体" w:hint="eastAsia"/>
          <w:b/>
          <w:szCs w:val="21"/>
          <w:u w:val="single"/>
        </w:rPr>
        <w:t xml:space="preserve"> </w:t>
      </w:r>
      <w:r>
        <w:rPr>
          <w:rFonts w:ascii="微软简仿宋" w:eastAsia="微软简仿宋" w:hAnsi="宋体" w:hint="eastAsia"/>
          <w:b/>
          <w:szCs w:val="21"/>
        </w:rPr>
        <w:t>代销机构客户服务热线，华夏理财或代销机构将及时受理并给予回复</w:t>
      </w:r>
      <w:r>
        <w:rPr>
          <w:rFonts w:ascii="微软简仿宋" w:eastAsia="微软简仿宋" w:hint="eastAsia"/>
          <w:szCs w:val="21"/>
        </w:rPr>
        <w:t>。</w:t>
      </w:r>
    </w:p>
    <w:p w14:paraId="2883F4FC" w14:textId="77777777" w:rsidR="00000000" w:rsidRDefault="00000000">
      <w:pPr>
        <w:rPr>
          <w:rFonts w:ascii="微软简仿宋" w:eastAsia="微软简仿宋" w:hint="eastAsia"/>
          <w:b/>
          <w:bCs/>
          <w:szCs w:val="21"/>
        </w:rPr>
      </w:pPr>
    </w:p>
    <w:p w14:paraId="695A3120" w14:textId="77777777" w:rsidR="00000000" w:rsidRDefault="00000000">
      <w:pPr>
        <w:rPr>
          <w:rFonts w:ascii="微软简仿宋" w:eastAsia="微软简仿宋" w:hint="eastAsia"/>
          <w:b/>
          <w:bCs/>
          <w:szCs w:val="21"/>
        </w:rPr>
      </w:pPr>
    </w:p>
    <w:p w14:paraId="441B80B3" w14:textId="77777777" w:rsidR="00000000" w:rsidRDefault="00000000">
      <w:pPr>
        <w:rPr>
          <w:rFonts w:ascii="微软简仿宋" w:eastAsia="微软简仿宋" w:hint="eastAsia"/>
          <w:b/>
          <w:bCs/>
          <w:szCs w:val="21"/>
        </w:rPr>
      </w:pPr>
    </w:p>
    <w:p w14:paraId="6E253854" w14:textId="77777777" w:rsidR="00000000" w:rsidRDefault="00000000">
      <w:pPr>
        <w:rPr>
          <w:rFonts w:ascii="微软简仿宋" w:eastAsia="微软简仿宋" w:hint="eastAsia"/>
          <w:b/>
          <w:bCs/>
          <w:szCs w:val="21"/>
        </w:rPr>
      </w:pPr>
    </w:p>
    <w:p w14:paraId="24EEDE89" w14:textId="77777777" w:rsidR="00000000" w:rsidRDefault="00000000">
      <w:pPr>
        <w:rPr>
          <w:rFonts w:ascii="微软简仿宋" w:eastAsia="微软简仿宋" w:hint="eastAsia"/>
          <w:b/>
          <w:bCs/>
          <w:szCs w:val="21"/>
        </w:rPr>
      </w:pPr>
    </w:p>
    <w:p w14:paraId="7ADBF686" w14:textId="77777777" w:rsidR="006D7546" w:rsidRDefault="00000000">
      <w:pPr>
        <w:jc w:val="right"/>
        <w:rPr>
          <w:rFonts w:ascii="微软简仿宋" w:eastAsia="微软简仿宋" w:hint="eastAsia"/>
          <w:szCs w:val="21"/>
        </w:rPr>
      </w:pPr>
      <w:r>
        <w:rPr>
          <w:rFonts w:ascii="微软简仿宋" w:eastAsia="微软简仿宋" w:hint="eastAsia"/>
          <w:b/>
          <w:bCs/>
          <w:szCs w:val="21"/>
        </w:rPr>
        <w:t>告知方：华夏理财有限责任公司</w:t>
      </w:r>
    </w:p>
    <w:sectPr w:rsidR="006D7546">
      <w:headerReference w:type="default" r:id="rId8"/>
      <w:pgSz w:w="11906" w:h="16838"/>
      <w:pgMar w:top="567" w:right="1134" w:bottom="567" w:left="1134" w:header="851" w:footer="425"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39B1F6" w14:textId="77777777" w:rsidR="009F7778" w:rsidRDefault="009F7778">
      <w:r>
        <w:separator/>
      </w:r>
    </w:p>
  </w:endnote>
  <w:endnote w:type="continuationSeparator" w:id="0">
    <w:p w14:paraId="6DBD68A4" w14:textId="77777777" w:rsidR="009F7778" w:rsidRDefault="009F77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简仿宋">
    <w:altName w:val="微软雅黑"/>
    <w:charset w:val="86"/>
    <w:family w:val="auto"/>
    <w:pitch w:val="default"/>
    <w:sig w:usb0="00000000" w:usb1="00000000" w:usb2="00000000" w:usb3="00000000" w:csb0="00040001" w:csb1="00000000"/>
  </w:font>
  <w:font w:name="微软简标宋">
    <w:altName w:val="微软雅黑"/>
    <w:charset w:val="86"/>
    <w:family w:val="auto"/>
    <w:pitch w:val="default"/>
    <w:sig w:usb0="00000000" w:usb1="00000000" w:usb2="00000000" w:usb3="00000000" w:csb0="00040001" w:csb1="00000000"/>
  </w:font>
  <w:font w:name="Calibri">
    <w:panose1 w:val="020F0502020204030204"/>
    <w:charset w:val="00"/>
    <w:family w:val="swiss"/>
    <w:pitch w:val="variable"/>
    <w:sig w:usb0="E4002EFF" w:usb1="C2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079180" w14:textId="77777777" w:rsidR="009F7778" w:rsidRDefault="009F7778">
      <w:r>
        <w:separator/>
      </w:r>
    </w:p>
  </w:footnote>
  <w:footnote w:type="continuationSeparator" w:id="0">
    <w:p w14:paraId="3B3AC1B6" w14:textId="77777777" w:rsidR="009F7778" w:rsidRDefault="009F77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C8F55" w14:textId="77777777" w:rsidR="00000000" w:rsidRDefault="00000000">
    <w:pPr>
      <w:pStyle w:val="ac"/>
      <w:numPr>
        <w:ins w:id="5" w:author="张晓华" w:date="2021-07-12T15:01:00Z"/>
      </w:numPr>
      <w:pBdr>
        <w:bottom w:val="none" w:sz="0" w:space="1" w:color="auto"/>
      </w:pBdr>
      <w:rPr>
        <w:rFonts w:hint="eastAsia"/>
      </w:rPr>
    </w:pPr>
  </w:p>
  <w:p w14:paraId="78139A6D" w14:textId="77777777" w:rsidR="00000000" w:rsidRDefault="00000000">
    <w:pPr>
      <w:pStyle w:val="ac"/>
      <w:pBdr>
        <w:bottom w:val="none" w:sz="0" w:space="1" w:color="auto"/>
      </w:pBdr>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drawingGridVerticalSpacing w:val="156"/>
  <w:noPunctuationKerning/>
  <w:characterSpacingControl w:val="compressPunctuation"/>
  <w:hdrShapeDefaults>
    <o:shapedefaults v:ext="edit" spidmax="2050"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025D"/>
    <w:rsid w:val="0000293B"/>
    <w:rsid w:val="000207F4"/>
    <w:rsid w:val="00022639"/>
    <w:rsid w:val="00033DA5"/>
    <w:rsid w:val="00034C58"/>
    <w:rsid w:val="00043E94"/>
    <w:rsid w:val="0006148C"/>
    <w:rsid w:val="00061F70"/>
    <w:rsid w:val="00072279"/>
    <w:rsid w:val="000A3E4D"/>
    <w:rsid w:val="000A5C97"/>
    <w:rsid w:val="000B18E7"/>
    <w:rsid w:val="000B409E"/>
    <w:rsid w:val="000B4756"/>
    <w:rsid w:val="000D2674"/>
    <w:rsid w:val="000E01FB"/>
    <w:rsid w:val="000E3EA1"/>
    <w:rsid w:val="000E47A8"/>
    <w:rsid w:val="000F0367"/>
    <w:rsid w:val="00100348"/>
    <w:rsid w:val="00104DA3"/>
    <w:rsid w:val="00121DFE"/>
    <w:rsid w:val="00123261"/>
    <w:rsid w:val="001308EE"/>
    <w:rsid w:val="00130DF5"/>
    <w:rsid w:val="0014506C"/>
    <w:rsid w:val="0015024D"/>
    <w:rsid w:val="00154F71"/>
    <w:rsid w:val="001864C1"/>
    <w:rsid w:val="00193796"/>
    <w:rsid w:val="00194D2E"/>
    <w:rsid w:val="001A28E3"/>
    <w:rsid w:val="001A418C"/>
    <w:rsid w:val="001B7548"/>
    <w:rsid w:val="001E502A"/>
    <w:rsid w:val="00215E8C"/>
    <w:rsid w:val="00241C08"/>
    <w:rsid w:val="002769A1"/>
    <w:rsid w:val="00277444"/>
    <w:rsid w:val="00282D29"/>
    <w:rsid w:val="002956DF"/>
    <w:rsid w:val="002A5DD2"/>
    <w:rsid w:val="002B0353"/>
    <w:rsid w:val="002C56CB"/>
    <w:rsid w:val="002C672C"/>
    <w:rsid w:val="002D7CBE"/>
    <w:rsid w:val="00305D96"/>
    <w:rsid w:val="00340F57"/>
    <w:rsid w:val="003416F2"/>
    <w:rsid w:val="003456E3"/>
    <w:rsid w:val="003464FE"/>
    <w:rsid w:val="003A5FC0"/>
    <w:rsid w:val="003B2C62"/>
    <w:rsid w:val="003C561A"/>
    <w:rsid w:val="003D34A3"/>
    <w:rsid w:val="003D3793"/>
    <w:rsid w:val="003E7060"/>
    <w:rsid w:val="003F2CC3"/>
    <w:rsid w:val="003F517E"/>
    <w:rsid w:val="003F72A0"/>
    <w:rsid w:val="004044A7"/>
    <w:rsid w:val="0042127C"/>
    <w:rsid w:val="00421800"/>
    <w:rsid w:val="00441DAD"/>
    <w:rsid w:val="00444611"/>
    <w:rsid w:val="00454566"/>
    <w:rsid w:val="00454CCB"/>
    <w:rsid w:val="00456B6D"/>
    <w:rsid w:val="00482232"/>
    <w:rsid w:val="00496BD5"/>
    <w:rsid w:val="004A31A6"/>
    <w:rsid w:val="004B0656"/>
    <w:rsid w:val="004B78FF"/>
    <w:rsid w:val="004D7968"/>
    <w:rsid w:val="004E54C4"/>
    <w:rsid w:val="00500AD7"/>
    <w:rsid w:val="00505A4C"/>
    <w:rsid w:val="00512859"/>
    <w:rsid w:val="005170BD"/>
    <w:rsid w:val="00520FDF"/>
    <w:rsid w:val="00534E91"/>
    <w:rsid w:val="00561CDB"/>
    <w:rsid w:val="005642E6"/>
    <w:rsid w:val="00572749"/>
    <w:rsid w:val="00581603"/>
    <w:rsid w:val="005A65A1"/>
    <w:rsid w:val="005B0D1F"/>
    <w:rsid w:val="005C083A"/>
    <w:rsid w:val="005C4960"/>
    <w:rsid w:val="005D486A"/>
    <w:rsid w:val="005E287A"/>
    <w:rsid w:val="006033EA"/>
    <w:rsid w:val="0060765E"/>
    <w:rsid w:val="0061021E"/>
    <w:rsid w:val="006108C3"/>
    <w:rsid w:val="006135F5"/>
    <w:rsid w:val="00624D7A"/>
    <w:rsid w:val="00643EB4"/>
    <w:rsid w:val="00652A02"/>
    <w:rsid w:val="00666F28"/>
    <w:rsid w:val="00670E87"/>
    <w:rsid w:val="0069015D"/>
    <w:rsid w:val="00692E03"/>
    <w:rsid w:val="006A5E4D"/>
    <w:rsid w:val="006A6A82"/>
    <w:rsid w:val="006B0C05"/>
    <w:rsid w:val="006C250A"/>
    <w:rsid w:val="006C3362"/>
    <w:rsid w:val="006C5110"/>
    <w:rsid w:val="006C72D6"/>
    <w:rsid w:val="006D7546"/>
    <w:rsid w:val="006E1C11"/>
    <w:rsid w:val="006F0DE8"/>
    <w:rsid w:val="006F24B6"/>
    <w:rsid w:val="006F4A44"/>
    <w:rsid w:val="007133D8"/>
    <w:rsid w:val="00734D26"/>
    <w:rsid w:val="00762990"/>
    <w:rsid w:val="007A6BF2"/>
    <w:rsid w:val="007C0A0C"/>
    <w:rsid w:val="007D0C58"/>
    <w:rsid w:val="007D20BB"/>
    <w:rsid w:val="007E785F"/>
    <w:rsid w:val="007F34D3"/>
    <w:rsid w:val="008133F3"/>
    <w:rsid w:val="00816677"/>
    <w:rsid w:val="00822729"/>
    <w:rsid w:val="0084096E"/>
    <w:rsid w:val="00846594"/>
    <w:rsid w:val="008517BA"/>
    <w:rsid w:val="00855425"/>
    <w:rsid w:val="008678C3"/>
    <w:rsid w:val="00871250"/>
    <w:rsid w:val="008728BA"/>
    <w:rsid w:val="0087299D"/>
    <w:rsid w:val="0087629A"/>
    <w:rsid w:val="00885B6B"/>
    <w:rsid w:val="008878C0"/>
    <w:rsid w:val="00897B6F"/>
    <w:rsid w:val="008B5770"/>
    <w:rsid w:val="008D7601"/>
    <w:rsid w:val="008E6A76"/>
    <w:rsid w:val="008F2BB0"/>
    <w:rsid w:val="00911012"/>
    <w:rsid w:val="0091104D"/>
    <w:rsid w:val="00915760"/>
    <w:rsid w:val="009171DB"/>
    <w:rsid w:val="00922B0B"/>
    <w:rsid w:val="00930FA6"/>
    <w:rsid w:val="00931D90"/>
    <w:rsid w:val="00936605"/>
    <w:rsid w:val="00956E61"/>
    <w:rsid w:val="00957F1A"/>
    <w:rsid w:val="00961B47"/>
    <w:rsid w:val="009751DB"/>
    <w:rsid w:val="00975ED0"/>
    <w:rsid w:val="00985F99"/>
    <w:rsid w:val="00986A95"/>
    <w:rsid w:val="00990EBB"/>
    <w:rsid w:val="00992329"/>
    <w:rsid w:val="00992523"/>
    <w:rsid w:val="00997427"/>
    <w:rsid w:val="009A1AFE"/>
    <w:rsid w:val="009C257F"/>
    <w:rsid w:val="009C4728"/>
    <w:rsid w:val="009C519D"/>
    <w:rsid w:val="009E147C"/>
    <w:rsid w:val="009E2F0D"/>
    <w:rsid w:val="009F0D1A"/>
    <w:rsid w:val="009F7778"/>
    <w:rsid w:val="00A05C0F"/>
    <w:rsid w:val="00A26C2B"/>
    <w:rsid w:val="00A439A8"/>
    <w:rsid w:val="00A61F48"/>
    <w:rsid w:val="00A67457"/>
    <w:rsid w:val="00A67A55"/>
    <w:rsid w:val="00A8183D"/>
    <w:rsid w:val="00A846F5"/>
    <w:rsid w:val="00A87B4F"/>
    <w:rsid w:val="00A976B4"/>
    <w:rsid w:val="00AA3BBB"/>
    <w:rsid w:val="00AD782D"/>
    <w:rsid w:val="00AE08F4"/>
    <w:rsid w:val="00AE1E74"/>
    <w:rsid w:val="00AE699D"/>
    <w:rsid w:val="00AF4F0F"/>
    <w:rsid w:val="00B0025D"/>
    <w:rsid w:val="00B10757"/>
    <w:rsid w:val="00B16ED0"/>
    <w:rsid w:val="00B228F4"/>
    <w:rsid w:val="00B2312E"/>
    <w:rsid w:val="00B54379"/>
    <w:rsid w:val="00B6134D"/>
    <w:rsid w:val="00B67B81"/>
    <w:rsid w:val="00B80920"/>
    <w:rsid w:val="00BF039E"/>
    <w:rsid w:val="00BF4470"/>
    <w:rsid w:val="00BF4AA7"/>
    <w:rsid w:val="00C027A1"/>
    <w:rsid w:val="00C053E0"/>
    <w:rsid w:val="00C16E2D"/>
    <w:rsid w:val="00C17088"/>
    <w:rsid w:val="00C201DF"/>
    <w:rsid w:val="00C265D4"/>
    <w:rsid w:val="00C30DDB"/>
    <w:rsid w:val="00C33FE0"/>
    <w:rsid w:val="00C40F05"/>
    <w:rsid w:val="00C44229"/>
    <w:rsid w:val="00C453DC"/>
    <w:rsid w:val="00C7310C"/>
    <w:rsid w:val="00C812F7"/>
    <w:rsid w:val="00C87507"/>
    <w:rsid w:val="00CA0E1E"/>
    <w:rsid w:val="00CA3CAC"/>
    <w:rsid w:val="00CC027A"/>
    <w:rsid w:val="00CD2652"/>
    <w:rsid w:val="00CD2F18"/>
    <w:rsid w:val="00CD5CBE"/>
    <w:rsid w:val="00CE29D8"/>
    <w:rsid w:val="00CE5812"/>
    <w:rsid w:val="00CE5C71"/>
    <w:rsid w:val="00CF7246"/>
    <w:rsid w:val="00D10245"/>
    <w:rsid w:val="00D11172"/>
    <w:rsid w:val="00D14D72"/>
    <w:rsid w:val="00D22CDE"/>
    <w:rsid w:val="00D25040"/>
    <w:rsid w:val="00D25991"/>
    <w:rsid w:val="00D3019A"/>
    <w:rsid w:val="00D333E9"/>
    <w:rsid w:val="00D4529E"/>
    <w:rsid w:val="00D46470"/>
    <w:rsid w:val="00D5522E"/>
    <w:rsid w:val="00D57A87"/>
    <w:rsid w:val="00D623D5"/>
    <w:rsid w:val="00D846FC"/>
    <w:rsid w:val="00DA132B"/>
    <w:rsid w:val="00DB0AD8"/>
    <w:rsid w:val="00DB635C"/>
    <w:rsid w:val="00DF7F44"/>
    <w:rsid w:val="00E00342"/>
    <w:rsid w:val="00E04E6D"/>
    <w:rsid w:val="00E3013C"/>
    <w:rsid w:val="00E37FBE"/>
    <w:rsid w:val="00E4323A"/>
    <w:rsid w:val="00E44612"/>
    <w:rsid w:val="00E50781"/>
    <w:rsid w:val="00E52899"/>
    <w:rsid w:val="00E5439D"/>
    <w:rsid w:val="00E64FB2"/>
    <w:rsid w:val="00E80A36"/>
    <w:rsid w:val="00E82E9D"/>
    <w:rsid w:val="00E9738F"/>
    <w:rsid w:val="00EB3541"/>
    <w:rsid w:val="00EB73E9"/>
    <w:rsid w:val="00ED3FE5"/>
    <w:rsid w:val="00F03502"/>
    <w:rsid w:val="00F05D5F"/>
    <w:rsid w:val="00F11A44"/>
    <w:rsid w:val="00F32C58"/>
    <w:rsid w:val="00F343AA"/>
    <w:rsid w:val="00F4308B"/>
    <w:rsid w:val="00F441BE"/>
    <w:rsid w:val="00F46548"/>
    <w:rsid w:val="00F62AB6"/>
    <w:rsid w:val="00F71E35"/>
    <w:rsid w:val="00F9370E"/>
    <w:rsid w:val="00FB0C32"/>
    <w:rsid w:val="00FB778A"/>
    <w:rsid w:val="00FC44DA"/>
    <w:rsid w:val="00FE6BF9"/>
    <w:rsid w:val="00FE7B52"/>
    <w:rsid w:val="0242792F"/>
    <w:rsid w:val="03881F95"/>
    <w:rsid w:val="05C15B15"/>
    <w:rsid w:val="079155C3"/>
    <w:rsid w:val="08332F10"/>
    <w:rsid w:val="08844DA3"/>
    <w:rsid w:val="096056BA"/>
    <w:rsid w:val="09BF428B"/>
    <w:rsid w:val="0A331ED7"/>
    <w:rsid w:val="0A7E57BF"/>
    <w:rsid w:val="0B643FFE"/>
    <w:rsid w:val="0E3A0E8F"/>
    <w:rsid w:val="11901FA4"/>
    <w:rsid w:val="12B81D80"/>
    <w:rsid w:val="136379A6"/>
    <w:rsid w:val="156F3DD1"/>
    <w:rsid w:val="1813244C"/>
    <w:rsid w:val="19812173"/>
    <w:rsid w:val="1D38576C"/>
    <w:rsid w:val="1EB64A24"/>
    <w:rsid w:val="1F561E89"/>
    <w:rsid w:val="1F6507A6"/>
    <w:rsid w:val="22C90D57"/>
    <w:rsid w:val="238758CE"/>
    <w:rsid w:val="25502AC4"/>
    <w:rsid w:val="25905ACB"/>
    <w:rsid w:val="274D7A21"/>
    <w:rsid w:val="28801DF9"/>
    <w:rsid w:val="29392B60"/>
    <w:rsid w:val="298C4F9E"/>
    <w:rsid w:val="2CA50FCE"/>
    <w:rsid w:val="2CE23B89"/>
    <w:rsid w:val="2D0568E8"/>
    <w:rsid w:val="2DE024F9"/>
    <w:rsid w:val="2EC3435A"/>
    <w:rsid w:val="3051541D"/>
    <w:rsid w:val="3075414D"/>
    <w:rsid w:val="30EC3212"/>
    <w:rsid w:val="310B4140"/>
    <w:rsid w:val="32941D09"/>
    <w:rsid w:val="34F95E6B"/>
    <w:rsid w:val="35060872"/>
    <w:rsid w:val="35EB1B84"/>
    <w:rsid w:val="362B0E9C"/>
    <w:rsid w:val="367327D7"/>
    <w:rsid w:val="368B0408"/>
    <w:rsid w:val="39AC3FB2"/>
    <w:rsid w:val="3B022186"/>
    <w:rsid w:val="3B4E5C0B"/>
    <w:rsid w:val="3DFC2B29"/>
    <w:rsid w:val="3E29565F"/>
    <w:rsid w:val="3EB87488"/>
    <w:rsid w:val="40C34FE2"/>
    <w:rsid w:val="43650435"/>
    <w:rsid w:val="44612387"/>
    <w:rsid w:val="44771E3C"/>
    <w:rsid w:val="448C3F0F"/>
    <w:rsid w:val="44DC5FD0"/>
    <w:rsid w:val="46A2631C"/>
    <w:rsid w:val="49497233"/>
    <w:rsid w:val="4AA94B8B"/>
    <w:rsid w:val="4CE74FEB"/>
    <w:rsid w:val="4D836742"/>
    <w:rsid w:val="4E052D5B"/>
    <w:rsid w:val="4E9821E8"/>
    <w:rsid w:val="4F406A22"/>
    <w:rsid w:val="502F749B"/>
    <w:rsid w:val="50C82CC0"/>
    <w:rsid w:val="50C8420D"/>
    <w:rsid w:val="52132C1E"/>
    <w:rsid w:val="52B17FEB"/>
    <w:rsid w:val="5433752F"/>
    <w:rsid w:val="550576EE"/>
    <w:rsid w:val="554A46B7"/>
    <w:rsid w:val="5614692D"/>
    <w:rsid w:val="56897B97"/>
    <w:rsid w:val="56B43E4C"/>
    <w:rsid w:val="57DB7BF9"/>
    <w:rsid w:val="58780761"/>
    <w:rsid w:val="59CE7C12"/>
    <w:rsid w:val="5B741F6C"/>
    <w:rsid w:val="5E0C1A3D"/>
    <w:rsid w:val="5FCE083C"/>
    <w:rsid w:val="61790877"/>
    <w:rsid w:val="61DE601D"/>
    <w:rsid w:val="624C2EF9"/>
    <w:rsid w:val="67B75985"/>
    <w:rsid w:val="6AEA3529"/>
    <w:rsid w:val="6B1D6CA5"/>
    <w:rsid w:val="6D083A72"/>
    <w:rsid w:val="6DF60914"/>
    <w:rsid w:val="6F853E85"/>
    <w:rsid w:val="7050451B"/>
    <w:rsid w:val="71C4139E"/>
    <w:rsid w:val="71EF756E"/>
    <w:rsid w:val="73CC4A8A"/>
    <w:rsid w:val="7477521C"/>
    <w:rsid w:val="74AE341D"/>
    <w:rsid w:val="751C3BDB"/>
    <w:rsid w:val="76626404"/>
    <w:rsid w:val="77CD23DC"/>
    <w:rsid w:val="77E757C4"/>
    <w:rsid w:val="79396C79"/>
    <w:rsid w:val="798058E5"/>
    <w:rsid w:val="79B91AC5"/>
    <w:rsid w:val="7A76645F"/>
    <w:rsid w:val="7AE5303B"/>
    <w:rsid w:val="7AEA32CF"/>
    <w:rsid w:val="7C8539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rokecolor="#739cc3">
      <v:fill angle="-90" type="gradient">
        <o:fill v:ext="view" type="gradientUnscaled"/>
      </v:fill>
      <v:stroke color="#739cc3" weight="1.25pt"/>
    </o:shapedefaults>
    <o:shapelayout v:ext="edit">
      <o:idmap v:ext="edit" data="2"/>
    </o:shapelayout>
  </w:shapeDefaults>
  <w:decimalSymbol w:val="."/>
  <w:listSeparator w:val=","/>
  <w14:docId w14:val="0C12CB19"/>
  <w15:chartTrackingRefBased/>
  <w15:docId w15:val="{C2394EA9-B989-4ECF-AB4C-0DA22EFE4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semiHidden="1"/>
    <w:lsdException w:name="header" w:uiPriority="99"/>
    <w:lsdException w:name="caption" w:semiHidden="1" w:unhideWhenUsed="1" w:qFormat="1"/>
    <w:lsdException w:name="annotation reference" w:semiHidden="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link w:val="CharCharCharCharCharCharCharCharCharCharCharChar"/>
    <w:semiHidden/>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批注文字 字符"/>
    <w:link w:val="a4"/>
    <w:semiHidden/>
    <w:rPr>
      <w:kern w:val="2"/>
      <w:sz w:val="21"/>
      <w:szCs w:val="24"/>
    </w:rPr>
  </w:style>
  <w:style w:type="character" w:styleId="HTML">
    <w:name w:val="HTML Acronym"/>
    <w:basedOn w:val="a0"/>
  </w:style>
  <w:style w:type="character" w:styleId="a5">
    <w:name w:val="Strong"/>
    <w:qFormat/>
    <w:rPr>
      <w:b w:val="0"/>
      <w:i w:val="0"/>
    </w:rPr>
  </w:style>
  <w:style w:type="character" w:customStyle="1" w:styleId="a6">
    <w:name w:val="页脚 字符"/>
    <w:link w:val="a7"/>
    <w:rPr>
      <w:rFonts w:eastAsia="宋体"/>
      <w:kern w:val="2"/>
      <w:sz w:val="18"/>
      <w:szCs w:val="18"/>
      <w:lang w:val="en-US" w:eastAsia="zh-CN" w:bidi="ar-SA"/>
    </w:rPr>
  </w:style>
  <w:style w:type="character" w:customStyle="1" w:styleId="current">
    <w:name w:val="current"/>
    <w:rPr>
      <w:color w:val="FFFFFF"/>
      <w:bdr w:val="single" w:sz="6" w:space="0" w:color="8DB5D7"/>
      <w:shd w:val="clear" w:color="auto" w:fill="0080FF"/>
    </w:rPr>
  </w:style>
  <w:style w:type="character" w:customStyle="1" w:styleId="leftmenu-morenav">
    <w:name w:val="leftmenu-morenav"/>
    <w:basedOn w:val="a0"/>
  </w:style>
  <w:style w:type="character" w:customStyle="1" w:styleId="disabled">
    <w:name w:val="disabled"/>
    <w:rPr>
      <w:color w:val="CCCCCC"/>
      <w:bdr w:val="single" w:sz="6" w:space="0" w:color="CCCCCC"/>
    </w:rPr>
  </w:style>
  <w:style w:type="character" w:styleId="a8">
    <w:name w:val="annotation reference"/>
    <w:semiHidden/>
    <w:rPr>
      <w:sz w:val="21"/>
      <w:szCs w:val="21"/>
    </w:rPr>
  </w:style>
  <w:style w:type="character" w:styleId="a9">
    <w:name w:val="page number"/>
    <w:basedOn w:val="a0"/>
  </w:style>
  <w:style w:type="character" w:styleId="aa">
    <w:name w:val="Hyperlink"/>
    <w:rPr>
      <w:color w:val="0000FF"/>
      <w:u w:val="single"/>
    </w:rPr>
  </w:style>
  <w:style w:type="character" w:styleId="HTML0">
    <w:name w:val="HTML Variable"/>
    <w:rPr>
      <w:b w:val="0"/>
      <w:i w:val="0"/>
    </w:rPr>
  </w:style>
  <w:style w:type="character" w:customStyle="1" w:styleId="ab">
    <w:name w:val="页眉 字符"/>
    <w:link w:val="ac"/>
    <w:uiPriority w:val="99"/>
    <w:rPr>
      <w:kern w:val="2"/>
      <w:sz w:val="18"/>
      <w:szCs w:val="18"/>
    </w:rPr>
  </w:style>
  <w:style w:type="character" w:styleId="HTML1">
    <w:name w:val="HTML Definition"/>
    <w:rPr>
      <w:b w:val="0"/>
      <w:i w:val="0"/>
    </w:rPr>
  </w:style>
  <w:style w:type="character" w:styleId="ad">
    <w:name w:val="Emphasis"/>
    <w:qFormat/>
    <w:rPr>
      <w:b w:val="0"/>
      <w:i w:val="0"/>
    </w:rPr>
  </w:style>
  <w:style w:type="character" w:styleId="HTML2">
    <w:name w:val="HTML Cite"/>
    <w:rPr>
      <w:b w:val="0"/>
      <w:i w:val="0"/>
    </w:rPr>
  </w:style>
  <w:style w:type="character" w:styleId="HTML3">
    <w:name w:val="HTML Code"/>
    <w:rPr>
      <w:rFonts w:ascii="Courier New" w:hAnsi="Courier New"/>
      <w:b w:val="0"/>
      <w:i w:val="0"/>
      <w:sz w:val="20"/>
    </w:rPr>
  </w:style>
  <w:style w:type="paragraph" w:styleId="a7">
    <w:name w:val="footer"/>
    <w:basedOn w:val="a"/>
    <w:link w:val="a6"/>
    <w:pPr>
      <w:tabs>
        <w:tab w:val="center" w:pos="4153"/>
        <w:tab w:val="right" w:pos="8306"/>
      </w:tabs>
      <w:snapToGrid w:val="0"/>
      <w:jc w:val="left"/>
    </w:pPr>
    <w:rPr>
      <w:sz w:val="18"/>
      <w:szCs w:val="18"/>
    </w:rPr>
  </w:style>
  <w:style w:type="paragraph" w:styleId="ac">
    <w:name w:val="header"/>
    <w:basedOn w:val="a"/>
    <w:link w:val="ab"/>
    <w:uiPriority w:val="99"/>
    <w:pPr>
      <w:pBdr>
        <w:bottom w:val="single" w:sz="6" w:space="1" w:color="auto"/>
      </w:pBdr>
      <w:tabs>
        <w:tab w:val="center" w:pos="4153"/>
        <w:tab w:val="right" w:pos="8306"/>
      </w:tabs>
      <w:snapToGrid w:val="0"/>
      <w:jc w:val="center"/>
    </w:pPr>
    <w:rPr>
      <w:sz w:val="18"/>
      <w:szCs w:val="18"/>
    </w:rPr>
  </w:style>
  <w:style w:type="paragraph" w:customStyle="1" w:styleId="CharCharCharCharCharCharCharCharCharCharCharChar">
    <w:name w:val="Char Char Char Char Char Char Char Char Char Char Char Char"/>
    <w:basedOn w:val="a"/>
    <w:link w:val="a0"/>
    <w:pPr>
      <w:widowControl/>
      <w:spacing w:after="160" w:line="240" w:lineRule="exact"/>
      <w:jc w:val="left"/>
    </w:pPr>
    <w:rPr>
      <w:rFonts w:ascii="Tahoma" w:hAnsi="Tahoma" w:cs="Tahoma"/>
      <w:szCs w:val="21"/>
    </w:rPr>
  </w:style>
  <w:style w:type="paragraph" w:styleId="ae">
    <w:name w:val="Balloon Text"/>
    <w:basedOn w:val="a"/>
    <w:semiHidden/>
    <w:rPr>
      <w:sz w:val="18"/>
      <w:szCs w:val="18"/>
    </w:rPr>
  </w:style>
  <w:style w:type="paragraph" w:styleId="a4">
    <w:name w:val="annotation text"/>
    <w:basedOn w:val="a"/>
    <w:link w:val="a3"/>
    <w:semiHidden/>
    <w:pPr>
      <w:jc w:val="left"/>
    </w:pPr>
  </w:style>
  <w:style w:type="paragraph" w:styleId="af">
    <w:name w:val="annotation subject"/>
    <w:basedOn w:val="a4"/>
    <w:next w:val="a4"/>
    <w:semiHidden/>
    <w:rPr>
      <w:b/>
      <w:bCs/>
    </w:rPr>
  </w:style>
  <w:style w:type="paragraph" w:customStyle="1" w:styleId="Default">
    <w:name w:val="Default"/>
    <w:pPr>
      <w:widowControl w:val="0"/>
      <w:autoSpaceDE w:val="0"/>
      <w:autoSpaceDN w:val="0"/>
      <w:adjustRightInd w:val="0"/>
    </w:pPr>
    <w:rPr>
      <w:rFonts w:ascii="宋体" w:cs="宋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x-cp20936"/>
  <w:optimizeForBrowser/>
  <w:allowPNG/>
  <w:pixelsPerInch w:val="192"/>
</w:webSettings>
</file>

<file path=word/_rels/document.xml.rels><?xml version="1.0" encoding="UTF-8" standalone="yes"?><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media/image1.png" Type="http://schemas.openxmlformats.org/officeDocument/2006/relationships/image"/><Relationship Id="rId7" Target="http://www.hxb.com.cn/" TargetMode="External" Type="http://schemas.openxmlformats.org/officeDocument/2006/relationships/hyperlink"/><Relationship Id="rId8" Target="header1.xml" Type="http://schemas.openxmlformats.org/officeDocument/2006/relationships/header"/><Relationship Id="rId9"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265</Words>
  <Characters>1516</Characters>
  <Application>Microsoft Office Word</Application>
  <DocSecurity>0</DocSecurity>
  <PresentationFormat/>
  <Lines>12</Lines>
  <Paragraphs>3</Paragraphs>
  <Slides>0</Slides>
  <Notes>0</Notes>
  <HiddenSlides>0</HiddenSlides>
  <MMClips>0</MMClips>
  <ScaleCrop>false</ScaleCrop>
  <Manager/>
  <Company>华夏银行总行</Company>
  <LinksUpToDate>false</LinksUpToDate>
  <CharactersWithSpaces>1778</CharactersWithSpaces>
  <SharedDoc>false</SharedDoc>
  <HLinks>
    <vt:vector size="6" baseType="variant">
      <vt:variant>
        <vt:i4>6488105</vt:i4>
      </vt:variant>
      <vt:variant>
        <vt:i4>3</vt:i4>
      </vt:variant>
      <vt:variant>
        <vt:i4>0</vt:i4>
      </vt:variant>
      <vt:variant>
        <vt:i4>5</vt:i4>
      </vt:variant>
      <vt:variant>
        <vt:lpwstr>http://www.hxb.com.cn/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2023-12-22T06:38:00Z</dcterms:created>
  <dc:creator>RORO</dc:creator>
  <cp:lastModifiedBy>石 金</cp:lastModifiedBy>
  <cp:lastPrinted>2021-06-15T02:18:00Z</cp:lastPrinted>
  <dcterms:modified xsi:type="dcterms:W3CDTF">2023-12-22T06:38:00Z</dcterms:modified>
  <cp:revision>2</cp:revision>
  <dc:title>_x0001_</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ies>
</file>