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snapToGrid w:val="0"/>
        <w:spacing w:line="400" w:lineRule="exact"/>
        <w:ind w:firstLine="0"/>
        <w:jc w:val="center"/>
        <w:rPr>
          <w:rFonts w:hint="eastAsia" w:eastAsia="黑体"/>
          <w:bCs/>
          <w:sz w:val="36"/>
          <w:szCs w:val="36"/>
        </w:rPr>
      </w:pPr>
      <w:bookmarkStart w:id="4" w:name="_GoBack"/>
      <w:bookmarkEnd w:id="4"/>
      <w:r>
        <w:rPr>
          <w:rFonts w:hint="eastAsia" w:eastAsia="黑体"/>
          <w:bCs/>
          <w:kern w:val="2"/>
          <w:sz w:val="36"/>
          <w:szCs w:val="36"/>
        </w:rPr>
        <w:t>华夏理财</w:t>
      </w:r>
      <w:r>
        <w:rPr>
          <w:rFonts w:hint="eastAsia" w:eastAsia="黑体"/>
          <w:bCs/>
          <w:sz w:val="36"/>
          <w:szCs w:val="36"/>
        </w:rPr>
        <w:t>龙盈固定收益类半</w:t>
      </w:r>
      <w:r>
        <w:rPr>
          <w:rFonts w:eastAsia="黑体"/>
          <w:bCs/>
          <w:sz w:val="36"/>
          <w:szCs w:val="36"/>
        </w:rPr>
        <w:t>年定期</w:t>
      </w:r>
      <w:r>
        <w:rPr>
          <w:rFonts w:hint="eastAsia" w:eastAsia="黑体"/>
          <w:bCs/>
          <w:sz w:val="36"/>
          <w:szCs w:val="36"/>
        </w:rPr>
        <w:t>开放式净值型</w:t>
      </w:r>
    </w:p>
    <w:p>
      <w:pPr>
        <w:pStyle w:val="6"/>
        <w:snapToGrid w:val="0"/>
        <w:spacing w:line="400" w:lineRule="exact"/>
        <w:ind w:firstLine="0"/>
        <w:jc w:val="center"/>
        <w:rPr>
          <w:rFonts w:eastAsia="黑体"/>
          <w:bCs/>
          <w:kern w:val="2"/>
          <w:sz w:val="36"/>
          <w:szCs w:val="36"/>
        </w:rPr>
      </w:pPr>
      <w:r>
        <w:rPr>
          <w:rFonts w:hint="eastAsia" w:eastAsia="黑体"/>
          <w:bCs/>
          <w:sz w:val="36"/>
          <w:szCs w:val="36"/>
        </w:rPr>
        <w:t>理财产品（005号）</w:t>
      </w: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华夏理财龙盈固定收益类半年定期开放式净值型理财产品（005号)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简称：“龙盈固收半</w:t>
            </w:r>
            <w:r>
              <w:rPr>
                <w:rFonts w:ascii="仿宋" w:hAnsi="仿宋" w:eastAsia="仿宋"/>
                <w:b/>
                <w:bCs/>
                <w:szCs w:val="21"/>
              </w:rPr>
              <w:t>年定开</w:t>
            </w:r>
            <w:r>
              <w:rPr>
                <w:rFonts w:hint="eastAsia" w:ascii="仿宋" w:hAnsi="仿宋" w:eastAsia="仿宋"/>
                <w:b/>
                <w:bCs/>
                <w:szCs w:val="21"/>
              </w:rPr>
              <w:t>005号”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1910621000201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Z7003921000432</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 xml:space="preserve">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highlight w:val="none"/>
              </w:rPr>
            </w:pPr>
            <w:r>
              <w:rPr>
                <w:rFonts w:hint="eastAsia" w:ascii="仿宋" w:hAnsi="仿宋" w:eastAsia="仿宋" w:cs="Cambria"/>
                <w:bCs/>
                <w:szCs w:val="21"/>
                <w:highlight w:val="none"/>
              </w:rPr>
              <w:t>业绩</w:t>
            </w:r>
            <w:r>
              <w:rPr>
                <w:rFonts w:hint="eastAsia" w:ascii="仿宋" w:hAnsi="仿宋" w:eastAsia="仿宋"/>
                <w:bCs/>
                <w:szCs w:val="21"/>
                <w:highlight w:val="none"/>
              </w:rPr>
              <w:t>比较</w:t>
            </w:r>
            <w:r>
              <w:rPr>
                <w:rFonts w:hint="eastAsia" w:ascii="仿宋" w:hAnsi="仿宋" w:eastAsia="仿宋" w:cs="Cambria"/>
                <w:bCs/>
                <w:szCs w:val="21"/>
                <w:highlight w:val="none"/>
              </w:rPr>
              <w:t>基准为</w:t>
            </w:r>
            <w:r>
              <w:rPr>
                <w:rFonts w:hint="eastAsia" w:ascii="仿宋" w:hAnsi="仿宋" w:eastAsia="仿宋" w:cs="Cambria"/>
                <w:bCs/>
                <w:szCs w:val="21"/>
                <w:highlight w:val="none"/>
                <w:lang w:val="en-US" w:eastAsia="zh-CN"/>
              </w:rPr>
              <w:t>2.45%-2</w:t>
            </w:r>
            <w:r>
              <w:rPr>
                <w:rFonts w:ascii="仿宋" w:hAnsi="仿宋" w:eastAsia="仿宋" w:cs="Cambria"/>
                <w:bCs/>
                <w:szCs w:val="21"/>
                <w:highlight w:val="none"/>
              </w:rPr>
              <w:t>.</w:t>
            </w:r>
            <w:r>
              <w:rPr>
                <w:rFonts w:hint="eastAsia" w:ascii="仿宋" w:hAnsi="仿宋" w:eastAsia="仿宋" w:cs="Cambria"/>
                <w:bCs/>
                <w:szCs w:val="21"/>
                <w:highlight w:val="none"/>
                <w:lang w:val="en-US" w:eastAsia="zh-CN"/>
              </w:rPr>
              <w:t>65</w:t>
            </w:r>
            <w:r>
              <w:rPr>
                <w:rFonts w:ascii="仿宋" w:hAnsi="仿宋" w:eastAsia="仿宋" w:cs="Cambria"/>
                <w:bCs/>
                <w:szCs w:val="21"/>
                <w:highlight w:val="none"/>
              </w:rPr>
              <w:t>%</w:t>
            </w:r>
            <w:r>
              <w:rPr>
                <w:rFonts w:hint="eastAsia" w:ascii="仿宋" w:hAnsi="仿宋" w:eastAsia="仿宋" w:cs="Cambria"/>
                <w:bCs/>
                <w:szCs w:val="21"/>
                <w:highlight w:val="none"/>
              </w:rPr>
              <w:t>（年化）。以产品投资债券类资产仓位80%-120%，非标债权类资产仓位0-45%，权益类资产仓位0-20%，组合杠杆率100%-140%为例，参考中债-信用债总财富指数、非标债权类资产目标收益率、Wind混合型基金总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w:t>
            </w:r>
            <w:r>
              <w:rPr>
                <w:rFonts w:hint="eastAsia" w:ascii="仿宋" w:hAnsi="仿宋" w:eastAsia="仿宋"/>
                <w:bCs/>
                <w:szCs w:val="21"/>
              </w:rPr>
              <w:t>比较</w:t>
            </w:r>
            <w:r>
              <w:rPr>
                <w:rFonts w:hint="eastAsia" w:ascii="仿宋" w:hAnsi="仿宋" w:eastAsia="仿宋"/>
                <w:bCs/>
                <w:color w:val="000000"/>
                <w:szCs w:val="21"/>
              </w:rPr>
              <w:t>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2019</w:t>
            </w:r>
            <w:r>
              <w:rPr>
                <w:rFonts w:ascii="仿宋" w:hAnsi="仿宋" w:eastAsia="仿宋"/>
                <w:bCs/>
                <w:szCs w:val="21"/>
              </w:rPr>
              <w:t>年</w:t>
            </w:r>
            <w:r>
              <w:rPr>
                <w:rFonts w:hint="eastAsia" w:ascii="仿宋" w:hAnsi="仿宋" w:eastAsia="仿宋"/>
                <w:bCs/>
                <w:szCs w:val="21"/>
              </w:rPr>
              <w:t>01月14</w:t>
            </w:r>
            <w:r>
              <w:rPr>
                <w:rFonts w:ascii="仿宋" w:hAnsi="仿宋" w:eastAsia="仿宋"/>
                <w:bCs/>
                <w:szCs w:val="21"/>
              </w:rPr>
              <w:t>日－</w:t>
            </w:r>
            <w:r>
              <w:rPr>
                <w:rFonts w:hint="eastAsia" w:ascii="仿宋" w:hAnsi="仿宋" w:eastAsia="仿宋"/>
                <w:bCs/>
                <w:szCs w:val="21"/>
              </w:rPr>
              <w:t>2019</w:t>
            </w:r>
            <w:r>
              <w:rPr>
                <w:rFonts w:ascii="仿宋" w:hAnsi="仿宋" w:eastAsia="仿宋"/>
                <w:bCs/>
                <w:szCs w:val="21"/>
              </w:rPr>
              <w:t>年</w:t>
            </w:r>
            <w:r>
              <w:rPr>
                <w:rFonts w:hint="eastAsia" w:ascii="仿宋" w:hAnsi="仿宋" w:eastAsia="仿宋"/>
                <w:bCs/>
                <w:szCs w:val="21"/>
              </w:rPr>
              <w:t>01</w:t>
            </w:r>
            <w:r>
              <w:rPr>
                <w:rFonts w:ascii="仿宋" w:hAnsi="仿宋" w:eastAsia="仿宋"/>
                <w:bCs/>
                <w:szCs w:val="21"/>
              </w:rPr>
              <w:t>月</w:t>
            </w:r>
            <w:r>
              <w:rPr>
                <w:rFonts w:hint="eastAsia" w:ascii="仿宋" w:hAnsi="仿宋" w:eastAsia="仿宋"/>
                <w:bCs/>
                <w:szCs w:val="21"/>
              </w:rPr>
              <w:t>21日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2019</w:t>
            </w:r>
            <w:r>
              <w:rPr>
                <w:rFonts w:ascii="仿宋" w:hAnsi="仿宋" w:eastAsia="仿宋"/>
                <w:bCs/>
                <w:szCs w:val="21"/>
              </w:rPr>
              <w:t>年</w:t>
            </w:r>
            <w:r>
              <w:rPr>
                <w:rFonts w:hint="eastAsia" w:ascii="仿宋" w:hAnsi="仿宋" w:eastAsia="仿宋"/>
                <w:bCs/>
                <w:szCs w:val="21"/>
              </w:rPr>
              <w:t>01</w:t>
            </w:r>
            <w:r>
              <w:rPr>
                <w:rFonts w:ascii="仿宋" w:hAnsi="仿宋" w:eastAsia="仿宋"/>
                <w:bCs/>
                <w:szCs w:val="21"/>
              </w:rPr>
              <w:t>月</w:t>
            </w:r>
            <w:r>
              <w:rPr>
                <w:rFonts w:hint="eastAsia" w:ascii="仿宋" w:hAnsi="仿宋" w:eastAsia="仿宋"/>
                <w:bCs/>
                <w:szCs w:val="21"/>
              </w:rPr>
              <w:t>22</w:t>
            </w:r>
            <w:r>
              <w:rPr>
                <w:rFonts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r>
              <w:rPr>
                <w:rFonts w:ascii="仿宋" w:hAnsi="仿宋" w:eastAsia="仿宋"/>
                <w:bCs/>
                <w:szCs w:val="21"/>
              </w:rPr>
              <w:t>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2,</w:t>
            </w:r>
            <w:r>
              <w:rPr>
                <w:rFonts w:hint="eastAsia" w:ascii="仿宋" w:hAnsi="仿宋" w:eastAsia="仿宋"/>
                <w:bCs/>
                <w:szCs w:val="21"/>
              </w:rPr>
              <w:t>000万元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开放期/开放日为产品成立后每年01月、07月的15日（含）起连续五个工作日开放，开放期/开放日如遇非工作日则顺延至下一个工作日。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p>
                  <w:pPr>
                    <w:adjustRightInd w:val="0"/>
                    <w:snapToGrid w:val="0"/>
                    <w:spacing w:line="240" w:lineRule="atLeast"/>
                    <w:ind w:firstLine="420" w:firstLineChars="20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adjustRightInd w:val="0"/>
              <w:snapToGrid w:val="0"/>
              <w:spacing w:line="240" w:lineRule="atLeast"/>
              <w:ind w:right="-44" w:firstLine="420" w:firstLineChars="200"/>
              <w:rPr>
                <w:rFonts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于T+2日24点前</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17:30（不含）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F=E×【0.30%】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0.20%/年，以前一日资产净值为基数，每日计提。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本产品的超额管理费计提基准为</w:t>
            </w:r>
            <w:r>
              <w:rPr>
                <w:rFonts w:hint="eastAsia" w:ascii="仿宋" w:hAnsi="仿宋" w:eastAsia="仿宋"/>
                <w:b/>
                <w:bCs w:val="0"/>
                <w:szCs w:val="21"/>
                <w:lang w:val="en-US" w:eastAsia="zh-CN"/>
              </w:rPr>
              <w:t>2</w:t>
            </w:r>
            <w:r>
              <w:rPr>
                <w:rFonts w:ascii="仿宋" w:hAnsi="仿宋" w:eastAsia="仿宋"/>
                <w:b/>
                <w:bCs w:val="0"/>
                <w:szCs w:val="21"/>
              </w:rPr>
              <w:t>.</w:t>
            </w:r>
            <w:r>
              <w:rPr>
                <w:rFonts w:hint="eastAsia" w:ascii="仿宋" w:hAnsi="仿宋" w:eastAsia="仿宋"/>
                <w:b/>
                <w:bCs w:val="0"/>
                <w:szCs w:val="21"/>
                <w:lang w:val="en-US" w:eastAsia="zh-CN"/>
              </w:rPr>
              <w:t>55</w:t>
            </w:r>
            <w:r>
              <w:rPr>
                <w:rFonts w:ascii="仿宋" w:hAnsi="仿宋" w:eastAsia="仿宋"/>
                <w:b/>
                <w:bCs w:val="0"/>
                <w:szCs w:val="21"/>
              </w:rPr>
              <w:t>%</w:t>
            </w:r>
            <w:r>
              <w:rPr>
                <w:rFonts w:hint="eastAsia" w:ascii="仿宋" w:hAnsi="仿宋" w:eastAsia="仿宋"/>
                <w:b/>
                <w:bCs w:val="0"/>
                <w:szCs w:val="21"/>
              </w:rPr>
              <w:t>（年化）。</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本产品超额管理费的计算公式：</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超额管理费=（年化收益率-超额管理费计提基准）×当期持有天数÷365×50%×产品份额×上期单位净值</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其中：</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年化收益率=（计提日累计单位净值-上一开放期单位净值最高日累计单位净值）÷（上一开放期单位净值最高日单位净值）×365÷当期持有天数。</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“产品份额”为该封闭期内份额，若封闭期内有红利再投时，将剔除红利再投产生份额的影响。</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“上期单位净值”为上个开放期最后一个开放日的单位净值。</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无上一开放期的首个封闭期时，“上期单位净值”、“上一开放期单位净值最高日累计单位净值”、“上一开放期单位净值最高日单位净值”均为1.0000。</w:t>
            </w:r>
          </w:p>
          <w:p>
            <w:pPr>
              <w:adjustRightInd w:val="0"/>
              <w:snapToGrid w:val="0"/>
              <w:spacing w:line="240" w:lineRule="atLeast"/>
              <w:ind w:firstLine="420"/>
              <w:rPr>
                <w:rFonts w:hint="eastAsia" w:ascii="仿宋" w:hAnsi="仿宋" w:eastAsia="仿宋"/>
                <w:b/>
                <w:bCs w:val="0"/>
                <w:szCs w:val="21"/>
                <w:u w:val="single"/>
              </w:rPr>
            </w:pPr>
            <w:r>
              <w:rPr>
                <w:rFonts w:hint="eastAsia" w:ascii="仿宋" w:hAnsi="仿宋" w:eastAsia="仿宋"/>
                <w:b/>
                <w:bCs w:val="0"/>
                <w:szCs w:val="21"/>
              </w:rPr>
              <w:t>投资周期内每个估值日计提超额管理费，仅作为暂估数据，用于本产品会计核算和估值日估值。仅每一开放期首个开放日、到期/终止日为本产品超额管理费实际计提和收取日。</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每周五后的</w:t>
            </w:r>
            <w:r>
              <w:rPr>
                <w:rFonts w:hint="eastAsia" w:ascii="仿宋" w:hAnsi="仿宋" w:eastAsia="仿宋"/>
                <w:bCs/>
                <w:szCs w:val="21"/>
              </w:rPr>
              <w:t>第3个工作日为份额净值公告日，公告</w:t>
            </w:r>
            <w:r>
              <w:rPr>
                <w:rFonts w:hint="eastAsia" w:ascii="仿宋" w:hAnsi="仿宋" w:eastAsia="仿宋"/>
              </w:rPr>
              <w:t>每周五</w:t>
            </w:r>
            <w:r>
              <w:rPr>
                <w:rFonts w:hint="eastAsia" w:ascii="仿宋" w:hAnsi="仿宋" w:eastAsia="仿宋"/>
                <w:bCs/>
                <w:szCs w:val="21"/>
              </w:rPr>
              <w:t>份额净值，如周五为非工作日，则公告周五上1个工作日的份额净值。如当周没有第3个工作日，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hint="eastAsia"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hint="eastAsia" w:ascii="仿宋" w:hAnsi="仿宋" w:eastAsia="仿宋"/>
                <w:bCs/>
                <w:szCs w:val="21"/>
                <w:lang w:val="en-US" w:eastAsia="zh-CN"/>
              </w:rPr>
              <w:t>5</w:t>
            </w:r>
            <w:r>
              <w:rPr>
                <w:rFonts w:ascii="仿宋" w:hAnsi="仿宋" w:eastAsia="仿宋"/>
                <w:bCs/>
                <w:szCs w:val="21"/>
              </w:rPr>
              <w:t>,</w:t>
            </w:r>
            <w:r>
              <w:rPr>
                <w:rFonts w:hint="eastAsia" w:ascii="仿宋" w:hAnsi="仿宋" w:eastAsia="仿宋"/>
                <w:bCs/>
                <w:szCs w:val="21"/>
              </w:rPr>
              <w:t>000万份时；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1.投资范围</w:t>
      </w:r>
    </w:p>
    <w:p>
      <w:pPr>
        <w:pStyle w:val="1"/>
        <w:widowControl/>
        <w:adjustRightInd w:val="0"/>
        <w:snapToGrid w:val="0"/>
        <w:spacing w:line="276" w:lineRule="auto"/>
        <w:ind w:firstLine="480" w:firstLineChars="200"/>
        <w:contextualSpacing/>
        <w:jc w:val="left"/>
        <w:rPr>
          <w:rFonts w:hint="eastAsia" w:ascii="仿宋" w:hAnsi="仿宋" w:eastAsia="仿宋" w:cs="宋体"/>
          <w:kern w:val="0"/>
          <w:sz w:val="24"/>
          <w:lang w:val="en-US" w:eastAsia="zh-CN"/>
        </w:rPr>
      </w:pPr>
      <w:r>
        <w:rPr>
          <w:rFonts w:hint="eastAsia" w:ascii="仿宋" w:hAnsi="仿宋" w:eastAsia="仿宋" w:cs="宋体"/>
          <w:color w:val="000000"/>
          <w:kern w:val="0"/>
          <w:sz w:val="24"/>
        </w:rPr>
        <w:t>本理财产品将主要投资于固定收益类资产、权益类资产、商品及</w:t>
      </w:r>
      <w:r>
        <w:rPr>
          <w:rFonts w:hint="eastAsia" w:ascii="仿宋" w:hAnsi="仿宋" w:eastAsia="仿宋" w:cs="宋体"/>
          <w:kern w:val="0"/>
          <w:sz w:val="24"/>
        </w:rPr>
        <w:t>金融衍生品类资产</w:t>
      </w:r>
      <w:r>
        <w:rPr>
          <w:rFonts w:hint="eastAsia" w:ascii="仿宋" w:hAnsi="仿宋" w:eastAsia="仿宋" w:cs="宋体"/>
          <w:kern w:val="0"/>
          <w:sz w:val="24"/>
          <w:lang w:val="en-US" w:eastAsia="zh-CN"/>
        </w:rPr>
        <w:t>，其中固定收益类资产包括但不限于</w:t>
      </w:r>
      <w:r>
        <w:rPr>
          <w:rFonts w:hint="eastAsia" w:ascii="仿宋" w:hAnsi="仿宋" w:eastAsia="仿宋" w:cs="宋体"/>
          <w:kern w:val="0"/>
          <w:sz w:val="24"/>
        </w:rPr>
        <w:t>货币市场工具、标准化债权类资产、非标准化债权类资产等</w:t>
      </w:r>
      <w:r>
        <w:rPr>
          <w:rFonts w:hint="eastAsia" w:ascii="仿宋" w:hAnsi="仿宋" w:eastAsia="仿宋" w:cs="宋体"/>
          <w:kern w:val="0"/>
          <w:sz w:val="24"/>
          <w:lang w:eastAsia="zh-CN"/>
        </w:rPr>
        <w:t>。</w:t>
      </w:r>
    </w:p>
    <w:p>
      <w:pPr>
        <w:pStyle w:val="1"/>
        <w:widowControl/>
        <w:adjustRightInd w:val="0"/>
        <w:snapToGrid w:val="0"/>
        <w:spacing w:line="276" w:lineRule="auto"/>
        <w:ind w:firstLine="480" w:firstLineChars="200"/>
        <w:contextualSpacing/>
        <w:jc w:val="left"/>
        <w:rPr>
          <w:rFonts w:hint="eastAsia" w:ascii="仿宋" w:hAnsi="仿宋" w:eastAsia="仿宋" w:cs="宋体"/>
          <w:kern w:val="0"/>
          <w:sz w:val="24"/>
        </w:rPr>
      </w:pPr>
      <w:r>
        <w:rPr>
          <w:rFonts w:hint="eastAsia" w:ascii="仿宋" w:hAnsi="仿宋" w:eastAsia="仿宋" w:cs="宋体"/>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jc w:val="left"/>
        <w:rPr>
          <w:rFonts w:hint="eastAsia" w:ascii="仿宋" w:hAnsi="仿宋" w:eastAsia="仿宋" w:cs="宋体"/>
          <w:kern w:val="0"/>
          <w:sz w:val="24"/>
        </w:rPr>
      </w:pPr>
      <w:r>
        <w:rPr>
          <w:rFonts w:hint="eastAsia" w:ascii="仿宋" w:hAnsi="仿宋" w:eastAsia="仿宋" w:cs="宋体"/>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jc w:val="left"/>
        <w:rPr>
          <w:rFonts w:hint="eastAsia" w:ascii="仿宋" w:hAnsi="仿宋" w:eastAsia="仿宋" w:cs="宋体"/>
          <w:kern w:val="0"/>
          <w:sz w:val="24"/>
        </w:rPr>
      </w:pPr>
      <w:r>
        <w:rPr>
          <w:rFonts w:hint="eastAsia" w:ascii="仿宋" w:hAnsi="仿宋" w:eastAsia="仿宋" w:cs="宋体"/>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kern w:val="0"/>
          <w:sz w:val="24"/>
          <w:lang w:val="en-US" w:eastAsia="zh-CN"/>
        </w:rPr>
        <w:t>监管机构</w:t>
      </w:r>
      <w:r>
        <w:rPr>
          <w:rFonts w:hint="eastAsia" w:ascii="仿宋" w:hAnsi="仿宋" w:eastAsia="仿宋" w:cs="宋体"/>
          <w:kern w:val="0"/>
          <w:sz w:val="24"/>
        </w:rPr>
        <w:t>认可的其他具有良好流动性的金融工具；</w:t>
      </w:r>
    </w:p>
    <w:p>
      <w:pPr>
        <w:pStyle w:val="1"/>
        <w:widowControl/>
        <w:adjustRightInd w:val="0"/>
        <w:snapToGrid w:val="0"/>
        <w:spacing w:line="276" w:lineRule="auto"/>
        <w:ind w:firstLine="480" w:firstLineChars="200"/>
        <w:contextualSpacing/>
        <w:jc w:val="left"/>
        <w:rPr>
          <w:rFonts w:hint="eastAsia" w:ascii="仿宋" w:hAnsi="仿宋" w:eastAsia="仿宋" w:cs="宋体"/>
          <w:kern w:val="0"/>
          <w:sz w:val="24"/>
        </w:rPr>
      </w:pPr>
      <w:r>
        <w:rPr>
          <w:rFonts w:hint="eastAsia" w:ascii="仿宋" w:hAnsi="仿宋" w:eastAsia="仿宋" w:cs="宋体"/>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pStyle w:val="1"/>
        <w:widowControl/>
        <w:adjustRightInd w:val="0"/>
        <w:snapToGrid w:val="0"/>
        <w:spacing w:line="276" w:lineRule="auto"/>
        <w:ind w:firstLine="480" w:firstLineChars="200"/>
        <w:contextualSpacing/>
        <w:jc w:val="left"/>
        <w:rPr>
          <w:rFonts w:hint="eastAsia" w:ascii="仿宋" w:hAnsi="仿宋" w:eastAsia="仿宋" w:cs="宋体"/>
          <w:kern w:val="0"/>
          <w:sz w:val="24"/>
        </w:rPr>
      </w:pPr>
      <w:r>
        <w:rPr>
          <w:rFonts w:hint="eastAsia" w:ascii="仿宋" w:hAnsi="仿宋" w:eastAsia="仿宋" w:cs="宋体"/>
          <w:kern w:val="0"/>
          <w:sz w:val="24"/>
        </w:rPr>
        <w:t>非标准化债权类资产包括《标准化债权类资产认定规则》认定的非标准化债权类资产；</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kern w:val="0"/>
          <w:sz w:val="24"/>
        </w:rPr>
        <w:t>权益类资产</w:t>
      </w:r>
      <w:r>
        <w:rPr>
          <w:rFonts w:hint="eastAsia" w:ascii="仿宋" w:hAnsi="仿宋" w:eastAsia="仿宋" w:cs="宋体"/>
          <w:kern w:val="0"/>
          <w:sz w:val="24"/>
          <w:lang w:val="en-US" w:eastAsia="zh-CN"/>
        </w:rPr>
        <w:t>仅</w:t>
      </w:r>
      <w:r>
        <w:rPr>
          <w:rFonts w:hint="eastAsia" w:ascii="仿宋" w:hAnsi="仿宋" w:eastAsia="仿宋" w:cs="宋体"/>
          <w:kern w:val="0"/>
          <w:sz w:val="24"/>
        </w:rPr>
        <w:t>包括优先股。</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2.资产配置比例范围</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境内市场固定收益类、权益类、商品及金融衍生品类资产及资产管理产品，其中固定收益类包括但不限于银行存款、货币市场工具、标准化债权类资产、非标准化债权资产，所投资的资产管理产品需符合本产品约定的投资范围。本产品的总资产不得超过产品净资产的140%。</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3.投资集中度限制</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（1）产品投资单只证券或者单只证券投资基金的市值不得超过该产品净资产的10%。</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（2）产品投资单只证券或者单只证券投资基金的市值不得超过该证券市值或者证券投资基金市值的30%。</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44"/>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554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51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5544" w:type="dxa"/>
            <w:vAlign w:val="center"/>
          </w:tcPr>
          <w:p>
            <w:pPr>
              <w:adjustRightInd w:val="0"/>
              <w:snapToGrid w:val="0"/>
              <w:spacing w:line="240" w:lineRule="auto"/>
              <w:jc w:val="center"/>
              <w:rPr>
                <w:rFonts w:ascii="仿宋" w:hAnsi="仿宋" w:eastAsia="仿宋" w:cs="宋体"/>
                <w:color w:val="000000"/>
                <w:kern w:val="0"/>
                <w:sz w:val="24"/>
              </w:rPr>
            </w:pPr>
            <w:r>
              <w:rPr>
                <w:rFonts w:hint="eastAsia" w:ascii="仿宋" w:hAnsi="仿宋" w:eastAsia="仿宋" w:cs="宋体"/>
                <w:color w:val="000000"/>
                <w:kern w:val="0"/>
                <w:sz w:val="24"/>
              </w:rPr>
              <w:t>固定收益类</w:t>
            </w:r>
          </w:p>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（其中固定收益类资产包括货币市场工具、标准化债权类资产、非标准化债权类资产等，单只公募理财产品投资非标准化债权类资产的比例不超过50%）</w:t>
            </w:r>
          </w:p>
        </w:tc>
        <w:tc>
          <w:tcPr>
            <w:tcW w:w="251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80%-100%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554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权益类</w:t>
            </w:r>
          </w:p>
        </w:tc>
        <w:tc>
          <w:tcPr>
            <w:tcW w:w="251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5544" w:type="dxa"/>
            <w:vAlign w:val="center"/>
          </w:tcPr>
          <w:p>
            <w:pPr>
              <w:keepNext/>
              <w:spacing w:line="240" w:lineRule="auto"/>
              <w:jc w:val="center"/>
              <w:rPr>
                <w:rFonts w:eastAsia="仿宋_GB2312" w:cs="仿宋_GB2312"/>
                <w:kern w:val="0"/>
                <w:sz w:val="24"/>
              </w:rPr>
            </w:pPr>
            <w:r>
              <w:rPr>
                <w:rFonts w:hint="eastAsia" w:eastAsia="仿宋_GB2312" w:cs="仿宋_GB2312"/>
                <w:kern w:val="0"/>
                <w:sz w:val="24"/>
              </w:rPr>
              <w:t>商品及金融衍生品类</w:t>
            </w:r>
          </w:p>
          <w:p>
            <w:pPr>
              <w:adjustRightInd w:val="0"/>
              <w:snapToGrid w:val="0"/>
              <w:spacing w:line="240" w:lineRule="auto"/>
              <w:jc w:val="center"/>
              <w:rPr>
                <w:rFonts w:hint="eastAsia" w:ascii="仿宋" w:hAnsi="仿宋" w:eastAsia="仿宋" w:cs="宋体"/>
                <w:color w:val="000000"/>
                <w:kern w:val="0"/>
                <w:sz w:val="24"/>
              </w:rPr>
            </w:pPr>
            <w:r>
              <w:rPr>
                <w:rFonts w:hint="eastAsia" w:eastAsia="仿宋_GB2312" w:cs="仿宋_GB2312"/>
                <w:kern w:val="0"/>
                <w:sz w:val="24"/>
              </w:rPr>
              <w:t>（商品及金融衍生品类资产投资须符合监管要求）</w:t>
            </w:r>
          </w:p>
        </w:tc>
        <w:tc>
          <w:tcPr>
            <w:tcW w:w="2519" w:type="dxa"/>
            <w:vAlign w:val="center"/>
          </w:tcPr>
          <w:p>
            <w:pPr>
              <w:adjustRightInd w:val="0"/>
              <w:snapToGrid w:val="0"/>
              <w:spacing w:line="240" w:lineRule="auto"/>
              <w:jc w:val="center"/>
              <w:rPr>
                <w:rFonts w:hint="eastAsia" w:ascii="仿宋" w:hAnsi="仿宋" w:eastAsia="仿宋" w:cs="宋体"/>
                <w:color w:val="000000"/>
                <w:kern w:val="0"/>
                <w:sz w:val="24"/>
              </w:rPr>
            </w:pPr>
            <w:r>
              <w:rPr>
                <w:rFonts w:hint="eastAsia" w:ascii="仿宋" w:hAnsi="仿宋" w:eastAsia="仿宋" w:cs="宋体"/>
                <w:color w:val="000000"/>
                <w:kern w:val="0"/>
                <w:sz w:val="24"/>
              </w:rPr>
              <w:t>0%-5%</w:t>
            </w:r>
          </w:p>
        </w:tc>
      </w:tr>
    </w:tbl>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pStyle w:val="1"/>
        <w:widowControl/>
        <w:adjustRightInd w:val="0"/>
        <w:snapToGrid w:val="0"/>
        <w:spacing w:line="276" w:lineRule="auto"/>
        <w:ind w:firstLine="480" w:firstLineChars="200"/>
        <w:contextualSpacing/>
        <w:rPr>
          <w:rFonts w:ascii="仿宋" w:hAnsi="仿宋" w:eastAsia="仿宋" w:cs="宋体"/>
          <w:kern w:val="0"/>
          <w:sz w:val="24"/>
        </w:rPr>
      </w:pP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本理财产品所投资的货币市场工具、标准化债权类资产、非标准化债权</w:t>
      </w:r>
      <w:r>
        <w:rPr>
          <w:rFonts w:hint="eastAsia" w:ascii="仿宋" w:hAnsi="仿宋" w:eastAsia="仿宋"/>
          <w:lang w:val="en-US" w:eastAsia="zh-CN"/>
        </w:rPr>
        <w:t>类</w:t>
      </w:r>
      <w:r>
        <w:rPr>
          <w:rFonts w:hint="eastAsia" w:ascii="仿宋" w:hAnsi="仿宋" w:eastAsia="仿宋"/>
        </w:rPr>
        <w:t>资产、权益类资产及资产管理产品等。</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1.证券交易所上市的有价证券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2.处于未上市期间的有价证券应区分如下情况处理：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4.同一债券同时在两个或两个以上市场交易的，按债券所处的市场分别估值。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5.证券投资基金的估值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6.银行存款（活期、定期）及证券资金账户存款以本金列示，按照约定利率在持有期内逐日计提应收利息，在利息到账日以实收利息入账。</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7.债券回购和具有固定回报的买入返售金融资产：以买入/外放成本列示，按约定收益率逐日计提收益。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8.期货以估值日期货交易所的当日结算价估值，估值当日无结算价的，且最近交易日后经济环境未发生重大变化的，采用最近交易日结算价估值。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9.汇率估值方法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10.场内期权以估值日交易所的结算价估值，该日无交易的，以最近一日的结算价为准。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11.非标准化债权类资产采用估值技术确认公允价值，在估值技术难以可靠计量公允价值的情况下，按照管理人和托管人共同认可的估值。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12.本系列产品所投资的资产管理产品以估值日公布的产品单位净值进行估值，估值日产品单位净值未公布的，以最近一个工作日产品单位净值计算。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8"/>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w:t>
      </w:r>
      <w:r>
        <w:rPr>
          <w:rFonts w:hint="eastAsia" w:ascii="Times New Roman" w:eastAsia="黑体" w:cs="Times New Roman"/>
          <w:b/>
          <w:color w:val="000000"/>
          <w:kern w:val="0"/>
          <w:sz w:val="24"/>
          <w:lang w:eastAsia="zh-CN"/>
        </w:rPr>
        <w:t>、</w:t>
      </w:r>
      <w:r>
        <w:rPr>
          <w:rFonts w:hint="eastAsia" w:ascii="Times New Roman" w:hAnsi="Times New Roman" w:eastAsia="黑体" w:cs="Times New Roman"/>
          <w:b/>
          <w:color w:val="000000"/>
          <w:kern w:val="0"/>
          <w:sz w:val="24"/>
        </w:rPr>
        <w:t>商品及</w:t>
      </w:r>
      <w:r>
        <w:rPr>
          <w:rFonts w:hint="eastAsia" w:ascii="Times New Roman" w:hAnsi="Times New Roman" w:eastAsia="黑体" w:cs="Times New Roman"/>
          <w:b/>
          <w:kern w:val="0"/>
          <w:sz w:val="24"/>
        </w:rPr>
        <w:t>金融衍生品类</w:t>
      </w:r>
      <w:r>
        <w:rPr>
          <w:rFonts w:hint="eastAsia" w:ascii="Times New Roman" w:hAnsi="Times New Roman" w:eastAsia="黑体" w:cs="Times New Roman"/>
          <w:b/>
          <w:color w:val="000000"/>
          <w:kern w:val="0"/>
          <w:sz w:val="24"/>
        </w:rPr>
        <w:t>资产</w:t>
      </w:r>
      <w:r>
        <w:rPr>
          <w:rFonts w:hint="eastAsia" w:ascii="Times New Roman" w:eastAsia="黑体" w:cs="Times New Roman"/>
          <w:b/>
        </w:rPr>
        <w:t>，因此可能面临如下特定风险：</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 xml:space="preserve">。 </w:t>
      </w:r>
    </w:p>
    <w:p>
      <w:pPr>
        <w:pStyle w:val="18"/>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8"/>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hAnsi="Times New Roman" w:eastAsia="黑体" w:cs="Times New Roman"/>
          <w:b/>
          <w:kern w:val="0"/>
          <w:sz w:val="24"/>
          <w:szCs w:val="24"/>
          <w:lang w:val="en-US" w:eastAsia="zh-CN" w:bidi="ar-SA"/>
        </w:rPr>
        <w:t>6.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18"/>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 xml:space="preserve">7.投资于券商收益凭证的可能风险：券商收益凭证通常以证券公司的信用发行，在存续期间，证券公司可能发生解散、破产、无力清偿到期债务、资产被查封、冻结或强制执行等情形，存在无法偿付凭证本金和收益的信用风险；由于证券公司内部管理流程缺陷、人员操作失误、不合规、估值错误或者外部事件等原因而导致损失的操作风险；券商收益凭证本金和收益的偿付挂钩特定标的，包括但不限于股权、债权、信用、基金、利率、汇率、指数、期货和商品等，收益存在不确定性市场风险；根据不同的券商收益凭证结构设计，存在券商收益凭证提前终止导致产品再投资或提前终止风险。本理财产品投资于券商收益凭证，还可能面临流动性风险、政策法律风险、信息传递风险、不可抗力及意外事件风险等情形而导致无法实现投资收益甚至产品本金遭受损失的风险。 </w:t>
      </w:r>
    </w:p>
    <w:p>
      <w:pPr>
        <w:pStyle w:val="18"/>
        <w:snapToGrid w:val="0"/>
        <w:spacing w:beforeLines="0" w:afterLines="0" w:line="276" w:lineRule="auto"/>
        <w:ind w:firstLine="482"/>
        <w:contextualSpacing/>
        <w:rPr>
          <w:rFonts w:hint="eastAsia" w:ascii="Times New Roman" w:eastAsia="黑体" w:cs="Times New Roman"/>
          <w:b/>
          <w:bCs w:val="0"/>
          <w:kern w:val="0"/>
          <w:sz w:val="24"/>
          <w:szCs w:val="24"/>
          <w:lang w:val="en-US" w:eastAsia="zh-CN" w:bidi="ar-SA"/>
        </w:rPr>
      </w:pPr>
      <w:r>
        <w:rPr>
          <w:rFonts w:hint="eastAsia" w:ascii="Times New Roman" w:eastAsia="黑体" w:cs="Times New Roman"/>
          <w:b/>
          <w:lang w:val="en-US" w:eastAsia="zh-CN"/>
        </w:rPr>
        <w:t>8.</w:t>
      </w:r>
      <w:r>
        <w:rPr>
          <w:rFonts w:hint="eastAsia" w:ascii="Times New Roman" w:eastAsia="黑体" w:cs="Times New Roman"/>
          <w:b/>
          <w:bCs w:val="0"/>
          <w:kern w:val="0"/>
          <w:sz w:val="24"/>
          <w:szCs w:val="24"/>
          <w:lang w:val="en-US" w:eastAsia="zh-CN" w:bidi="ar-SA"/>
        </w:rPr>
        <w:t>投资于优先股的可能风险：优先股具有固定收益证券的特征，但优先股发行方无到期归还本金的义务，可能发生发行人经营状况恶化、无法足额支付股息的风险，从而影响产品和投资者收益；优先股属于权益类资产，价格受国家各类政策、宏观经济、行业发展等多种因素影响，可能发生波动从而影响产品收益，甚至使产品本金遭受损失。</w:t>
      </w:r>
    </w:p>
    <w:p>
      <w:pPr>
        <w:pStyle w:val="18"/>
        <w:snapToGrid w:val="0"/>
        <w:spacing w:beforeLines="0" w:afterLines="0" w:line="276" w:lineRule="auto"/>
        <w:ind w:firstLine="482"/>
        <w:contextualSpacing/>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bCs w:val="0"/>
          <w:kern w:val="0"/>
          <w:sz w:val="24"/>
          <w:szCs w:val="24"/>
          <w:lang w:val="en-US" w:eastAsia="zh-CN" w:bidi="ar-SA"/>
        </w:rPr>
        <w:t>9.</w:t>
      </w:r>
      <w:r>
        <w:rPr>
          <w:rFonts w:hint="eastAsia" w:ascii="Times New Roman" w:hAnsi="Times New Roman" w:eastAsia="黑体" w:cs="Times New Roman"/>
          <w:b/>
          <w:kern w:val="0"/>
          <w:sz w:val="24"/>
          <w:szCs w:val="24"/>
          <w:lang w:val="en-US" w:eastAsia="zh-CN" w:bidi="ar-SA"/>
        </w:rPr>
        <w:t>投资于商品及金融衍生品类资产的可能风险：基础产品价格波动造成衍生品价格波动，高杠杆和跨期交易可能加剧衍生品价格波动的市场风险；衍生品发行方或交易对手方违约或不履行合约的导致的信用风险；缺乏交易对手导致无法平仓/变现、流动资金不足或无法追加保证金导致被迫平仓造成亏损的风险；因内部程序、人员、系统操作不当或因外部事件导致损失的操作风险；部分衍生品操作相关法律法规的滞后，交易合约在法律范围内无效而无法履约或交易合约订立不当产生的法律风险。</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10</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1"/>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1910621000201</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180天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49a4eb23"/>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49a4eb23"/>
        <w:numPr>
          <w:ins w:id="0" w:author="张晓华" w:date="2021-07-12T15:01:00Z"/>
        </w:numPr>
        <w:spacing w:line="360" w:lineRule="exact"/>
        <w:jc w:val="left"/>
        <w:rPr>
          <w:rFonts w:hint="eastAsia"/>
        </w:rPr>
      </w:pPr>
    </w:p>
    <w:p w14:paraId="4DE92349" w14:textId="77777777" w:rsidR="00000000" w:rsidRDefault="00000000">
      <w:pPr>
        <w:pStyle w:val="49a4eb23"/>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49a4eb23"/>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49a4eb23"/>
        <w:spacing w:line="360" w:lineRule="exact"/>
        <w:rPr>
          <w:rFonts w:ascii="微软简标宋" w:eastAsia="微软简标宋" w:hAnsi="宋体" w:cs="宋体" w:hint="eastAsia"/>
          <w:sz w:val="24"/>
        </w:rPr>
      </w:pPr>
    </w:p>
    <w:p w14:paraId="6A15CA0A" w14:textId="77777777" w:rsidR="00000000" w:rsidRDefault="00000000">
      <w:pPr>
        <w:pStyle w:val="49a4eb23"/>
        <w:spacing w:line="360" w:lineRule="exact"/>
        <w:jc w:val="center"/>
        <w:rPr>
          <w:rFonts w:ascii="微软简标宋" w:eastAsia="微软简标宋" w:hAnsi="宋体" w:cs="宋体" w:hint="eastAsia"/>
          <w:sz w:val="24"/>
        </w:rPr>
      </w:pPr>
    </w:p>
    <w:p w14:paraId="60F4CA28" w14:textId="77777777" w:rsidR="00000000" w:rsidRDefault="00000000">
      <w:pPr>
        <w:pStyle w:val="49a4eb23"/>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49a4eb23"/>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南粤银行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49a4eb23"/>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49a4eb23"/>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49a4eb23"/>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49a4eb23"/>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49a4eb23"/>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49a4eb23"/>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49a4eb23"/>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49a4eb23"/>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49a4eb23"/>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49a4eb23"/>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49a4eb23"/>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49a4eb23"/>
        <w:spacing w:line="360" w:lineRule="exact"/>
        <w:ind w:left="180" w:firstLineChars="200" w:firstLine="420"/>
        <w:rPr>
          <w:rFonts w:ascii="微软简仿宋" w:eastAsia="微软简仿宋" w:hint="eastAsia"/>
          <w:szCs w:val="21"/>
        </w:rPr>
      </w:pPr>
    </w:p>
    <w:p w14:paraId="20DC3CDD" w14:textId="77777777" w:rsidR="00000000" w:rsidRDefault="00000000">
      <w:pPr>
        <w:pStyle w:val="49a4eb23"/>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49a4eb23"/>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49a4eb23"/>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fc269201"/>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49a4eb23"/>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南粤银行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49a4eb23"/>
        <w:rPr>
          <w:rFonts w:ascii="微软简仿宋" w:eastAsia="微软简仿宋" w:hint="eastAsia"/>
          <w:b/>
          <w:bCs/>
          <w:szCs w:val="21"/>
        </w:rPr>
      </w:pPr>
    </w:p>
    <w:p w14:paraId="695A3120" w14:textId="77777777" w:rsidR="00000000" w:rsidRDefault="00000000">
      <w:pPr>
        <w:pStyle w:val="49a4eb23"/>
        <w:rPr>
          <w:rFonts w:ascii="微软简仿宋" w:eastAsia="微软简仿宋" w:hint="eastAsia"/>
          <w:b/>
          <w:bCs/>
          <w:szCs w:val="21"/>
        </w:rPr>
      </w:pPr>
    </w:p>
    <w:p w14:paraId="441B80B3" w14:textId="77777777" w:rsidR="00000000" w:rsidRDefault="00000000">
      <w:pPr>
        <w:pStyle w:val="49a4eb23"/>
        <w:rPr>
          <w:rFonts w:ascii="微软简仿宋" w:eastAsia="微软简仿宋" w:hint="eastAsia"/>
          <w:b/>
          <w:bCs/>
          <w:szCs w:val="21"/>
        </w:rPr>
      </w:pPr>
    </w:p>
    <w:p w14:paraId="6E253854" w14:textId="77777777" w:rsidR="00000000" w:rsidRDefault="00000000">
      <w:pPr>
        <w:pStyle w:val="49a4eb23"/>
        <w:rPr>
          <w:rFonts w:ascii="微软简仿宋" w:eastAsia="微软简仿宋" w:hint="eastAsia"/>
          <w:b/>
          <w:bCs/>
          <w:szCs w:val="21"/>
        </w:rPr>
      </w:pPr>
    </w:p>
    <w:p w14:paraId="24EEDE89" w14:textId="77777777" w:rsidR="00000000" w:rsidRDefault="00000000">
      <w:pPr>
        <w:pStyle w:val="49a4eb23"/>
        <w:rPr>
          <w:rFonts w:ascii="微软简仿宋" w:eastAsia="微软简仿宋" w:hint="eastAsia"/>
          <w:b/>
          <w:bCs/>
          <w:szCs w:val="21"/>
        </w:rPr>
      </w:pPr>
    </w:p>
    <w:p w14:paraId="7ADBF686" w14:textId="77777777" w:rsidR="006D7546" w:rsidRDefault="00000000">
      <w:pPr>
        <w:pStyle w:val="49a4eb23"/>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49a4eb23"/>
        <w:pageBreakBefore w:val="true"/>
      </w:pPr>
    </w:p>
    <w:p w14:paraId="69997647" w14:textId="06CF27DE" w:rsidR="0074532A" w:rsidRDefault="0054018B">
      <w:pPr>
        <w:pStyle w:val="2dd3e00d"/>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2dd3e00d"/>
        <w:spacing w:line="360" w:lineRule="auto"/>
        <w:jc w:val="center"/>
        <w:rPr>
          <w:rFonts w:ascii="微软简标宋" w:eastAsia="微软简标宋"/>
          <w:b/>
          <w:sz w:val="32"/>
          <w:szCs w:val="21"/>
        </w:rPr>
      </w:pPr>
    </w:p>
    <w:p w14:paraId="2FC2DCEC" w14:textId="77777777" w:rsidR="0074532A" w:rsidRDefault="00000000">
      <w:pPr>
        <w:pStyle w:val="2dd3e00d"/>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2dd3e00d"/>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2dd3e00d"/>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2dd3e00d"/>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南粤银行</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2dd3e00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2dd3e00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2dd3e00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2dd3e00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2dd3e00d"/>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2dd3e00d"/>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2dd3e00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2dd3e00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2dd3e00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2dd3e00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2dd3e00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2dd3e00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2dd3e00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2dd3e00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2dd3e00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2dd3e00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2dd3e00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2dd3e00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2dd3e00d"/>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2dd3e00d"/>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2dd3e00d"/>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2dd3e00d"/>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2dd3e00d"/>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2dd3e00d"/>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2dd3e00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2dd3e00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2dd3e00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2dd3e00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2dd3e00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2dd3e00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2dd3e00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2dd3e00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2dd3e00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2dd3e00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2dd3e00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2dd3e00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2dd3e00d"/>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2dd3e00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2dd3e00d"/>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2dd3e00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2dd3e00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2dd3e00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2dd3e00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2dd3e00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2dd3e00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2dd3e00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2dd3e00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2dd3e00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2dd3e00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2dd3e00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2dd3e00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2dd3e00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2dd3e00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2dd3e00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2dd3e00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2dd3e00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2dd3e00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2dd3e00d"/>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2dd3e00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2dd3e00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2dd3e00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2dd3e00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2dd3e00d"/>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2dd3e00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2dd3e00d"/>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2dd3e00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2dd3e00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2dd3e00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2dd3e00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2dd3e00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2dd3e00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2dd3e00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2dd3e00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2dd3e00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2dd3e00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2dd3e00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2dd3e00d"/>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2dd3e00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2dd3e00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2dd3e00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2dd3e00d"/>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2dd3e00d"/>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2dd3e00d"/>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2dd3e00d"/>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2dd3e00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2dd3e00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2dd3e00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2dd3e00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2dd3e00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2dd3e00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2dd3e00d"/>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2dd3e00d"/>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2dd3e00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2dd3e00d"/>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2dd3e00d"/>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2dd3e00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2dd3e00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2dd3e00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2dd3e00d"/>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2dd3e00d"/>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2dd3e00d"/>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2dd3e00d"/>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2dd3e00d"/>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2dd3e00d"/>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2dd3e00d"/>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2dd3e00d"/>
        <w:adjustRightInd w:val="0"/>
        <w:snapToGrid w:val="0"/>
        <w:spacing w:line="360" w:lineRule="auto"/>
        <w:ind w:firstLineChars="200" w:firstLine="420"/>
      </w:pPr>
    </w:p>
    <w:p w14:paraId="53F741B5" w14:textId="77777777" w:rsidR="0074532A" w:rsidRDefault="00000000">
      <w:pPr>
        <w:pStyle w:val="2dd3e00d"/>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2dd3e00d"/>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2dd3e00d"/>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2dd3e00d"/>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2dd3e00d"/>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2dd3e00d"/>
        <w:pageBreakBefore w:val="true"/>
      </w:pPr>
    </w:p>
    <w:p w14:paraId="1A5B5AAC" w14:textId="77777777" w:rsidR="00584B3C" w:rsidRDefault="00000000">
      <w:pPr>
        <w:pStyle w:val="067cd21a"/>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华夏理财有限责任公司理财产品销售协议书</w:t>
      </w:r>
    </w:p>
    <w:p w14:paraId="3DB22A2A" w14:textId="77777777" w:rsidR="00584B3C" w:rsidRDefault="00000000">
      <w:pPr>
        <w:pStyle w:val="067cd21a"/>
        <w:spacing w:line="360" w:lineRule="auto"/>
        <w:ind w:firstLineChars="200" w:firstLine="600"/>
        <w:jc w:val="center"/>
        <w:rPr>
          <w:rFonts w:ascii="微软简标宋" w:eastAsia="微软简标宋"/>
          <w:bCs/>
          <w:sz w:val="30"/>
          <w:szCs w:val="30"/>
        </w:rPr>
      </w:pPr>
      <w:r>
        <w:rPr>
          <w:rFonts w:ascii="微软简标宋" w:eastAsia="微软简标宋" w:hint="eastAsia"/>
          <w:bCs/>
          <w:sz w:val="30"/>
          <w:szCs w:val="30"/>
        </w:rPr>
        <w:t>（适用于个人投资者）</w:t>
      </w:r>
    </w:p>
    <w:p w14:paraId="77085124" w14:textId="77777777" w:rsidR="00584B3C" w:rsidRDefault="00584B3C">
      <w:pPr>
        <w:pStyle w:val="067cd21a"/>
        <w:spacing w:line="360" w:lineRule="auto"/>
        <w:ind w:firstLineChars="200" w:firstLine="600"/>
        <w:jc w:val="center"/>
        <w:rPr>
          <w:rFonts w:ascii="微软简标宋" w:eastAsia="微软简标宋"/>
          <w:bCs/>
          <w:sz w:val="30"/>
          <w:szCs w:val="30"/>
        </w:rPr>
      </w:pPr>
    </w:p>
    <w:p w14:paraId="151DC1A6" w14:textId="65495485" w:rsidR="00584B3C" w:rsidRDefault="00000000">
      <w:pPr>
        <w:pStyle w:val="067cd21a"/>
        <w:adjustRightInd w:val="0"/>
        <w:snapToGrid w:val="0"/>
        <w:spacing w:line="360" w:lineRule="auto"/>
        <w:ind w:firstLineChars="200" w:firstLine="420"/>
        <w:jc w:val="left"/>
        <w:rPr>
          <w:rFonts w:ascii="微软简仿宋" w:eastAsia="微软简仿宋" w:hAnsi="宋体"/>
          <w:b/>
          <w:szCs w:val="21"/>
          <w:u w:val="single"/>
        </w:rPr>
      </w:pPr>
      <w:r>
        <w:rPr>
          <w:rFonts w:ascii="微软简仿宋" w:eastAsia="微软简仿宋" w:hAnsi="宋体" w:hint="eastAsia"/>
          <w:b/>
          <w:szCs w:val="21"/>
        </w:rPr>
        <w:t>本协议适用于</w:t>
      </w:r>
      <w:r>
        <w:rPr>
          <w:rFonts w:ascii="微软简仿宋" w:eastAsia="微软简仿宋" w:hAnsi="宋体" w:hint="eastAsia"/>
          <w:b/>
          <w:szCs w:val="21"/>
          <w:u w:val="single"/>
        </w:rPr>
        <w:t xml:space="preserve">  </w:t>
      </w:r>
      <w:r w:rsidR="00E601E6">
        <w:rPr>
          <w:rFonts w:ascii="微软简仿宋" w:eastAsia="微软简仿宋" w:hAnsi="宋体" w:hint="eastAsia"/>
          <w:b/>
          <w:szCs w:val="21"/>
          <w:u w:val="single"/>
        </w:rPr>
        <w:t>南粤银行</w:t>
      </w:r>
      <w:r>
        <w:rPr>
          <w:rFonts w:ascii="微软简仿宋" w:eastAsia="微软简仿宋" w:hAnsi="宋体" w:hint="eastAsia"/>
          <w:b/>
          <w:szCs w:val="21"/>
          <w:u w:val="single"/>
        </w:rPr>
        <w:t xml:space="preserve">  代理销售华夏理财有限责任公司发行的理财产品。</w:t>
      </w:r>
    </w:p>
    <w:p w14:paraId="319AC29D" w14:textId="77777777" w:rsidR="00584B3C" w:rsidRDefault="00584B3C">
      <w:pPr>
        <w:pStyle w:val="067cd21a"/>
        <w:adjustRightInd w:val="0"/>
        <w:snapToGrid w:val="0"/>
        <w:spacing w:line="360" w:lineRule="auto"/>
        <w:ind w:firstLineChars="200" w:firstLine="420"/>
        <w:jc w:val="left"/>
        <w:rPr>
          <w:rFonts w:ascii="微软简仿宋" w:eastAsia="微软简仿宋" w:hAnsi="宋体"/>
          <w:b/>
          <w:szCs w:val="21"/>
          <w:u w:val="single"/>
        </w:rPr>
      </w:pPr>
    </w:p>
    <w:p w14:paraId="1928DB8D" w14:textId="77777777" w:rsidR="00584B3C" w:rsidRDefault="00000000">
      <w:pPr>
        <w:pStyle w:val="067cd21a"/>
        <w:adjustRightInd w:val="0"/>
        <w:snapToGrid w:val="0"/>
        <w:spacing w:line="360" w:lineRule="auto"/>
        <w:ind w:firstLineChars="200" w:firstLine="420"/>
        <w:jc w:val="center"/>
        <w:rPr>
          <w:rFonts w:ascii="微软简仿宋" w:eastAsia="微软简仿宋" w:hAnsi="宋体"/>
          <w:b/>
          <w:szCs w:val="21"/>
        </w:rPr>
      </w:pPr>
      <w:r>
        <w:rPr>
          <w:rFonts w:ascii="微软简仿宋" w:eastAsia="微软简仿宋" w:hAnsi="宋体" w:hint="eastAsia"/>
          <w:b/>
          <w:szCs w:val="21"/>
        </w:rPr>
        <w:t>重要提示</w:t>
      </w:r>
    </w:p>
    <w:p w14:paraId="4F7B73E2" w14:textId="27446B2D" w:rsidR="00584B3C" w:rsidRDefault="00000000">
      <w:pPr>
        <w:pStyle w:val="067cd21a"/>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客户：为了维护您的权益，请在签署本协议前，仔细阅读本协议各条款（特别是含有黑体文字的条款），充分了解华夏理财有限责任公司理财业务运作规则。如您有疑问或不明之处，请向代销机构或华夏理财有限责任公司咨询，或者咨询您的律师和有关专业人士。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sidR="003E0F24">
        <w:rPr>
          <w:rFonts w:ascii="微软简仿宋" w:eastAsia="微软简仿宋" w:hAnsi="宋体" w:hint="eastAsia"/>
          <w:b/>
          <w:szCs w:val="21"/>
          <w:u w:val="single"/>
        </w:rPr>
        <w:t>南粤银行</w:t>
      </w:r>
      <w:r>
        <w:rPr>
          <w:rFonts w:ascii="微软简仿宋" w:eastAsia="微软简仿宋" w:hint="eastAsia"/>
          <w:color w:val="000000"/>
          <w:szCs w:val="21"/>
          <w:u w:val="single"/>
        </w:rPr>
        <w:t xml:space="preserve">  </w:t>
      </w:r>
      <w:r>
        <w:rPr>
          <w:rFonts w:ascii="微软简仿宋" w:eastAsia="微软简仿宋" w:hAnsi="宋体" w:hint="eastAsia"/>
          <w:b/>
          <w:szCs w:val="21"/>
        </w:rPr>
        <w:t>代销机构客户服务热线。</w:t>
      </w:r>
    </w:p>
    <w:p w14:paraId="4E197FC4"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434753CD" w14:textId="77777777" w:rsidR="00584B3C" w:rsidRDefault="00000000">
      <w:pPr>
        <w:pStyle w:val="067cd21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14:paraId="2266B1E5" w14:textId="77777777" w:rsidR="00584B3C" w:rsidRDefault="00000000">
      <w:pPr>
        <w:pStyle w:val="067cd21a"/>
        <w:adjustRightInd w:val="0"/>
        <w:snapToGrid w:val="0"/>
        <w:spacing w:line="360" w:lineRule="auto"/>
        <w:ind w:firstLineChars="200" w:firstLine="420"/>
        <w:rPr>
          <w:rFonts w:ascii="微软简标宋" w:eastAsia="微软简标宋"/>
          <w:b/>
          <w:sz w:val="32"/>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本协议书中的任何业绩比较基准</w:t>
      </w:r>
      <w:r>
        <w:rPr>
          <w:rFonts w:ascii="微软简仿宋" w:eastAsia="微软简仿宋"/>
          <w:b/>
          <w:color w:val="000000"/>
          <w:szCs w:val="21"/>
        </w:rPr>
        <w:t>、</w:t>
      </w:r>
      <w:r>
        <w:rPr>
          <w:rFonts w:ascii="微软简仿宋" w:eastAsia="微软简仿宋" w:hint="eastAsia"/>
          <w:b/>
          <w:color w:val="000000"/>
          <w:szCs w:val="21"/>
        </w:rPr>
        <w:t>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58C37089" w14:textId="77777777" w:rsidR="00584B3C" w:rsidRDefault="00000000">
      <w:pPr>
        <w:pStyle w:val="067cd21a"/>
        <w:adjustRightInd w:val="0"/>
        <w:snapToGrid w:val="0"/>
        <w:spacing w:line="360" w:lineRule="auto"/>
        <w:ind w:firstLineChars="200" w:firstLine="420"/>
        <w:jc w:val="left"/>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与理财产品说明书、理财产品投资协议书、风险揭示书、投资者权益须知、代理销售协议书(如有)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投资协</w:t>
      </w:r>
      <w:r>
        <w:rPr>
          <w:rFonts w:ascii="微软简仿宋" w:eastAsia="微软简仿宋" w:hint="eastAsia"/>
          <w:b/>
          <w:color w:val="000000"/>
          <w:szCs w:val="21"/>
        </w:rPr>
        <w:lastRenderedPageBreak/>
        <w:t>议书等相关文件约定为准。</w:t>
      </w:r>
    </w:p>
    <w:p w14:paraId="5CC12982" w14:textId="77777777" w:rsidR="00584B3C" w:rsidRDefault="00584B3C">
      <w:pPr>
        <w:pStyle w:val="067cd21a"/>
        <w:adjustRightInd w:val="0"/>
        <w:snapToGrid w:val="0"/>
        <w:spacing w:line="360" w:lineRule="auto"/>
        <w:ind w:firstLineChars="200" w:firstLine="420"/>
        <w:jc w:val="left"/>
        <w:rPr>
          <w:rFonts w:ascii="微软简仿宋" w:eastAsia="微软简仿宋"/>
          <w:b/>
          <w:color w:val="000000"/>
          <w:szCs w:val="21"/>
        </w:rPr>
      </w:pPr>
    </w:p>
    <w:p w14:paraId="79625616" w14:textId="3AB13A21" w:rsidR="00584B3C" w:rsidRDefault="00000000">
      <w:pPr>
        <w:pStyle w:val="067cd21a"/>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本协议项下代销机构：</w:t>
      </w:r>
      <w:r w:rsidR="00D04A1C">
        <w:rPr>
          <w:rFonts w:ascii="微软简仿宋" w:eastAsia="微软简仿宋" w:hAnsi="宋体" w:hint="eastAsia"/>
          <w:b/>
          <w:szCs w:val="21"/>
          <w:u w:val="single"/>
        </w:rPr>
        <w:t>南粤银行</w:t>
      </w:r>
    </w:p>
    <w:p w14:paraId="4C8D7F7B" w14:textId="017276D9" w:rsidR="00584B3C" w:rsidRDefault="00000000">
      <w:pPr>
        <w:pStyle w:val="067cd21a"/>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法定代表人：</w:t>
      </w:r>
      <w:r w:rsidR="00D04A1C">
        <w:rPr>
          <w:rFonts w:ascii="微软简仿宋" w:eastAsia="微软简仿宋" w:hAnsi="宋体" w:hint="eastAsia"/>
          <w:b/>
          <w:szCs w:val="21"/>
          <w:u w:val="single"/>
        </w:rPr>
        <w:t>骆传朋</w:t>
      </w:r>
    </w:p>
    <w:p w14:paraId="6B606454" w14:textId="32B15ABB" w:rsidR="00584B3C" w:rsidRDefault="00000000">
      <w:pPr>
        <w:pStyle w:val="067cd21a"/>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地址：</w:t>
      </w:r>
      <w:r w:rsidR="00D04A1C">
        <w:rPr>
          <w:rFonts w:ascii="微软简仿宋" w:eastAsia="微软简仿宋" w:hAnsi="宋体" w:hint="eastAsia"/>
          <w:b/>
          <w:szCs w:val="21"/>
          <w:u w:val="single"/>
        </w:rPr>
        <w:t>湛江经济技术开发区乐山路27号财富汇金融中心1层</w:t>
      </w:r>
    </w:p>
    <w:p w14:paraId="6BF5D1C4" w14:textId="4FF04951" w:rsidR="00584B3C" w:rsidRDefault="00000000">
      <w:pPr>
        <w:pStyle w:val="067cd21a"/>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邮编：</w:t>
      </w:r>
      <w:r w:rsidR="00D04A1C">
        <w:rPr>
          <w:rFonts w:ascii="微软简仿宋" w:eastAsia="微软简仿宋" w:hAnsi="宋体" w:hint="eastAsia"/>
          <w:b/>
          <w:szCs w:val="21"/>
          <w:u w:val="single"/>
        </w:rPr>
        <w:t>510120</w:t>
      </w:r>
    </w:p>
    <w:p w14:paraId="507D31BB" w14:textId="6B57002C" w:rsidR="00584B3C" w:rsidRDefault="00000000">
      <w:pPr>
        <w:pStyle w:val="067cd21a"/>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公司网址：</w:t>
      </w:r>
      <w:r w:rsidR="00D04A1C">
        <w:rPr>
          <w:rFonts w:ascii="微软简仿宋" w:eastAsia="微软简仿宋" w:hAnsi="宋体" w:hint="eastAsia"/>
          <w:b/>
          <w:szCs w:val="21"/>
          <w:u w:val="single"/>
        </w:rPr>
        <w:t>www.gdnybank.com</w:t>
      </w:r>
    </w:p>
    <w:p w14:paraId="6DE9B191" w14:textId="70444A17" w:rsidR="00584B3C" w:rsidRDefault="00000000">
      <w:pPr>
        <w:pStyle w:val="067cd21a"/>
        <w:adjustRightInd w:val="0"/>
        <w:snapToGrid w:val="0"/>
        <w:ind w:firstLineChars="200" w:firstLine="420"/>
        <w:jc w:val="left"/>
        <w:rPr>
          <w:rFonts w:ascii="微软简仿宋" w:eastAsia="微软简仿宋"/>
          <w:b/>
          <w:color w:val="000000"/>
          <w:szCs w:val="21"/>
        </w:rPr>
      </w:pPr>
      <w:r>
        <w:rPr>
          <w:rFonts w:ascii="微软简仿宋" w:eastAsia="微软简仿宋" w:hAnsi="宋体" w:hint="eastAsia"/>
          <w:szCs w:val="21"/>
        </w:rPr>
        <w:t>客服/联系电话：</w:t>
      </w:r>
      <w:r w:rsidR="00D04A1C">
        <w:rPr>
          <w:rFonts w:ascii="微软简仿宋" w:eastAsia="微软简仿宋" w:hAnsi="宋体" w:hint="eastAsia"/>
          <w:b/>
          <w:szCs w:val="21"/>
          <w:u w:val="single"/>
        </w:rPr>
        <w:t>4000961818</w:t>
      </w:r>
    </w:p>
    <w:p w14:paraId="394DF153" w14:textId="77777777" w:rsidR="00584B3C" w:rsidRDefault="00584B3C">
      <w:pPr>
        <w:pStyle w:val="067cd21a"/>
        <w:adjustRightInd w:val="0"/>
        <w:snapToGrid w:val="0"/>
        <w:spacing w:line="360" w:lineRule="auto"/>
        <w:ind w:firstLineChars="200" w:firstLine="420"/>
        <w:jc w:val="left"/>
        <w:rPr>
          <w:rFonts w:ascii="微软简仿宋" w:eastAsia="微软简仿宋"/>
          <w:b/>
          <w:color w:val="000000"/>
          <w:szCs w:val="21"/>
        </w:rPr>
      </w:pPr>
    </w:p>
    <w:p w14:paraId="7E2FDB7C"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甲方（即购买理财产品的投资者）本着自主决策、自愿委托、风险自担的原则，购买乙方（华夏理财有限责任公司）发行的理财产品，为明确双方的权利义务，双方经平等协商签订本协议书。</w:t>
      </w:r>
      <w:r>
        <w:rPr>
          <w:rFonts w:ascii="微软简仿宋" w:eastAsia="微软简仿宋" w:hint="eastAsia"/>
          <w:b/>
          <w:bCs/>
          <w:color w:val="000000"/>
          <w:szCs w:val="21"/>
        </w:rPr>
        <w:t>本协议书适用于乙方委托理财产品代理销售机构（以下简称“代销机构”）代销的净值型理财产品。</w:t>
      </w:r>
      <w:r>
        <w:rPr>
          <w:rFonts w:ascii="微软简仿宋" w:eastAsia="微软简仿宋" w:hint="eastAsia"/>
          <w:color w:val="000000"/>
          <w:szCs w:val="21"/>
        </w:rPr>
        <w:t>本协议中提到的申购、预约申购、赎回、</w:t>
      </w:r>
      <w:r>
        <w:rPr>
          <w:rFonts w:ascii="微软简仿宋" w:eastAsia="微软简仿宋"/>
          <w:color w:val="000000"/>
          <w:szCs w:val="21"/>
        </w:rPr>
        <w:t>预约赎回</w:t>
      </w:r>
      <w:r>
        <w:rPr>
          <w:rFonts w:ascii="微软简仿宋" w:eastAsia="微软简仿宋" w:hint="eastAsia"/>
          <w:color w:val="000000"/>
          <w:szCs w:val="21"/>
        </w:rPr>
        <w:t>仅适用于开放式净值型理财产品，具体产品性质以产品说明书为准。</w:t>
      </w:r>
    </w:p>
    <w:p w14:paraId="0D041830" w14:textId="77777777" w:rsidR="00584B3C" w:rsidRDefault="00584B3C">
      <w:pPr>
        <w:pStyle w:val="067cd21a"/>
        <w:adjustRightInd w:val="0"/>
        <w:snapToGrid w:val="0"/>
        <w:spacing w:line="360" w:lineRule="auto"/>
        <w:ind w:firstLineChars="200" w:firstLine="422"/>
        <w:rPr>
          <w:rFonts w:ascii="微软简仿宋"/>
          <w:b/>
          <w:bCs/>
          <w:color w:val="000000"/>
          <w:szCs w:val="21"/>
        </w:rPr>
      </w:pPr>
    </w:p>
    <w:p w14:paraId="7120B1E4" w14:textId="77777777" w:rsidR="00584B3C" w:rsidRDefault="00000000">
      <w:pPr>
        <w:pStyle w:val="067cd21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甲方声明：</w:t>
      </w:r>
    </w:p>
    <w:p w14:paraId="0E556A79" w14:textId="77777777" w:rsidR="00584B3C" w:rsidRDefault="00000000">
      <w:pPr>
        <w:pStyle w:val="067cd21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以本人合法持有的自有资金购买乙方发行的理财产品，甲方承诺投资理财产品使用的资金来源合法合规，并且系为合法之目的投资本理财产品，而非为洗钱等违法犯罪之目的，甲方将配合乙方、代销机构开展投资者身份识别及尽职调查等反洗钱活动，及时、真实、准确、完整提供身份信息及资金来源等信息。</w:t>
      </w:r>
    </w:p>
    <w:p w14:paraId="7DE25422" w14:textId="77777777" w:rsidR="00584B3C" w:rsidRDefault="00000000">
      <w:pPr>
        <w:pStyle w:val="067cd21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甲方声明所提供的所有资料真实、完整、合法、有效，如有变更，甲方应通知代销机构并办理变更手续。若甲方未及时办理相关变更手续，由此导致的一切后果由甲方承担，乙方对此不承担任何责任。</w:t>
      </w:r>
    </w:p>
    <w:p w14:paraId="6EC294AF" w14:textId="77777777" w:rsidR="00584B3C" w:rsidRDefault="00000000">
      <w:pPr>
        <w:pStyle w:val="067cd21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甲方声明已阅知投资者权益须知，接受并签署本协议书、产品说明书、风险揭示书、投资协议书。甲方的投资决策完全是甲方独立、自主、谨慎做出的。甲方已充分了解本协议</w:t>
      </w:r>
      <w:r>
        <w:rPr>
          <w:rFonts w:ascii="微软简仿宋" w:eastAsia="微软简仿宋" w:hint="eastAsia"/>
          <w:b/>
          <w:bCs/>
          <w:color w:val="000000"/>
          <w:szCs w:val="21"/>
        </w:rPr>
        <w:lastRenderedPageBreak/>
        <w:t>书相关内容，特别是甲方认购/预约</w:t>
      </w:r>
      <w:r>
        <w:rPr>
          <w:rFonts w:ascii="微软简仿宋" w:eastAsia="微软简仿宋"/>
          <w:b/>
          <w:bCs/>
          <w:color w:val="000000"/>
          <w:szCs w:val="21"/>
        </w:rPr>
        <w:t>认购/</w:t>
      </w:r>
      <w:r>
        <w:rPr>
          <w:rFonts w:ascii="微软简仿宋" w:eastAsia="微软简仿宋" w:hint="eastAsia"/>
          <w:b/>
          <w:bCs/>
          <w:color w:val="000000"/>
          <w:szCs w:val="21"/>
        </w:rPr>
        <w:t>申购/预约申购/赎回/预约</w:t>
      </w:r>
      <w:r>
        <w:rPr>
          <w:rFonts w:ascii="微软简仿宋" w:eastAsia="微软简仿宋"/>
          <w:b/>
          <w:bCs/>
          <w:color w:val="000000"/>
          <w:szCs w:val="21"/>
        </w:rPr>
        <w:t>赎回</w:t>
      </w:r>
      <w:r>
        <w:rPr>
          <w:rFonts w:ascii="微软简仿宋" w:eastAsia="微软简仿宋" w:hint="eastAsia"/>
          <w:b/>
          <w:bCs/>
          <w:color w:val="000000"/>
          <w:szCs w:val="21"/>
        </w:rPr>
        <w:t>条款、免责条款等的内容和含义。甲方已完全知晓并充分理解甲乙双方的权利、义务、责任和投资理财产品的风险，甲方自愿接受本协议书内容，自愿并能承担相关风险。</w:t>
      </w:r>
    </w:p>
    <w:p w14:paraId="39CEF2FD" w14:textId="77777777" w:rsidR="00584B3C" w:rsidRDefault="00000000">
      <w:pPr>
        <w:pStyle w:val="067cd21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14:paraId="534C9FA9" w14:textId="77777777" w:rsidR="00584B3C" w:rsidRDefault="00000000">
      <w:pPr>
        <w:pStyle w:val="067cd21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5</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14:paraId="3D9608BC" w14:textId="77777777" w:rsidR="00584B3C" w:rsidRDefault="00584B3C">
      <w:pPr>
        <w:pStyle w:val="067cd21a"/>
        <w:adjustRightInd w:val="0"/>
        <w:snapToGrid w:val="0"/>
        <w:spacing w:line="360" w:lineRule="auto"/>
        <w:ind w:firstLineChars="200" w:firstLine="420"/>
        <w:jc w:val="left"/>
        <w:rPr>
          <w:rFonts w:ascii="微软简仿宋" w:eastAsia="微软简仿宋"/>
          <w:b/>
          <w:bCs/>
          <w:color w:val="000000"/>
          <w:szCs w:val="21"/>
        </w:rPr>
      </w:pPr>
    </w:p>
    <w:p w14:paraId="3FD9F52E" w14:textId="77777777" w:rsidR="00584B3C" w:rsidRDefault="00584B3C">
      <w:pPr>
        <w:pStyle w:val="067cd21a"/>
        <w:adjustRightInd w:val="0"/>
        <w:snapToGrid w:val="0"/>
        <w:spacing w:line="360" w:lineRule="auto"/>
        <w:ind w:firstLineChars="200" w:firstLine="420"/>
        <w:jc w:val="left"/>
        <w:rPr>
          <w:rFonts w:ascii="微软简仿宋" w:eastAsia="微软简仿宋"/>
          <w:b/>
          <w:bCs/>
          <w:color w:val="000000"/>
          <w:szCs w:val="21"/>
        </w:rPr>
      </w:pPr>
    </w:p>
    <w:p w14:paraId="279FBA3B" w14:textId="77777777" w:rsidR="00584B3C" w:rsidRDefault="00000000">
      <w:pPr>
        <w:pStyle w:val="067cd21a"/>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一、名词释义</w:t>
      </w:r>
    </w:p>
    <w:p w14:paraId="35B83F14"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7858AD57"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7CFEE2F4"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5955B0B0" w14:textId="77777777" w:rsidR="00584B3C" w:rsidRDefault="00000000">
      <w:pPr>
        <w:pStyle w:val="067cd21a"/>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int="eastAsia"/>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合格投资者：</w:t>
      </w:r>
      <w:r>
        <w:rPr>
          <w:rFonts w:ascii="微软简仿宋" w:eastAsia="微软简仿宋" w:hAnsi="Calibri" w:hint="eastAsia"/>
          <w:color w:val="000000"/>
          <w:szCs w:val="21"/>
        </w:rPr>
        <w:t>合格投资者是指具备相应风险识别能力和风险承受能力，投资于单只理财产品不低于一定金额且符合下列条件的自然人、法人或者依法成立的其他组织：</w:t>
      </w:r>
    </w:p>
    <w:p w14:paraId="47682821" w14:textId="77777777" w:rsidR="00584B3C" w:rsidRDefault="00000000">
      <w:pPr>
        <w:pStyle w:val="067cd21a"/>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w:t>
      </w:r>
      <w:r>
        <w:rPr>
          <w:rFonts w:ascii="微软简仿宋" w:eastAsia="微软简仿宋" w:hAnsi="Calibri"/>
          <w:color w:val="000000"/>
          <w:szCs w:val="21"/>
        </w:rPr>
        <w:t>1</w:t>
      </w:r>
      <w:r>
        <w:rPr>
          <w:rFonts w:ascii="微软简仿宋" w:eastAsia="微软简仿宋" w:hAnsi="Calibri" w:hint="eastAsia"/>
          <w:color w:val="000000"/>
          <w:szCs w:val="21"/>
        </w:rPr>
        <w:t>）具有2年以上投资经历，且满足家庭金融净资产不低于300万元人民币，或者家庭金融资产不低于500万元人民币，或者近3年本人年均收入不低于40万元人民币；</w:t>
      </w:r>
    </w:p>
    <w:p w14:paraId="01D84BD0" w14:textId="77777777" w:rsidR="00584B3C" w:rsidRDefault="00000000">
      <w:pPr>
        <w:pStyle w:val="067cd21a"/>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（2）最近1年末净资产不低于1000万元人民币的法人或者依法成立的其他组织；</w:t>
      </w:r>
    </w:p>
    <w:p w14:paraId="61E12B86"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Calibri" w:hint="eastAsia"/>
          <w:color w:val="000000"/>
          <w:szCs w:val="21"/>
        </w:rPr>
        <w:t>（3）国务院银行业监督管理机构规定的其他情形。</w:t>
      </w:r>
    </w:p>
    <w:p w14:paraId="164FA008" w14:textId="77777777" w:rsidR="00584B3C" w:rsidRDefault="00000000">
      <w:pPr>
        <w:pStyle w:val="067cd21a"/>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5</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：指接受乙方委托销售其发行理财产品的代理销售机构，包括其他理财公</w:t>
      </w:r>
      <w:r>
        <w:rPr>
          <w:rFonts w:ascii="Cambria" w:eastAsia="微软简仿宋" w:hAnsi="Cambria" w:hint="eastAsia"/>
          <w:color w:val="000000"/>
          <w:szCs w:val="21"/>
        </w:rPr>
        <w:lastRenderedPageBreak/>
        <w:t>司，商业银行、农村合作银行、村镇银行、农村信用合作社等吸收公众存款的银行业金融机构，以及银保监会规定的其他机构。代销</w:t>
      </w:r>
      <w:r>
        <w:rPr>
          <w:rFonts w:ascii="Cambria" w:eastAsia="微软简仿宋" w:hAnsi="Cambria"/>
          <w:color w:val="000000"/>
          <w:szCs w:val="21"/>
        </w:rPr>
        <w:t>机构</w:t>
      </w:r>
      <w:r>
        <w:rPr>
          <w:rFonts w:ascii="Cambria" w:eastAsia="微软简仿宋" w:hAnsi="Cambria" w:hint="eastAsia"/>
          <w:color w:val="000000"/>
          <w:szCs w:val="21"/>
        </w:rPr>
        <w:t>信息将通过乙方、代销机构的官方渠道予以公告</w:t>
      </w:r>
      <w:r>
        <w:rPr>
          <w:rFonts w:ascii="Cambria" w:eastAsia="微软简仿宋" w:hAnsi="Cambria" w:hint="eastAsia"/>
          <w:color w:val="000000"/>
          <w:szCs w:val="21"/>
        </w:rPr>
        <w:t xml:space="preserve"> </w:t>
      </w:r>
      <w:r>
        <w:rPr>
          <w:rFonts w:ascii="Cambria" w:eastAsia="微软简仿宋" w:hAnsi="Cambria"/>
          <w:color w:val="000000"/>
          <w:szCs w:val="21"/>
        </w:rPr>
        <w:t>。</w:t>
      </w:r>
    </w:p>
    <w:p w14:paraId="07BB100D"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Cambria" w:eastAsia="微软简仿宋" w:hAnsi="Cambria" w:hint="eastAsia"/>
          <w:color w:val="000000"/>
          <w:szCs w:val="21"/>
        </w:rPr>
        <w:t>6</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理</w:t>
      </w:r>
      <w:r>
        <w:rPr>
          <w:rFonts w:ascii="微软简仿宋" w:eastAsia="微软简仿宋" w:hint="eastAsia"/>
          <w:color w:val="000000"/>
          <w:szCs w:val="21"/>
        </w:rPr>
        <w:t>财产品宣传推介材料：指理财产品代销机构为宣传推介理财产品向投资者分发或者发布，使投资者可以获得的文字、图片、音频、视频以及其他形式的信息。</w:t>
      </w:r>
    </w:p>
    <w:p w14:paraId="2E637E97" w14:textId="77777777" w:rsidR="00584B3C" w:rsidRDefault="00000000">
      <w:pPr>
        <w:pStyle w:val="067cd21a"/>
        <w:widowControl/>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理财产品销售文件：包括销售协议书（即本协议）、代理销售协议书（如有）、理财产品投资协议书、理财产品说明书、风险揭示书、投资者权益须知以及后续对</w:t>
      </w:r>
      <w:r>
        <w:rPr>
          <w:rFonts w:ascii="微软简仿宋" w:eastAsia="微软简仿宋"/>
          <w:color w:val="000000"/>
          <w:szCs w:val="21"/>
        </w:rPr>
        <w:t>上述文件的</w:t>
      </w:r>
      <w:r>
        <w:rPr>
          <w:rFonts w:ascii="微软简仿宋" w:eastAsia="微软简仿宋" w:hint="eastAsia"/>
          <w:color w:val="000000"/>
          <w:szCs w:val="21"/>
        </w:rPr>
        <w:t>有效修订及补充；代销机构提供的经投资者确认的交易</w:t>
      </w:r>
      <w:r>
        <w:rPr>
          <w:rFonts w:ascii="微软简仿宋" w:eastAsia="微软简仿宋" w:hint="eastAsia"/>
          <w:color w:val="000000"/>
          <w:szCs w:val="21"/>
          <w:lang w:bidi="ar"/>
        </w:rPr>
        <w:t>申请单（如有）及回单（如有）为理财产品销售文件的有效构成</w:t>
      </w:r>
      <w:r>
        <w:rPr>
          <w:rFonts w:ascii="微软简仿宋" w:eastAsia="微软简仿宋" w:hint="eastAsia"/>
          <w:color w:val="000000"/>
          <w:szCs w:val="21"/>
        </w:rPr>
        <w:t>。</w:t>
      </w:r>
    </w:p>
    <w:p w14:paraId="39FC45B7"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本协议：指《华夏理财有限责任公司理财产品销售协议书》以及其后续有效的修订与补充。</w:t>
      </w:r>
    </w:p>
    <w:p w14:paraId="1E0B55AC"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3E2794F"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约定信息披露途径：指理财产品说明书、销售协议书、代理销售协议书（如有）、</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12548CAA"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50A51BBD"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。具体开放日、交易时间以理财产品说明书、销售协议书、代理销售协议书（如有）约定为准。封闭式</w:t>
      </w:r>
      <w:r>
        <w:rPr>
          <w:rFonts w:ascii="微软简仿宋" w:eastAsia="微软简仿宋"/>
          <w:color w:val="000000"/>
          <w:szCs w:val="21"/>
        </w:rPr>
        <w:t>理财产品不设开放日。</w:t>
      </w:r>
    </w:p>
    <w:p w14:paraId="69261486" w14:textId="77777777" w:rsidR="00584B3C" w:rsidRDefault="00000000">
      <w:pPr>
        <w:pStyle w:val="067cd21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认购：指</w:t>
      </w:r>
      <w:bookmarkStart w:id="0" w:name="_Hlk76310836"/>
      <w:r>
        <w:rPr>
          <w:rFonts w:ascii="微软简仿宋" w:eastAsia="微软简仿宋" w:hint="eastAsia"/>
          <w:color w:val="000000"/>
          <w:szCs w:val="21"/>
        </w:rPr>
        <w:t>投资者在</w:t>
      </w:r>
      <w:bookmarkEnd w:id="0"/>
      <w:r>
        <w:rPr>
          <w:rFonts w:ascii="微软简仿宋" w:eastAsia="微软简仿宋" w:hint="eastAsia"/>
          <w:color w:val="000000"/>
          <w:szCs w:val="21"/>
        </w:rPr>
        <w:t>发行/募集期内购买理财产品。</w:t>
      </w:r>
    </w:p>
    <w:p w14:paraId="74EE43F9" w14:textId="77777777" w:rsidR="00584B3C" w:rsidRDefault="00000000">
      <w:pPr>
        <w:pStyle w:val="067cd21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申购：指投资者在理财产品成立后的开放日购买理财产品。</w:t>
      </w:r>
    </w:p>
    <w:p w14:paraId="73B2ABDA" w14:textId="77777777" w:rsidR="00584B3C" w:rsidRDefault="00000000">
      <w:pPr>
        <w:pStyle w:val="067cd21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赎回：指投资者主动部分或全部退出所持有理财产品。</w:t>
      </w:r>
    </w:p>
    <w:p w14:paraId="2877C8E7"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预约认购：</w:t>
      </w:r>
      <w:r>
        <w:rPr>
          <w:rFonts w:ascii="微软简仿宋" w:eastAsia="微软简仿宋" w:hint="eastAsia"/>
          <w:szCs w:val="21"/>
        </w:rPr>
        <w:t>指理财产品发行起始日至发行终止日前，提前申请在产品发行终止日当天认购理财产品。</w:t>
      </w:r>
      <w:r>
        <w:rPr>
          <w:rFonts w:ascii="微软简仿宋" w:eastAsia="微软简仿宋"/>
          <w:color w:val="000000"/>
          <w:szCs w:val="21"/>
        </w:rPr>
        <w:t>预约认购申请</w:t>
      </w:r>
      <w:r>
        <w:rPr>
          <w:rFonts w:ascii="微软简仿宋" w:eastAsia="微软简仿宋" w:hint="eastAsia"/>
          <w:color w:val="000000"/>
          <w:szCs w:val="21"/>
        </w:rPr>
        <w:t>视同</w:t>
      </w:r>
      <w:r>
        <w:rPr>
          <w:rFonts w:ascii="微软简仿宋" w:eastAsia="微软简仿宋"/>
          <w:color w:val="000000"/>
          <w:szCs w:val="21"/>
        </w:rPr>
        <w:t>在</w:t>
      </w:r>
      <w:r>
        <w:rPr>
          <w:rFonts w:ascii="微软简仿宋" w:eastAsia="微软简仿宋" w:hint="eastAsia"/>
          <w:color w:val="000000"/>
          <w:szCs w:val="21"/>
        </w:rPr>
        <w:t>发行终止日当天</w:t>
      </w:r>
      <w:r>
        <w:rPr>
          <w:rFonts w:ascii="微软简仿宋" w:eastAsia="微软简仿宋"/>
          <w:color w:val="000000"/>
          <w:szCs w:val="21"/>
        </w:rPr>
        <w:t>的认购</w:t>
      </w:r>
      <w:r>
        <w:rPr>
          <w:rFonts w:ascii="微软简仿宋" w:eastAsia="微软简仿宋" w:hint="eastAsia"/>
          <w:color w:val="000000"/>
          <w:szCs w:val="21"/>
        </w:rPr>
        <w:t>申请。</w:t>
      </w:r>
      <w:r>
        <w:rPr>
          <w:rFonts w:ascii="微软简仿宋" w:eastAsia="微软简仿宋" w:hint="eastAsia"/>
          <w:b/>
          <w:bCs/>
          <w:color w:val="000000"/>
          <w:szCs w:val="21"/>
        </w:rPr>
        <w:t>代销机构另有约定的，以代销机构约定为准。</w:t>
      </w:r>
    </w:p>
    <w:p w14:paraId="1662FF64" w14:textId="77777777" w:rsidR="00584B3C" w:rsidRDefault="00000000">
      <w:pPr>
        <w:pStyle w:val="067cd21a"/>
        <w:numPr>
          <w:ins w:id="1" w:author="Unknown"/>
        </w:num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lastRenderedPageBreak/>
        <w:t>17</w:t>
      </w:r>
      <w:r>
        <w:rPr>
          <w:rFonts w:ascii="微软简仿宋" w:eastAsia="微软简仿宋" w:hAnsi="微软简仿宋" w:cs="微软简仿宋" w:hint="eastAsia"/>
          <w:color w:val="000000"/>
          <w:szCs w:val="21"/>
        </w:rPr>
        <w:t>．</w:t>
      </w:r>
      <w:r>
        <w:rPr>
          <w:rFonts w:ascii="微软简仿宋" w:eastAsia="微软简仿宋"/>
          <w:color w:val="000000"/>
          <w:szCs w:val="21"/>
        </w:rPr>
        <w:t>预约</w:t>
      </w:r>
      <w:r>
        <w:rPr>
          <w:rFonts w:ascii="微软简仿宋" w:eastAsia="微软简仿宋" w:hint="eastAsia"/>
          <w:color w:val="000000"/>
          <w:szCs w:val="21"/>
        </w:rPr>
        <w:t>申购/预约</w:t>
      </w:r>
      <w:r>
        <w:rPr>
          <w:rFonts w:ascii="微软简仿宋" w:eastAsia="微软简仿宋"/>
          <w:color w:val="000000"/>
          <w:szCs w:val="21"/>
        </w:rPr>
        <w:t>赎回：</w:t>
      </w:r>
      <w:r>
        <w:rPr>
          <w:rFonts w:ascii="微软简仿宋" w:eastAsia="微软简仿宋" w:hint="eastAsia"/>
          <w:color w:val="000000"/>
          <w:szCs w:val="21"/>
        </w:rPr>
        <w:t>指理财</w:t>
      </w:r>
      <w:r>
        <w:rPr>
          <w:rFonts w:ascii="微软简仿宋" w:eastAsia="微软简仿宋"/>
          <w:color w:val="000000"/>
          <w:szCs w:val="21"/>
        </w:rPr>
        <w:t>产品</w:t>
      </w:r>
      <w:r>
        <w:rPr>
          <w:rFonts w:ascii="微软简仿宋" w:eastAsia="微软简仿宋" w:hint="eastAsia"/>
          <w:color w:val="000000"/>
          <w:szCs w:val="21"/>
        </w:rPr>
        <w:t>封闭期最后</w:t>
      </w:r>
      <w:r>
        <w:rPr>
          <w:rFonts w:ascii="微软简仿宋" w:eastAsia="微软简仿宋"/>
          <w:color w:val="000000"/>
          <w:szCs w:val="21"/>
        </w:rPr>
        <w:t>一个工作日</w:t>
      </w:r>
      <w:r>
        <w:rPr>
          <w:rFonts w:ascii="微软简仿宋" w:eastAsia="微软简仿宋" w:hint="eastAsia"/>
          <w:color w:val="000000"/>
          <w:szCs w:val="21"/>
        </w:rPr>
        <w:t>约定时点（具体约定详见产品说明书）前</w:t>
      </w:r>
      <w:r>
        <w:rPr>
          <w:rFonts w:ascii="微软简仿宋" w:eastAsia="微软简仿宋"/>
          <w:color w:val="000000"/>
          <w:szCs w:val="21"/>
        </w:rPr>
        <w:t>，</w:t>
      </w:r>
      <w:r>
        <w:rPr>
          <w:rFonts w:ascii="微软简仿宋" w:eastAsia="微软简仿宋" w:hAnsi="仿宋" w:hint="eastAsia"/>
          <w:bCs/>
          <w:szCs w:val="21"/>
        </w:rPr>
        <w:t>提前申请在下一开放日开放时间内申购/赎回理财产品</w:t>
      </w:r>
      <w:r>
        <w:rPr>
          <w:rFonts w:ascii="宋体" w:hAnsi="宋体" w:cs="宋体" w:hint="eastAsia"/>
          <w:bCs/>
          <w:szCs w:val="21"/>
        </w:rPr>
        <w:t>。</w:t>
      </w:r>
      <w:r>
        <w:rPr>
          <w:rFonts w:ascii="微软简仿宋" w:eastAsia="微软简仿宋" w:hint="eastAsia"/>
          <w:color w:val="000000"/>
          <w:szCs w:val="21"/>
        </w:rPr>
        <w:t>预约申购</w:t>
      </w:r>
      <w:r>
        <w:rPr>
          <w:rFonts w:ascii="微软简仿宋" w:eastAsia="微软简仿宋"/>
          <w:color w:val="000000"/>
          <w:szCs w:val="21"/>
        </w:rPr>
        <w:t>及</w:t>
      </w:r>
      <w:r>
        <w:rPr>
          <w:rFonts w:ascii="微软简仿宋" w:eastAsia="微软简仿宋" w:hint="eastAsia"/>
          <w:color w:val="000000"/>
          <w:szCs w:val="21"/>
        </w:rPr>
        <w:t>预约</w:t>
      </w:r>
      <w:r>
        <w:rPr>
          <w:rFonts w:ascii="微软简仿宋" w:eastAsia="微软简仿宋"/>
          <w:color w:val="000000"/>
          <w:szCs w:val="21"/>
        </w:rPr>
        <w:t>赎回申请，</w:t>
      </w:r>
      <w:r>
        <w:rPr>
          <w:rFonts w:ascii="微软简仿宋" w:eastAsia="微软简仿宋" w:hint="eastAsia"/>
          <w:color w:val="000000"/>
          <w:szCs w:val="21"/>
        </w:rPr>
        <w:t>视</w:t>
      </w:r>
      <w:r>
        <w:rPr>
          <w:rFonts w:ascii="微软简仿宋" w:eastAsia="微软简仿宋"/>
          <w:color w:val="000000"/>
          <w:szCs w:val="21"/>
        </w:rPr>
        <w:t>同在下一开放日开放时间内的申购</w:t>
      </w:r>
      <w:r>
        <w:rPr>
          <w:rFonts w:ascii="微软简仿宋" w:eastAsia="微软简仿宋" w:hint="eastAsia"/>
          <w:color w:val="000000"/>
          <w:szCs w:val="21"/>
        </w:rPr>
        <w:t>/</w:t>
      </w:r>
      <w:r>
        <w:rPr>
          <w:rFonts w:ascii="微软简仿宋" w:eastAsia="微软简仿宋"/>
          <w:color w:val="000000"/>
          <w:szCs w:val="21"/>
        </w:rPr>
        <w:t>赎回申请</w:t>
      </w:r>
      <w:r>
        <w:rPr>
          <w:rFonts w:ascii="微软简仿宋" w:eastAsia="微软简仿宋" w:hint="eastAsia"/>
          <w:color w:val="000000"/>
          <w:szCs w:val="21"/>
        </w:rPr>
        <w:t>。</w:t>
      </w:r>
      <w:r>
        <w:rPr>
          <w:rFonts w:ascii="微软简仿宋" w:eastAsia="微软简仿宋" w:hint="eastAsia"/>
          <w:b/>
          <w:bCs/>
          <w:color w:val="000000"/>
          <w:szCs w:val="21"/>
        </w:rPr>
        <w:t>代销机构另有约定的，以代销机构约定为准。</w:t>
      </w:r>
    </w:p>
    <w:p w14:paraId="6EEC5F04" w14:textId="77777777" w:rsidR="00584B3C" w:rsidRDefault="00000000">
      <w:pPr>
        <w:pStyle w:val="067cd21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7D06056D" w14:textId="77777777" w:rsidR="00584B3C" w:rsidRDefault="00000000">
      <w:pPr>
        <w:pStyle w:val="067cd21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6B0B12DE" w14:textId="77777777" w:rsidR="00584B3C" w:rsidRDefault="00000000">
      <w:pPr>
        <w:pStyle w:val="067cd21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二、理财产品销售业务规则</w:t>
      </w:r>
    </w:p>
    <w:p w14:paraId="22DFBA9F" w14:textId="77777777" w:rsidR="00584B3C" w:rsidRDefault="00000000">
      <w:pPr>
        <w:pStyle w:val="067cd21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7C0735DB"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bCs/>
          <w:color w:val="000000"/>
          <w:szCs w:val="21"/>
        </w:rPr>
        <w:t>(一)理财业务签约</w:t>
      </w:r>
    </w:p>
    <w:p w14:paraId="3BAA196E" w14:textId="77777777" w:rsidR="00584B3C" w:rsidRDefault="00000000">
      <w:pPr>
        <w:pStyle w:val="067cd21a"/>
        <w:numPr>
          <w:ins w:id="2" w:author="Unknown"/>
        </w:num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甲方已在代销机构开立账户并进行理财业务签约（以下简称“签约账户”），指定签约账户用于认购/预约</w:t>
      </w:r>
      <w:r>
        <w:rPr>
          <w:rFonts w:ascii="微软简仿宋" w:eastAsia="微软简仿宋"/>
          <w:color w:val="000000"/>
          <w:szCs w:val="21"/>
        </w:rPr>
        <w:t>认购</w:t>
      </w:r>
      <w:r>
        <w:rPr>
          <w:rFonts w:ascii="微软简仿宋" w:eastAsia="微软简仿宋" w:hint="eastAsia"/>
          <w:color w:val="000000"/>
          <w:szCs w:val="21"/>
        </w:rPr>
        <w:t>/申购/预约申购/赎回/预约</w:t>
      </w:r>
      <w:r>
        <w:rPr>
          <w:rFonts w:ascii="微软简仿宋" w:eastAsia="微软简仿宋"/>
          <w:color w:val="000000"/>
          <w:szCs w:val="21"/>
        </w:rPr>
        <w:t>赎回</w:t>
      </w:r>
      <w:r>
        <w:rPr>
          <w:rFonts w:ascii="微软简仿宋" w:eastAsia="微软简仿宋" w:hint="eastAsia"/>
          <w:color w:val="000000"/>
          <w:szCs w:val="21"/>
        </w:rPr>
        <w:t>本协议书项下的理财产品。</w:t>
      </w:r>
    </w:p>
    <w:p w14:paraId="079E6901"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甲方确认在签约时提供的证件资料、联系方式等信息真实且有效。乙方和代销机构在法律、法规、监管规定、有权机关规定的期限内留存甲方信息。</w:t>
      </w:r>
    </w:p>
    <w:p w14:paraId="632F0F3F"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14:paraId="1F68D375" w14:textId="77777777" w:rsidR="00584B3C" w:rsidRDefault="00000000">
      <w:pPr>
        <w:pStyle w:val="067cd21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甲方在理财产品全部赎回或兑付前，不得办理签约账户销户。</w:t>
      </w:r>
    </w:p>
    <w:p w14:paraId="1384F4BE"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（二）认购/申购/预约认购/预约申购/赎回/预约赎回</w:t>
      </w:r>
    </w:p>
    <w:p w14:paraId="6EADCA34" w14:textId="77777777" w:rsidR="00584B3C" w:rsidRDefault="00000000">
      <w:pPr>
        <w:pStyle w:val="067cd21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甲方应根据自身风险承受能力审慎购买理财产品。甲方同意在理财产品认购/申购/</w:t>
      </w:r>
      <w:r>
        <w:rPr>
          <w:rFonts w:ascii="微软简仿宋" w:eastAsia="微软简仿宋" w:hint="eastAsia"/>
          <w:b/>
          <w:color w:val="000000"/>
          <w:szCs w:val="21"/>
        </w:rPr>
        <w:lastRenderedPageBreak/>
        <w:t>预约认购/预约申购时代销机构依约定从签约账户中预扣或冻结约定的申请金额用于购买理财产品。扣划或冻结期间，是否计付利息以代销机构业务规则为准，与乙方无关。</w:t>
      </w:r>
    </w:p>
    <w:p w14:paraId="1C331B0A" w14:textId="77777777" w:rsidR="00584B3C" w:rsidRDefault="00000000">
      <w:pPr>
        <w:pStyle w:val="067cd21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甲方同意在认购/申购/预约认购/预约申购交易后，代销机构依据约定划款时间予以划款，不再与甲方确认。甲方认购/申购风险较高或单笔金额较大的理财产品时，亦适用此项约定。</w:t>
      </w:r>
    </w:p>
    <w:p w14:paraId="6FA102B5"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产品兑付时，乙方委托代销机构根据理财产品说明书的约定将理财本金及理财收益（如有）划入甲方签约账户。</w:t>
      </w:r>
    </w:p>
    <w:p w14:paraId="0EF1BCD0" w14:textId="77777777" w:rsidR="00584B3C" w:rsidRDefault="00000000">
      <w:pPr>
        <w:pStyle w:val="067cd21a"/>
        <w:adjustRightInd w:val="0"/>
        <w:snapToGrid w:val="0"/>
        <w:spacing w:line="360" w:lineRule="auto"/>
        <w:ind w:firstLineChars="200" w:firstLine="420"/>
        <w:rPr>
          <w:rFonts w:ascii="微软简仿宋" w:eastAsia="微软简仿宋" w:hAnsi="宋体"/>
          <w:szCs w:val="21"/>
        </w:rPr>
      </w:pPr>
      <w:r>
        <w:rPr>
          <w:rFonts w:ascii="微软简仿宋" w:eastAsia="微软简仿宋" w:hint="eastAsia"/>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乙方允许甲方在发行/募集期内撤销认购/预约</w:t>
      </w:r>
      <w:r>
        <w:rPr>
          <w:rFonts w:ascii="微软简仿宋" w:eastAsia="微软简仿宋"/>
          <w:color w:val="000000"/>
          <w:szCs w:val="21"/>
        </w:rPr>
        <w:t>认购</w:t>
      </w:r>
      <w:r>
        <w:rPr>
          <w:rFonts w:ascii="微软简仿宋" w:eastAsia="微软简仿宋" w:hAnsi="宋体" w:hint="eastAsia"/>
          <w:szCs w:val="21"/>
        </w:rPr>
        <w:t>，甲方退回的理财本金具体到账时间以代销机构规定为准。</w:t>
      </w:r>
    </w:p>
    <w:p w14:paraId="6AE53022" w14:textId="77777777" w:rsidR="00584B3C" w:rsidRDefault="00000000">
      <w:pPr>
        <w:pStyle w:val="067cd21a"/>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5</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预约认购申请，视同在发行</w:t>
      </w:r>
      <w:r>
        <w:rPr>
          <w:rFonts w:ascii="微软简仿宋" w:eastAsia="微软简仿宋" w:hAnsi="宋体"/>
          <w:szCs w:val="21"/>
        </w:rPr>
        <w:t>终止日</w:t>
      </w:r>
      <w:r>
        <w:rPr>
          <w:rFonts w:ascii="微软简仿宋" w:eastAsia="微软简仿宋" w:hAnsi="宋体" w:hint="eastAsia"/>
          <w:szCs w:val="21"/>
        </w:rPr>
        <w:t>当天的认购申请，具体办理规则以代销机构约定为准。</w:t>
      </w:r>
    </w:p>
    <w:p w14:paraId="75746782" w14:textId="77777777" w:rsidR="00584B3C" w:rsidRDefault="00000000">
      <w:pPr>
        <w:pStyle w:val="067cd21a"/>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6</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预约申购申请，视同在下一开放日开放时间内的申购申请，具体办理规则以代销机构约定为准。</w:t>
      </w:r>
    </w:p>
    <w:p w14:paraId="0DB3DA72" w14:textId="77777777" w:rsidR="00584B3C" w:rsidRDefault="00000000">
      <w:pPr>
        <w:pStyle w:val="067cd21a"/>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7</w:t>
      </w:r>
      <w:r>
        <w:rPr>
          <w:rFonts w:ascii="微软简仿宋" w:eastAsia="微软简仿宋" w:hAnsi="微软简仿宋" w:cs="微软简仿宋" w:hint="eastAsia"/>
          <w:color w:val="000000"/>
          <w:szCs w:val="21"/>
        </w:rPr>
        <w:t>．</w:t>
      </w:r>
      <w:r>
        <w:rPr>
          <w:rFonts w:ascii="微软简仿宋" w:eastAsia="微软简仿宋" w:hAnsi="宋体" w:hint="eastAsia"/>
          <w:szCs w:val="21"/>
        </w:rPr>
        <w:t>产品开放期间，投资者可撤销已提交的申购、赎回申请，具体规定如下：</w:t>
      </w:r>
    </w:p>
    <w:p w14:paraId="47CFF066" w14:textId="77777777" w:rsidR="00584B3C" w:rsidRDefault="00000000">
      <w:pPr>
        <w:pStyle w:val="067cd21a"/>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（1）只能全额撤销；</w:t>
      </w:r>
    </w:p>
    <w:p w14:paraId="0F46609C" w14:textId="77777777" w:rsidR="00584B3C" w:rsidRDefault="00000000">
      <w:pPr>
        <w:pStyle w:val="067cd21a"/>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（2）开放日开放时间之后不能撤销。</w:t>
      </w:r>
    </w:p>
    <w:p w14:paraId="19F4F533" w14:textId="77777777" w:rsidR="00584B3C" w:rsidRDefault="00000000">
      <w:pPr>
        <w:pStyle w:val="067cd21a"/>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bCs/>
          <w:szCs w:val="21"/>
        </w:rPr>
        <w:t>代销机构如有约定的，以代销机构约定为准。</w:t>
      </w:r>
    </w:p>
    <w:p w14:paraId="656F65AA" w14:textId="77777777" w:rsidR="00584B3C" w:rsidRDefault="00000000">
      <w:pPr>
        <w:pStyle w:val="067cd21a"/>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宋体" w:hint="eastAsia"/>
          <w:szCs w:val="21"/>
        </w:rPr>
        <w:t>8</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甲方通过代销机构提交的理财产品申购/赎回的撤单申请，按产品说明书约定经乙方或代销机构确认后方可生效。</w:t>
      </w:r>
    </w:p>
    <w:p w14:paraId="7D9C172D" w14:textId="77777777" w:rsidR="00584B3C" w:rsidRDefault="00000000">
      <w:pPr>
        <w:pStyle w:val="067cd21a"/>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9</w:t>
      </w:r>
      <w:r>
        <w:rPr>
          <w:rFonts w:ascii="微软简仿宋" w:eastAsia="微软简仿宋" w:hAnsi="微软简仿宋" w:cs="微软简仿宋" w:hint="eastAsia"/>
          <w:color w:val="000000"/>
          <w:szCs w:val="21"/>
        </w:rPr>
        <w:t>．</w:t>
      </w:r>
      <w:r>
        <w:rPr>
          <w:rFonts w:ascii="微软简仿宋" w:eastAsia="微软简仿宋" w:hAnsi="宋体" w:hint="eastAsia"/>
          <w:szCs w:val="21"/>
        </w:rPr>
        <w:t>封闭期的</w:t>
      </w:r>
      <w:r>
        <w:rPr>
          <w:rFonts w:ascii="微软简仿宋" w:eastAsia="微软简仿宋" w:hAnsi="宋体"/>
          <w:szCs w:val="21"/>
        </w:rPr>
        <w:t>最后一个工作日</w:t>
      </w:r>
      <w:r>
        <w:rPr>
          <w:rFonts w:ascii="微软简仿宋" w:eastAsia="微软简仿宋" w:hint="eastAsia"/>
          <w:color w:val="000000"/>
          <w:szCs w:val="21"/>
        </w:rPr>
        <w:t>约定时点（具体时点以产品说明书及代销机构约定为准）</w:t>
      </w:r>
      <w:r>
        <w:rPr>
          <w:rFonts w:ascii="微软简仿宋" w:eastAsia="微软简仿宋" w:hAnsi="宋体" w:hint="eastAsia"/>
          <w:szCs w:val="21"/>
        </w:rPr>
        <w:t>前，投资者仅可对已提交的预约申购、预约赎回申请进行全额撤销。</w:t>
      </w:r>
    </w:p>
    <w:p w14:paraId="6832132E"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416B309" w14:textId="77777777" w:rsidR="00584B3C" w:rsidRDefault="00000000">
      <w:pPr>
        <w:pStyle w:val="067cd21a"/>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Ansi="微软简仿宋" w:cs="微软简仿宋" w:hint="eastAsia"/>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55DF4C9D"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12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本协议中涉及的日期如遇产品</w:t>
      </w:r>
      <w:r>
        <w:rPr>
          <w:rFonts w:ascii="微软简仿宋" w:eastAsia="微软简仿宋"/>
          <w:color w:val="000000"/>
          <w:szCs w:val="21"/>
        </w:rPr>
        <w:t>说明书约定的</w:t>
      </w:r>
      <w:r>
        <w:rPr>
          <w:rFonts w:ascii="微软简仿宋" w:eastAsia="微软简仿宋" w:hint="eastAsia"/>
          <w:color w:val="000000"/>
          <w:szCs w:val="21"/>
        </w:rPr>
        <w:t>非</w:t>
      </w:r>
      <w:r>
        <w:rPr>
          <w:rFonts w:ascii="微软简仿宋" w:eastAsia="微软简仿宋"/>
          <w:color w:val="000000"/>
          <w:szCs w:val="21"/>
        </w:rPr>
        <w:t>工作日</w:t>
      </w:r>
      <w:r>
        <w:rPr>
          <w:rFonts w:ascii="微软简仿宋" w:eastAsia="微软简仿宋" w:hint="eastAsia"/>
          <w:color w:val="000000"/>
          <w:szCs w:val="21"/>
        </w:rPr>
        <w:t>，则自动顺延至下一个工作日。</w:t>
      </w:r>
    </w:p>
    <w:p w14:paraId="728B15E6" w14:textId="77777777" w:rsidR="00584B3C" w:rsidRDefault="00000000">
      <w:pPr>
        <w:pStyle w:val="067cd21a"/>
        <w:keepNext/>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三、客户信息保密及使用</w:t>
      </w:r>
    </w:p>
    <w:p w14:paraId="5CD403DA" w14:textId="77777777" w:rsidR="00584B3C" w:rsidRDefault="00000000">
      <w:pPr>
        <w:pStyle w:val="067cd21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乙方、代销机构应就理财产品销售过程中获知的甲方信息承担保密义务。非经甲方事先许可，不得向第三方披露，但法律法规或监管规定另有要求的除外。</w:t>
      </w:r>
      <w:r>
        <w:rPr>
          <w:rFonts w:ascii="微软简仿宋" w:eastAsia="微软简仿宋" w:hint="eastAsia"/>
          <w:b/>
          <w:bCs/>
          <w:color w:val="000000"/>
          <w:szCs w:val="21"/>
        </w:rPr>
        <w:t>甲方在此同意，乙方及代销机构可根据监管要求，为理财产品登记等需要，向登记部门或监管机构提供甲方相关信息。</w:t>
      </w:r>
    </w:p>
    <w:p w14:paraId="4CA4A03B" w14:textId="77777777" w:rsidR="00584B3C" w:rsidRDefault="00000000">
      <w:pPr>
        <w:pStyle w:val="067cd21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62A3CFB3" w14:textId="77777777" w:rsidR="00584B3C" w:rsidRDefault="00000000">
      <w:pPr>
        <w:pStyle w:val="067cd21a"/>
        <w:adjustRightInd w:val="0"/>
        <w:snapToGrid w:val="0"/>
        <w:spacing w:line="360" w:lineRule="auto"/>
        <w:ind w:firstLineChars="200" w:firstLine="400"/>
        <w:rPr>
          <w:rFonts w:ascii="微软简仿宋" w:eastAsia="微软简仿宋"/>
          <w:color w:val="000000"/>
          <w:szCs w:val="21"/>
        </w:rPr>
      </w:pPr>
      <w:r>
        <w:rPr>
          <w:rFonts w:ascii="微软简仿宋" w:eastAsia="微软简仿宋"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如下甲方个人信息，包括</w:t>
      </w:r>
      <w:r>
        <w:rPr>
          <w:rFonts w:ascii="微软简仿宋" w:eastAsia="微软简仿宋" w:hint="eastAsia"/>
          <w:color w:val="000000"/>
          <w:szCs w:val="21"/>
        </w:rPr>
        <w:t>：</w:t>
      </w:r>
    </w:p>
    <w:p w14:paraId="4163DED1" w14:textId="77777777" w:rsidR="00584B3C" w:rsidRDefault="00000000">
      <w:pPr>
        <w:pStyle w:val="067cd21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2F67DB22" w14:textId="77777777" w:rsidR="00584B3C" w:rsidRDefault="00000000">
      <w:pPr>
        <w:pStyle w:val="067cd21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3E4E6DB6" w14:textId="77777777" w:rsidR="00584B3C" w:rsidRDefault="00000000">
      <w:pPr>
        <w:pStyle w:val="067cd21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61D3A818" w14:textId="77777777" w:rsidR="00584B3C" w:rsidRDefault="00000000">
      <w:pPr>
        <w:pStyle w:val="067cd21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0FE49DC7" w14:textId="77777777" w:rsidR="00584B3C" w:rsidRDefault="00000000">
      <w:pPr>
        <w:pStyle w:val="067cd21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508594D6" w14:textId="77777777" w:rsidR="00584B3C" w:rsidRDefault="00000000">
      <w:pPr>
        <w:pStyle w:val="067cd21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2FABC2C4" w14:textId="77777777" w:rsidR="00584B3C" w:rsidRDefault="00000000">
      <w:pPr>
        <w:pStyle w:val="067cd21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6B5B97B1" w14:textId="77777777" w:rsidR="00584B3C" w:rsidRDefault="00000000">
      <w:pPr>
        <w:pStyle w:val="067cd21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w:t>
      </w:r>
      <w:r>
        <w:rPr>
          <w:rFonts w:ascii="微软简仿宋" w:eastAsia="微软简仿宋" w:hint="eastAsia"/>
          <w:b/>
          <w:bCs/>
          <w:color w:val="000000"/>
          <w:szCs w:val="21"/>
        </w:rPr>
        <w:lastRenderedPageBreak/>
        <w:t>严格的保护措施保护甲方的敏感个人信息。</w:t>
      </w:r>
    </w:p>
    <w:p w14:paraId="33D74DDF" w14:textId="77777777" w:rsidR="00584B3C" w:rsidRDefault="00000000">
      <w:pPr>
        <w:pStyle w:val="067cd21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65D3457E" w14:textId="77777777" w:rsidR="00584B3C" w:rsidRDefault="00000000">
      <w:pPr>
        <w:pStyle w:val="067cd21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751DD8AC" w14:textId="77777777" w:rsidR="00584B3C" w:rsidRDefault="00000000">
      <w:pPr>
        <w:pStyle w:val="067cd21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150E3FE3"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5EB5B59D"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7C05332E"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6E89622C"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27881292"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2A3D23C3"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0691B693"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1F15EADD"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26DFE260" w14:textId="77777777" w:rsidR="00584B3C" w:rsidRDefault="00000000">
      <w:pPr>
        <w:pStyle w:val="067cd21a"/>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75FC384A" w14:textId="77777777" w:rsidR="00584B3C" w:rsidRDefault="00000000">
      <w:pPr>
        <w:pStyle w:val="067cd21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80870A8" w14:textId="77777777" w:rsidR="00584B3C" w:rsidRDefault="00000000">
      <w:pPr>
        <w:pStyle w:val="067cd21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26D6CDF3" w14:textId="77777777" w:rsidR="00584B3C" w:rsidRDefault="00000000">
      <w:pPr>
        <w:pStyle w:val="067cd21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19A7B2DB" w14:textId="77777777" w:rsidR="00584B3C" w:rsidRDefault="00000000">
      <w:pPr>
        <w:pStyle w:val="067cd21a"/>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lastRenderedPageBreak/>
        <w:t>3．</w:t>
      </w:r>
      <w:r>
        <w:rPr>
          <w:rFonts w:ascii="微软简仿宋" w:eastAsia="微软简仿宋"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Ansi="Calibri" w:hint="eastAsia"/>
          <w:b/>
          <w:bCs/>
          <w:color w:val="000000"/>
          <w:szCs w:val="21"/>
        </w:rPr>
        <w:t>规定的除外。</w:t>
      </w:r>
    </w:p>
    <w:p w14:paraId="51852B4A" w14:textId="77777777" w:rsidR="00584B3C" w:rsidRDefault="00000000">
      <w:pPr>
        <w:pStyle w:val="067cd21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7CDA8467" w14:textId="77777777" w:rsidR="00584B3C" w:rsidRDefault="00000000">
      <w:pPr>
        <w:pStyle w:val="067cd21a"/>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66167168" w14:textId="77777777" w:rsidR="00584B3C" w:rsidRDefault="00000000">
      <w:pPr>
        <w:pStyle w:val="067cd21a"/>
        <w:numPr>
          <w:ilvl w:val="0"/>
          <w:numId w:val="2"/>
        </w:num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060984B7" w14:textId="77777777" w:rsidR="00584B3C" w:rsidRDefault="00000000">
      <w:pPr>
        <w:pStyle w:val="067cd21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四、产品收费</w:t>
      </w:r>
    </w:p>
    <w:p w14:paraId="36352378"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乙方依据理财产品说明书约定的费用项目、收费条件、费率标准、收费方式等要素收取相关费用。</w:t>
      </w:r>
    </w:p>
    <w:p w14:paraId="2F9E74E8"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调整已约定的收费项目、收费条件、费率标准和收费方式，并将在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6CF7B89A" w14:textId="77777777" w:rsidR="00584B3C" w:rsidRDefault="00000000">
      <w:pPr>
        <w:pStyle w:val="067cd21a"/>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五、免责条款</w:t>
      </w:r>
    </w:p>
    <w:p w14:paraId="7671E15B" w14:textId="77777777" w:rsidR="00584B3C" w:rsidRDefault="00000000">
      <w:pPr>
        <w:pStyle w:val="067cd21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因不可抗力、非乙方原因发生的计算机系统故障、网络故障、通讯故障、电力故障等，导致甲方产生损失的，乙方不承担责任。如发生上述情况，乙方将通过约定的信息披露途径及时公告。</w:t>
      </w:r>
    </w:p>
    <w:p w14:paraId="09DF522E" w14:textId="77777777" w:rsidR="00584B3C" w:rsidRDefault="00000000">
      <w:pPr>
        <w:pStyle w:val="067cd21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由于国家的有关法律、法规、规章、政策的改变、紧急措施的出台而导致甲方承担的风险，乙方不承担责任。</w:t>
      </w:r>
    </w:p>
    <w:p w14:paraId="57605466" w14:textId="77777777" w:rsidR="00584B3C" w:rsidRDefault="00000000">
      <w:pPr>
        <w:pStyle w:val="067cd21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由于甲方的原因，理财资金被司法机关等有权部门冻结、扣划，乙方不承担责任。</w:t>
      </w:r>
    </w:p>
    <w:p w14:paraId="2592B4E8" w14:textId="77777777" w:rsidR="00584B3C" w:rsidRDefault="00000000">
      <w:pPr>
        <w:pStyle w:val="067cd21a"/>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六、协议构成和效力</w:t>
      </w:r>
    </w:p>
    <w:p w14:paraId="0832F8AF" w14:textId="77777777" w:rsidR="00584B3C" w:rsidRDefault="00000000">
      <w:pPr>
        <w:pStyle w:val="067cd21a"/>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除本协议外，甲方购买具体的理财产品时，还应签署产品说明书、投资协议书、风险揭示书和投资者权益须知。本协议与产品说明书、投资协议书、风险揭示书、投资者权益</w:t>
      </w:r>
      <w:r>
        <w:rPr>
          <w:rFonts w:ascii="微软简仿宋" w:eastAsia="微软简仿宋" w:hint="eastAsia"/>
          <w:color w:val="000000"/>
          <w:szCs w:val="21"/>
        </w:rPr>
        <w:lastRenderedPageBreak/>
        <w:t>须知、业务回单、交易凭证等有关法律文件共同构成一份完整且不可分割的理财合同。</w:t>
      </w:r>
    </w:p>
    <w:p w14:paraId="267B013B" w14:textId="77777777" w:rsidR="00584B3C" w:rsidRDefault="00000000">
      <w:pPr>
        <w:pStyle w:val="067cd21a"/>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有关甲方所购买理财产品的任何介绍、说明、承诺仅以本协议、产品说明书、乙方和代销机构通过约定信息披露途径发布的对应产品信息为准。</w:t>
      </w:r>
    </w:p>
    <w:p w14:paraId="57EAFBFD" w14:textId="77777777" w:rsidR="00584B3C" w:rsidRDefault="00000000">
      <w:pPr>
        <w:pStyle w:val="067cd21a"/>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本协议持续有效，不因甲方所购买的单期理财产品被赎回、到期或提前终止而失效。</w:t>
      </w:r>
    </w:p>
    <w:p w14:paraId="6CD204A8" w14:textId="77777777" w:rsidR="00584B3C" w:rsidRDefault="00000000">
      <w:pPr>
        <w:pStyle w:val="067cd21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七、争议的处理</w:t>
      </w:r>
    </w:p>
    <w:p w14:paraId="50098283"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因履行本协议书而引致的一切争议，双方应首先本着诚实信用原则通过协商解决。协商不成的，任何一方均可向</w:t>
      </w:r>
      <w:r>
        <w:rPr>
          <w:rFonts w:ascii="微软简仿宋" w:eastAsia="微软简仿宋" w:hint="eastAsia"/>
          <w:b/>
          <w:bCs/>
          <w:color w:val="000000"/>
          <w:szCs w:val="21"/>
        </w:rPr>
        <w:t>被告所在地有管辖权的人民法院</w:t>
      </w:r>
      <w:r>
        <w:rPr>
          <w:rFonts w:ascii="微软简仿宋" w:eastAsia="微软简仿宋" w:hint="eastAsia"/>
          <w:color w:val="000000"/>
          <w:szCs w:val="21"/>
        </w:rPr>
        <w:t>提起诉讼。</w:t>
      </w:r>
    </w:p>
    <w:p w14:paraId="17E0C192" w14:textId="77777777" w:rsidR="00584B3C" w:rsidRDefault="00000000">
      <w:pPr>
        <w:pStyle w:val="067cd21a"/>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八、协议生效</w:t>
      </w:r>
    </w:p>
    <w:p w14:paraId="246EB9AF" w14:textId="77777777" w:rsidR="00584B3C" w:rsidRDefault="00000000">
      <w:pPr>
        <w:pStyle w:val="067cd21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甲方通过代销机构网点柜面渠道签署本协议的，经甲方签字后生效。代销机构另有规定的，以代销机构规定为准。</w:t>
      </w:r>
    </w:p>
    <w:p w14:paraId="46D63887" w14:textId="77777777" w:rsidR="00584B3C" w:rsidRDefault="00000000">
      <w:pPr>
        <w:pStyle w:val="067cd21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14:paraId="23437799" w14:textId="77777777" w:rsidR="00584B3C" w:rsidRDefault="00000000">
      <w:pPr>
        <w:pStyle w:val="067cd21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6E4FF947" w14:textId="77777777" w:rsidR="00584B3C" w:rsidRDefault="00584B3C">
      <w:pPr>
        <w:pStyle w:val="067cd21a"/>
        <w:adjustRightInd w:val="0"/>
        <w:snapToGrid w:val="0"/>
        <w:spacing w:line="360" w:lineRule="auto"/>
        <w:ind w:firstLineChars="200" w:firstLine="420"/>
        <w:rPr>
          <w:rFonts w:ascii="微软简仿宋" w:eastAsia="微软简仿宋"/>
          <w:color w:val="000000"/>
          <w:szCs w:val="21"/>
        </w:rPr>
      </w:pPr>
    </w:p>
    <w:p w14:paraId="0D1B0AB0" w14:textId="77777777" w:rsidR="00584B3C" w:rsidRDefault="00584B3C">
      <w:pPr>
        <w:pStyle w:val="067cd21a"/>
        <w:adjustRightInd w:val="0"/>
        <w:snapToGrid w:val="0"/>
        <w:spacing w:line="360" w:lineRule="auto"/>
        <w:ind w:firstLineChars="200" w:firstLine="420"/>
        <w:rPr>
          <w:rFonts w:ascii="微软简仿宋" w:eastAsia="微软简仿宋"/>
          <w:color w:val="000000"/>
          <w:szCs w:val="21"/>
        </w:rPr>
      </w:pPr>
    </w:p>
    <w:p w14:paraId="6175B902" w14:textId="77777777" w:rsidR="00584B3C" w:rsidRDefault="00584B3C">
      <w:pPr>
        <w:pStyle w:val="067cd21a"/>
        <w:adjustRightInd w:val="0"/>
        <w:snapToGrid w:val="0"/>
        <w:spacing w:line="360" w:lineRule="auto"/>
        <w:ind w:firstLineChars="200" w:firstLine="420"/>
        <w:rPr>
          <w:rFonts w:ascii="微软简仿宋" w:eastAsia="微软简仿宋"/>
          <w:color w:val="000000"/>
          <w:szCs w:val="21"/>
        </w:rPr>
      </w:pPr>
    </w:p>
    <w:p w14:paraId="7C476EF8" w14:textId="77777777" w:rsidR="00584B3C" w:rsidRDefault="00000000">
      <w:pPr>
        <w:pStyle w:val="067cd21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5B7919DA" w14:textId="77777777" w:rsidR="001341EB" w:rsidRDefault="00000000">
      <w:pPr>
        <w:pStyle w:val="067cd21a"/>
        <w:adjustRightInd w:val="0"/>
        <w:snapToGrid w:val="0"/>
        <w:spacing w:line="360" w:lineRule="auto"/>
        <w:ind w:firstLineChars="200" w:firstLine="420"/>
        <w:jc w:val="right"/>
      </w:pPr>
      <w:r>
        <w:rPr>
          <w:rFonts w:ascii="微软简仿宋" w:eastAsia="微软简仿宋" w:hint="eastAsia"/>
          <w:color w:val="000000"/>
          <w:szCs w:val="21"/>
        </w:rPr>
        <w:t xml:space="preserve">年  月   日  </w:t>
      </w:r>
      <w:r>
        <w:rPr>
          <w:rFonts w:ascii="微软简仿宋" w:eastAsia="微软简仿宋"/>
          <w:color w:val="000000"/>
          <w:szCs w:val="21"/>
        </w:rPr>
        <w:t xml:space="preserve">   </w:t>
      </w:r>
      <w:r>
        <w:rPr>
          <w:rFonts w:ascii="微软简仿宋" w:eastAsia="微软简仿宋" w:hint="eastAsia"/>
          <w:color w:val="000000"/>
          <w:szCs w:val="21"/>
        </w:rPr>
        <w:t xml:space="preserve">       </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rPr>
        <w:rFonts w:hint="eastAsia"/>
      </w:rPr>
    </w:lvl>
  </w:abstractNum>
  <w:abstractNum xmlns:aink="http://schemas.microsoft.com/office/drawing/2016/ink" xmlns:w16se="http://schemas.microsoft.com/office/word/2015/wordml/symex" xmlns:wp14="http://schemas.microsoft.com/office/word/2010/wordprocessingDrawing" xmlns:w16sdtdh="http://schemas.microsoft.com/office/word/2020/wordml/sdtdatahash" xmlns:am3d="http://schemas.microsoft.com/office/drawing/2017/model3d" xmlns:mc="http://schemas.openxmlformats.org/markup-compatibility/2006" xmlns:oel="http://schemas.microsoft.com/office/2019/extlst" xmlns:w10="urn:schemas-microsoft-com:office:word" xmlns:wp="http://schemas.openxmlformats.org/drawingml/2006/wordprocessingDrawing" xmlns:w15="http://schemas.microsoft.com/office/word/2012/wordml" xmlns:w14="http://schemas.microsoft.com/office/word/2010/wordml"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wpc="http://schemas.microsoft.com/office/word/2010/wordprocessingCanvas"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cx="http://schemas.microsoft.com/office/drawing/2014/chartex" xmlns:v="urn:schemas-microsoft-com:vml" xmlns:wps="http://schemas.microsoft.com/office/word/2010/wordprocessingShape" xmlns:w16cid="http://schemas.microsoft.com/office/word/2016/wordml/cid" w:abstractNumId="2" w15:restartNumberingAfterBreak="0">
    <w:multiLevelType w:val="singleLevel"/>
    <w:lvl w:ilvl="0">
      <w:start w:val="4"/>
      <w:numFmt w:val="decimal"/>
      <w:suff w:val="nothing"/>
      <w:lvlText w:val="%1．"/>
      <w:lvlJc w:val="left"/>
    </w:lvl>
  </w:abstractNum>
  <w:num w:numId="1">
    <w:abstractNumId w:val="1"/>
  </w:num>
  <w:num w:numId="2">
    <w:abstractNumId w:val="2"/>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annotation reference14"/>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Revision15"/>
    <w:unhideWhenUsed/>
    <w:qFormat/>
    <w:uiPriority w:val="99"/>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6">
    <w:name w:val="正文 A16"/>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7">
    <w:name w:val="p017"/>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8">
    <w:name w:val="Default18"/>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9">
    <w:name w:val="YJH-nei19"/>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0">
    <w:name w:val="font112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1">
    <w:name w:val="font0121"/>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2">
    <w:name w:val="font5122"/>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3">
    <w:name w:val="font8123"/>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9a4eb23">
    <w:name w:val="Normal49a4eb23"/>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cf405ce1">
    <w:name w:val="Default Paragraph Fontcf405ce1"/>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5de1cd2d">
    <w:name w:val="Normal Table5de1cd2d"/>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0667bb66">
    <w:name w:val="No List0667bb66"/>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a47e203">
    <w:name w:val="批注文字 字符ca47e203"/>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cf405ce1"/>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0cd74373">
    <w:name w:val="Strong0cd74373"/>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41c7ce7">
    <w:name w:val="页脚 字符c41c7ce7"/>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cf405ce1"/>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f5059749">
    <w:name w:val="annotation referencef505974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6d6e1517">
    <w:name w:val="page number6d6e1517"/>
    <w:basedOn w:val="cf405ce1"/>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fc269201">
    <w:name w:val="Hyperlinkfc269201"/>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e28c5c2c">
    <w:name w:val="页眉 字符e28c5c2c"/>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ceac9c6">
    <w:name w:val="Emphasiseceac9c6"/>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96c2d67">
    <w:name w:val="footer596c2d67"/>
    <w:basedOn w:val="49a4eb23"/>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1ddfb6a">
    <w:name w:val="headerc1ddfb6a"/>
    <w:basedOn w:val="49a4eb23"/>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48f59336">
    <w:name w:val="Char Char Char Char Char Char Char Char Char Char Char Char48f59336"/>
    <w:basedOn w:val="49a4eb23"/>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49a4eb23"/>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e27ecc3">
    <w:name w:val="annotation textde27ecc3"/>
    <w:basedOn w:val="49a4eb23"/>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de27ecc3"/>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dbc6762">
    <w:name w:val="Defaultcdbc6762"/>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dd3e00d">
    <w:name w:val="Normal2dd3e00d"/>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8aebb1b">
    <w:name w:val="heading 158aebb1b"/>
    <w:basedOn w:val="2dd3e00d"/>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27d7744">
    <w:name w:val="heading 2727d7744"/>
    <w:basedOn w:val="2dd3e00d"/>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c290431">
    <w:name w:val="heading 34c290431"/>
    <w:basedOn w:val="2dd3e00d"/>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2038b00">
    <w:name w:val="Default Paragraph Fonte2038b00"/>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10d6f27a">
    <w:name w:val="Normal Table10d6f27a"/>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9f146901">
    <w:name w:val="No List9f146901"/>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1e72bd7">
    <w:name w:val="标题 1 字符c1e72bd7"/>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6fc38727">
    <w:name w:val="标题 2 字符6fc38727"/>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3c59bb4">
    <w:name w:val="annotation text83c59bb4"/>
    <w:basedOn w:val="2dd3e00d"/>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7f0c89dc">
    <w:name w:val="批注文字 字符7f0c89dc"/>
    <w:basedOn w:val="e2038b00"/>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4f455ab">
    <w:name w:val="Balloon Text34f455ab"/>
    <w:basedOn w:val="2dd3e00d"/>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154e503d">
    <w:name w:val="批注框文本 字符154e503d"/>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2ccc068">
    <w:name w:val="footerf2ccc068"/>
    <w:basedOn w:val="2dd3e00d"/>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1fa7107c">
    <w:name w:val="页脚 字符1fa7107c"/>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02d3e8d">
    <w:name w:val="header902d3e8d"/>
    <w:basedOn w:val="2dd3e00d"/>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3043cb2">
    <w:name w:val="页眉 字符33043cb2"/>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bdba71a">
    <w:name w:val="Normal (Web)ebdba71a"/>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a9afa66">
    <w:name w:val="annotation subject0a9afa66"/>
    <w:basedOn w:val="83c59bb4"/>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938dd8d0">
    <w:name w:val="批注主题 字符938dd8d0"/>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9e95daa9">
    <w:name w:val="annotation reference9e95daa9"/>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482a52d9">
    <w:name w:val="Char Char Char Char Char Char Char Char Char Char Char Char482a52d9"/>
    <w:basedOn w:val="2dd3e00d"/>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67cd21a">
    <w:name w:val="Normal067cd21a"/>
    <w:qFormat/>
    <w:pPr>
      <w:widowControl w:val="0"/>
      <w:spacing w:line="560" w:lineRule="exact"/>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1198bde2">
    <w:name w:val="Default Paragraph Font1198bde2"/>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d7c80a3">
    <w:name w:val="Normal Tablead7c80a3"/>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d475856b">
    <w:name w:val="No Listd475856b"/>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5feadb">
    <w:name w:val="annotation textab5feadb"/>
    <w:basedOn w:val="067cd21a"/>
    <w:link w:val="a4"/>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fdd3009d">
    <w:name w:val="批注文字 字符fdd3009d"/>
    <w:link w:val="a3"/>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1e1fcd3">
    <w:name w:val="Body Text Indent31e1fcd3"/>
    <w:basedOn w:val="067cd21a"/>
    <w:unhideWhenUsed/>
    <w:pPr>
      <w:ind w:firstLine="630"/>
    </w:pPr>
    <w:rPr>
      <w:kern w:val="0"/>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25699a2">
    <w:name w:val="Balloon Text525699a2"/>
    <w:basedOn w:val="067cd21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72cf70e">
    <w:name w:val="footer272cf70e"/>
    <w:basedOn w:val="067cd21a"/>
    <w:pPr>
      <w:tabs>
        <w:tab w:val="center" w:pos="4153"/>
        <w:tab w:val="right" w:pos="8306"/>
      </w:tabs>
      <w:snapToGrid w:val="0"/>
      <w:spacing w:line="240" w:lineRule="atLeast"/>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cdf31b2">
    <w:name w:val="header0cdf31b2"/>
    <w:basedOn w:val="067cd21a"/>
    <w:unhideWhenUsed/>
    <w:pPr>
      <w:pBdr>
        <w:bottom w:val="single" w:sz="6" w:space="1" w:color="auto"/>
      </w:pBdr>
      <w:tabs>
        <w:tab w:val="center" w:pos="4153"/>
        <w:tab w:val="right" w:pos="8306"/>
      </w:tabs>
      <w:snapToGrid w:val="0"/>
      <w:jc w:val="center"/>
    </w:pPr>
    <w:rPr>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59a7632">
    <w:name w:val="annotation subject259a7632"/>
    <w:basedOn w:val="ab5feadb"/>
    <w:next w:val="a3"/>
    <w:link w:val="aa"/>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15705e82">
    <w:name w:val="批注主题 字符15705e82"/>
    <w:link w:val="a9"/>
    <w:rPr>
      <w:b/>
      <w:bCs/>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7804080e">
    <w:name w:val="Char Char Char Char Char Char Char Char Char Char Char Char7804080e"/>
    <w:basedOn w:val="067cd21a"/>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5c43237">
    <w:name w:val="annotation referencea5c43237"/>
    <w:rPr>
      <w:sz w:val="21"/>
      <w:szCs w:val="21"/>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2024-07-08T05:32:45Z</dcterms:created>
  <dc:creator>Apache POI</dc:creator>
</cp:coreProperties>
</file>