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月添益1801期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月添益1801期</w:t>
      </w:r>
      <w:r>
        <w:rPr>
          <w:rFonts w:ascii="宋体" w:hAnsi="宋体" w:eastAsia="宋体" w:cs="宋体"/>
          <w:sz w:val="24"/>
        </w:rPr>
        <w:t>(产品代码：FRG1801)最新运作周期已运行结束，产品运行正常。理财产品运行情况见下表：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eastAsia="宋体" w:cs="宋体"/>
                <w:sz w:val="20"/>
              </w:rPr>
              <w:t>至2024-08-06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eastAsia="宋体" w:cs="宋体"/>
                <w:sz w:val="20"/>
              </w:rPr>
              <w:t>至2024-07-04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eastAsia="宋体" w:cs="宋体"/>
                <w:sz w:val="20"/>
              </w:rPr>
              <w:t>至2024-06-04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eastAsia="宋体" w:cs="宋体"/>
                <w:sz w:val="20"/>
              </w:rPr>
              <w:t>至2024-05-07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eastAsia="宋体" w:cs="宋体"/>
                <w:sz w:val="20"/>
              </w:rPr>
              <w:t>至2024-04-02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eastAsia="宋体" w:cs="宋体"/>
                <w:sz w:val="20"/>
              </w:rPr>
              <w:t>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eastAsia="宋体" w:cs="宋体"/>
                <w:sz w:val="20"/>
              </w:rPr>
              <w:t>至2024-02-01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eastAsia="宋体" w:cs="宋体"/>
                <w:sz w:val="20"/>
              </w:rPr>
              <w:t>至2024-01-03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eastAsia="宋体" w:cs="宋体"/>
                <w:sz w:val="20"/>
              </w:rPr>
              <w:t>至2023-12-04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eastAsia="宋体" w:cs="宋体"/>
                <w:sz w:val="20"/>
              </w:rPr>
              <w:t>至2023-11-06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eastAsia="宋体" w:cs="宋体"/>
                <w:sz w:val="20"/>
              </w:rPr>
              <w:t>至2023-10-07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eastAsia="宋体" w:cs="宋体"/>
                <w:sz w:val="20"/>
              </w:rPr>
              <w:t>至2023-09-04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eastAsia="宋体" w:cs="宋体"/>
                <w:sz w:val="20"/>
              </w:rPr>
              <w:t>至2023-08-03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eastAsia="宋体" w:cs="宋体"/>
                <w:sz w:val="20"/>
              </w:rPr>
              <w:t>至2023-07-04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eastAsia="宋体" w:cs="宋体"/>
                <w:sz w:val="20"/>
              </w:rPr>
              <w:t>至2023-03-06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eastAsia="宋体" w:cs="宋体"/>
                <w:sz w:val="20"/>
              </w:rPr>
              <w:t>至2022-12-05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eastAsia="宋体" w:cs="宋体"/>
                <w:sz w:val="20"/>
              </w:rPr>
              <w:t>至2022-11-07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eastAsia="宋体" w:cs="宋体"/>
                <w:sz w:val="20"/>
              </w:rPr>
              <w:t>至2022-10-10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eastAsia="宋体" w:cs="宋体"/>
                <w:sz w:val="20"/>
              </w:rPr>
              <w:t>至2022-09-06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eastAsia="宋体" w:cs="宋体"/>
                <w:sz w:val="20"/>
              </w:rPr>
              <w:t>至2022-08-04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eastAsia="宋体" w:cs="宋体"/>
                <w:sz w:val="20"/>
              </w:rPr>
              <w:t>至2022-07-04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eastAsia="宋体" w:cs="宋体"/>
                <w:sz w:val="20"/>
              </w:rPr>
              <w:t>至2022-03-07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eastAsia="宋体" w:cs="宋体"/>
                <w:sz w:val="20"/>
              </w:rPr>
              <w:t>至2022-02-07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eastAsia="宋体" w:cs="宋体"/>
                <w:sz w:val="20"/>
              </w:rPr>
              <w:t>至2022-01-04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eastAsia="宋体" w:cs="宋体"/>
                <w:sz w:val="20"/>
              </w:rPr>
              <w:t>至2021-12-06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eastAsia="宋体" w:cs="宋体"/>
                <w:sz w:val="20"/>
              </w:rPr>
              <w:t>至2021-11-08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eastAsia="宋体" w:cs="宋体"/>
                <w:sz w:val="20"/>
              </w:rPr>
              <w:t>至2021-10-08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eastAsia="宋体" w:cs="宋体"/>
                <w:sz w:val="20"/>
              </w:rPr>
              <w:t>至2021-09-06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eastAsia="宋体" w:cs="宋体"/>
                <w:sz w:val="20"/>
              </w:rPr>
              <w:t>至2021-08-05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eastAsia="宋体" w:cs="宋体"/>
                <w:sz w:val="20"/>
              </w:rPr>
              <w:t>至2021-07-05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eastAsia="宋体" w:cs="宋体"/>
                <w:sz w:val="20"/>
              </w:rPr>
              <w:t>至2021-06-07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eastAsia="宋体" w:cs="宋体"/>
                <w:sz w:val="20"/>
              </w:rPr>
              <w:t>至2021-05-06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eastAsia="宋体" w:cs="宋体"/>
                <w:sz w:val="20"/>
              </w:rPr>
              <w:t>至2021-04-06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eastAsia="宋体" w:cs="宋体"/>
                <w:sz w:val="20"/>
              </w:rPr>
              <w:t>至2021-03-08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eastAsia="宋体" w:cs="宋体"/>
                <w:sz w:val="20"/>
              </w:rPr>
              <w:t>至2021-02-07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eastAsia="宋体" w:cs="宋体"/>
                <w:sz w:val="20"/>
              </w:rPr>
              <w:t>至2021-01-05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eastAsia="宋体" w:cs="宋体"/>
                <w:sz w:val="20"/>
              </w:rPr>
              <w:t>至2020-12-07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eastAsia="宋体" w:cs="宋体"/>
                <w:sz w:val="20"/>
              </w:rPr>
              <w:t>至2020-11-05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eastAsia="宋体" w:cs="宋体"/>
                <w:sz w:val="20"/>
              </w:rPr>
              <w:t>至2020-10-09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eastAsia="宋体" w:cs="宋体"/>
                <w:sz w:val="20"/>
              </w:rPr>
              <w:t>至2020-09-07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eastAsia="宋体" w:cs="宋体"/>
                <w:sz w:val="20"/>
              </w:rPr>
              <w:t>至2020-08-05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eastAsia="宋体" w:cs="宋体"/>
                <w:sz w:val="20"/>
              </w:rPr>
              <w:t>至2020-07-06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eastAsia="宋体" w:cs="宋体"/>
                <w:sz w:val="20"/>
              </w:rPr>
              <w:t>至2020-06-08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eastAsia="宋体" w:cs="宋体"/>
                <w:sz w:val="20"/>
              </w:rPr>
              <w:t>至2020-05-06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eastAsia="宋体" w:cs="宋体"/>
                <w:sz w:val="20"/>
              </w:rPr>
              <w:t>至2020-04-07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eastAsia="宋体" w:cs="宋体"/>
                <w:sz w:val="20"/>
              </w:rPr>
              <w:t>至2020-03-05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eastAsia="宋体" w:cs="宋体"/>
                <w:sz w:val="20"/>
              </w:rPr>
              <w:t>至2020-02-05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eastAsia="宋体" w:cs="宋体"/>
                <w:sz w:val="20"/>
              </w:rPr>
              <w:t>至2020-01-06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eastAsia="宋体" w:cs="宋体"/>
                <w:sz w:val="20"/>
              </w:rPr>
              <w:t>至2019-12-05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eastAsia="宋体" w:cs="宋体"/>
                <w:sz w:val="20"/>
              </w:rPr>
              <w:t>至2019-11-05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eastAsia="宋体" w:cs="宋体"/>
                <w:sz w:val="20"/>
              </w:rPr>
              <w:t>至2019-10-08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eastAsia="宋体" w:cs="宋体"/>
                <w:sz w:val="20"/>
              </w:rPr>
              <w:t>至2019-09-05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eastAsia="宋体" w:cs="宋体"/>
                <w:sz w:val="20"/>
              </w:rPr>
              <w:t>至2019-08-05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eastAsia="宋体" w:cs="宋体"/>
                <w:sz w:val="20"/>
              </w:rPr>
              <w:t>至2019-07-08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eastAsia="宋体" w:cs="宋体"/>
                <w:sz w:val="20"/>
              </w:rPr>
              <w:t>至2019-06-05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eastAsia="宋体" w:cs="宋体"/>
                <w:sz w:val="20"/>
              </w:rPr>
              <w:t>至2019-05-05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eastAsia="宋体" w:cs="宋体"/>
                <w:sz w:val="20"/>
              </w:rPr>
              <w:t>至2019-04-08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eastAsia="宋体" w:cs="宋体"/>
                <w:sz w:val="20"/>
              </w:rPr>
              <w:t>至2019-03-05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eastAsia="宋体" w:cs="宋体"/>
                <w:sz w:val="20"/>
              </w:rPr>
              <w:t>至2019-02-11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eastAsia="宋体" w:cs="宋体"/>
                <w:sz w:val="20"/>
              </w:rPr>
              <w:t>至2019-01-07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eastAsia="宋体" w:cs="宋体"/>
                <w:sz w:val="20"/>
              </w:rPr>
              <w:t>至2018-12-05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eastAsia="宋体" w:cs="宋体"/>
                <w:sz w:val="20"/>
              </w:rPr>
              <w:t>至2018-11-05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月添益1801期B款</w:t>
      </w:r>
      <w:r>
        <w:rPr>
          <w:rFonts w:ascii="宋体" w:hAnsi="宋体" w:eastAsia="宋体" w:cs="宋体"/>
          <w:sz w:val="24"/>
        </w:rPr>
        <w:t>(产品代码：FRG1801B)最新运作周期已运行结束，产品运行正常。理财产品运行情况见下表：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eastAsia="宋体" w:cs="宋体"/>
                <w:sz w:val="20"/>
              </w:rPr>
              <w:t>至2024-08-06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eastAsia="宋体" w:cs="宋体"/>
                <w:sz w:val="20"/>
              </w:rPr>
              <w:t>至2024-07-04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eastAsia="宋体" w:cs="宋体"/>
                <w:sz w:val="20"/>
              </w:rPr>
              <w:t>至2024-06-04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eastAsia="宋体" w:cs="宋体"/>
                <w:sz w:val="20"/>
              </w:rPr>
              <w:t>至2024-05-07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eastAsia="宋体" w:cs="宋体"/>
                <w:sz w:val="20"/>
              </w:rPr>
              <w:t>至2024-04-02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eastAsia="宋体" w:cs="宋体"/>
                <w:sz w:val="20"/>
              </w:rPr>
              <w:t>至2024-03-05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eastAsia="宋体" w:cs="宋体"/>
                <w:sz w:val="20"/>
              </w:rPr>
              <w:t>至2024-02-01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1.2112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eastAsia="宋体" w:cs="宋体"/>
                <w:sz w:val="20"/>
              </w:rPr>
              <w:t>至2024-01-03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bookmarkStart w:id="0" w:name="_GoBack"/>
      <w:bookmarkEnd w:id="0"/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2024年07月05日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F3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2024-07-05T06:13:26Z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