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napToGrid w:val="0"/>
        <w:spacing w:line="400" w:lineRule="exact"/>
        <w:ind w:firstLine="0"/>
        <w:jc w:val="center"/>
        <w:rPr>
          <w:rFonts w:hint="eastAsia" w:eastAsia="黑体"/>
          <w:bCs/>
          <w:sz w:val="36"/>
          <w:szCs w:val="36"/>
        </w:rPr>
      </w:pPr>
      <w:bookmarkStart w:id="4" w:name="_GoBack"/>
      <w:bookmarkEnd w:id="4"/>
      <w:r>
        <w:rPr>
          <w:rFonts w:hint="eastAsia" w:eastAsia="黑体"/>
          <w:bCs/>
          <w:kern w:val="2"/>
          <w:sz w:val="36"/>
          <w:szCs w:val="36"/>
        </w:rPr>
        <w:t>华夏理财</w:t>
      </w:r>
      <w:r>
        <w:rPr>
          <w:rFonts w:hint="eastAsia" w:eastAsia="黑体"/>
          <w:bCs/>
          <w:sz w:val="36"/>
          <w:szCs w:val="36"/>
        </w:rPr>
        <w:t>龙盈固定收益类专属11号三个月定开</w:t>
      </w:r>
    </w:p>
    <w:p>
      <w:pPr>
        <w:pStyle w:val="6"/>
        <w:snapToGrid w:val="0"/>
        <w:spacing w:line="400" w:lineRule="exact"/>
        <w:ind w:firstLine="0"/>
        <w:jc w:val="center"/>
        <w:rPr>
          <w:rFonts w:eastAsia="黑体"/>
          <w:bCs/>
          <w:kern w:val="2"/>
          <w:sz w:val="36"/>
          <w:szCs w:val="36"/>
        </w:rPr>
      </w:pPr>
      <w:r>
        <w:rPr>
          <w:rFonts w:hint="eastAsia" w:eastAsia="黑体"/>
          <w:bCs/>
          <w:sz w:val="36"/>
          <w:szCs w:val="36"/>
        </w:rPr>
        <w:t>理财产品说明书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w:t>
            </w:r>
            <w:r>
              <w:rPr>
                <w:rFonts w:ascii="黑体" w:hAnsi="黑体" w:eastAsia="黑体"/>
                <w:b/>
                <w:sz w:val="28"/>
                <w:szCs w:val="28"/>
                <w:u w:val="single"/>
              </w:rPr>
              <w:t>网站</w:t>
            </w:r>
            <w:r>
              <w:rPr>
                <w:rFonts w:hint="eastAsia" w:ascii="黑体" w:hAnsi="黑体" w:eastAsia="黑体"/>
                <w:b/>
                <w:sz w:val="28"/>
                <w:szCs w:val="28"/>
                <w:u w:val="single"/>
              </w:rPr>
              <w:t>（www.hxwm.com.cn）、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投资者如需进行业务咨询或投诉，请拨打华夏理财客户服务热线4001795577、华夏银行客户服务热线95577或其他代理销售机构客户服务热线。</w:t>
            </w:r>
          </w:p>
        </w:tc>
      </w:tr>
    </w:tbl>
    <w:p>
      <w:pPr>
        <w:pStyle w:val="6"/>
        <w:adjustRightInd w:val="0"/>
        <w:snapToGrid w:val="0"/>
        <w:spacing w:line="400" w:lineRule="exact"/>
        <w:ind w:firstLine="0"/>
        <w:jc w:val="center"/>
        <w:rPr>
          <w:rFonts w:eastAsia="黑体"/>
          <w:bCs/>
          <w:kern w:val="2"/>
          <w:sz w:val="36"/>
          <w:szCs w:val="36"/>
        </w:rPr>
      </w:pPr>
    </w:p>
    <w:p>
      <w:pPr>
        <w:pStyle w:val="6"/>
        <w:adjustRightInd w:val="0"/>
        <w:snapToGrid w:val="0"/>
        <w:spacing w:line="400" w:lineRule="exact"/>
        <w:ind w:firstLine="0"/>
        <w:jc w:val="center"/>
        <w:rPr>
          <w:rFonts w:eastAsia="黑体"/>
          <w:bCs/>
          <w:kern w:val="2"/>
          <w:sz w:val="36"/>
          <w:szCs w:val="36"/>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华夏理财龙盈固定收益类专属11号三个月定开理财产品</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简称：“龙盈固收专属11号（三个月定开）”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208212401101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Z7003921000429</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PR2级（中低风险） </w:t>
            </w:r>
            <w:r>
              <w:rPr>
                <w:rFonts w:ascii="仿宋" w:hAnsi="仿宋" w:eastAsia="仿宋"/>
                <w:bCs/>
                <w:szCs w:val="21"/>
              </w:rPr>
              <w:t>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u w:val="single"/>
              </w:rPr>
              <w:t xml:space="preserve"> </w:t>
            </w:r>
            <w:r>
              <w:rPr>
                <w:rFonts w:hint="eastAsia" w:ascii="仿宋" w:hAnsi="仿宋" w:eastAsia="仿宋"/>
                <w:bCs/>
                <w:color w:val="000000"/>
                <w:szCs w:val="21"/>
                <w:u w:val="single"/>
              </w:rPr>
              <w:t xml:space="preserve">CR2（稳健型）、CR3（平衡型）、CR4（进取型）、CR5（激进型）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2.30%-2.50</w:t>
            </w:r>
            <w:r>
              <w:rPr>
                <w:rFonts w:ascii="仿宋" w:hAnsi="仿宋" w:eastAsia="仿宋" w:cs="Cambria"/>
                <w:bCs/>
                <w:szCs w:val="21"/>
              </w:rPr>
              <w:t>%</w:t>
            </w:r>
            <w:r>
              <w:rPr>
                <w:rFonts w:hint="eastAsia" w:ascii="仿宋" w:hAnsi="仿宋" w:eastAsia="仿宋" w:cs="Cambria"/>
                <w:bCs/>
                <w:szCs w:val="21"/>
              </w:rPr>
              <w:t>（年化）。以产品投资债券类资产仓位95%-11</w:t>
            </w:r>
            <w:r>
              <w:rPr>
                <w:rFonts w:hint="eastAsia" w:ascii="仿宋" w:hAnsi="仿宋" w:eastAsia="仿宋" w:cs="Cambria"/>
                <w:bCs/>
                <w:szCs w:val="21"/>
                <w:lang w:val="en-US" w:eastAsia="zh-CN"/>
              </w:rPr>
              <w:t>5</w:t>
            </w:r>
            <w:r>
              <w:rPr>
                <w:rFonts w:hint="eastAsia" w:ascii="仿宋" w:hAnsi="仿宋" w:eastAsia="仿宋" w:cs="Cambria"/>
                <w:bCs/>
                <w:szCs w:val="21"/>
              </w:rPr>
              <w:t>%，权益类资产仓位0-5%，组合杠杆率100%-1</w:t>
            </w:r>
            <w:r>
              <w:rPr>
                <w:rFonts w:hint="eastAsia" w:ascii="仿宋" w:hAnsi="仿宋" w:eastAsia="仿宋" w:cs="Cambria"/>
                <w:bCs/>
                <w:szCs w:val="21"/>
                <w:lang w:val="en-US" w:eastAsia="zh-CN"/>
              </w:rPr>
              <w:t>20</w:t>
            </w:r>
            <w:r>
              <w:rPr>
                <w:rFonts w:hint="eastAsia" w:ascii="仿宋" w:hAnsi="仿宋" w:eastAsia="仿宋" w:cs="Cambria"/>
                <w:bCs/>
                <w:szCs w:val="21"/>
              </w:rPr>
              <w:t>%为例，参考中债-信用债总财富指数、Wind混合型基金总指数，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2020</w:t>
            </w:r>
            <w:r>
              <w:rPr>
                <w:rFonts w:ascii="仿宋" w:hAnsi="仿宋" w:eastAsia="仿宋"/>
                <w:bCs/>
                <w:szCs w:val="21"/>
              </w:rPr>
              <w:t>年</w:t>
            </w:r>
            <w:r>
              <w:rPr>
                <w:rFonts w:hint="eastAsia" w:ascii="仿宋" w:hAnsi="仿宋" w:eastAsia="仿宋"/>
                <w:bCs/>
                <w:szCs w:val="21"/>
              </w:rPr>
              <w:t>10月12</w:t>
            </w:r>
            <w:r>
              <w:rPr>
                <w:rFonts w:ascii="仿宋" w:hAnsi="仿宋" w:eastAsia="仿宋"/>
                <w:bCs/>
                <w:szCs w:val="21"/>
              </w:rPr>
              <w:t>日－</w:t>
            </w:r>
            <w:r>
              <w:rPr>
                <w:rFonts w:hint="eastAsia" w:ascii="仿宋" w:hAnsi="仿宋" w:eastAsia="仿宋"/>
                <w:bCs/>
                <w:szCs w:val="21"/>
              </w:rPr>
              <w:t>2020</w:t>
            </w:r>
            <w:r>
              <w:rPr>
                <w:rFonts w:ascii="仿宋" w:hAnsi="仿宋" w:eastAsia="仿宋"/>
                <w:bCs/>
                <w:szCs w:val="21"/>
              </w:rPr>
              <w:t>年</w:t>
            </w:r>
            <w:r>
              <w:rPr>
                <w:rFonts w:hint="eastAsia" w:ascii="仿宋" w:hAnsi="仿宋" w:eastAsia="仿宋"/>
                <w:bCs/>
                <w:szCs w:val="21"/>
              </w:rPr>
              <w:t>10</w:t>
            </w:r>
            <w:r>
              <w:rPr>
                <w:rFonts w:ascii="仿宋" w:hAnsi="仿宋" w:eastAsia="仿宋"/>
                <w:bCs/>
                <w:szCs w:val="21"/>
              </w:rPr>
              <w:t>月</w:t>
            </w:r>
            <w:r>
              <w:rPr>
                <w:rFonts w:hint="eastAsia" w:ascii="仿宋" w:hAnsi="仿宋" w:eastAsia="仿宋"/>
                <w:bCs/>
                <w:szCs w:val="21"/>
              </w:rPr>
              <w:t>14日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2020</w:t>
            </w:r>
            <w:r>
              <w:rPr>
                <w:rFonts w:ascii="仿宋" w:hAnsi="仿宋" w:eastAsia="仿宋"/>
                <w:bCs/>
                <w:szCs w:val="21"/>
              </w:rPr>
              <w:t>年</w:t>
            </w:r>
            <w:r>
              <w:rPr>
                <w:rFonts w:hint="eastAsia" w:ascii="仿宋" w:hAnsi="仿宋" w:eastAsia="仿宋"/>
                <w:bCs/>
                <w:szCs w:val="21"/>
              </w:rPr>
              <w:t>10</w:t>
            </w:r>
            <w:r>
              <w:rPr>
                <w:rFonts w:ascii="仿宋" w:hAnsi="仿宋" w:eastAsia="仿宋"/>
                <w:bCs/>
                <w:szCs w:val="21"/>
              </w:rPr>
              <w:t>月</w:t>
            </w:r>
            <w:r>
              <w:rPr>
                <w:rFonts w:hint="eastAsia" w:ascii="仿宋" w:hAnsi="仿宋" w:eastAsia="仿宋"/>
                <w:bCs/>
                <w:szCs w:val="21"/>
              </w:rPr>
              <w:t>15</w:t>
            </w:r>
            <w:r>
              <w:rPr>
                <w:rFonts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产品成立日至产品首个</w:t>
            </w:r>
            <w:r>
              <w:rPr>
                <w:rFonts w:ascii="仿宋" w:hAnsi="仿宋" w:eastAsia="仿宋"/>
                <w:bCs/>
                <w:szCs w:val="21"/>
              </w:rPr>
              <w:t>开放</w:t>
            </w:r>
            <w:r>
              <w:rPr>
                <w:rFonts w:hint="eastAsia" w:ascii="仿宋" w:hAnsi="仿宋" w:eastAsia="仿宋"/>
                <w:bCs/>
                <w:szCs w:val="21"/>
              </w:rPr>
              <w:t>期</w:t>
            </w:r>
            <w:r>
              <w:rPr>
                <w:rFonts w:ascii="仿宋" w:hAnsi="仿宋" w:eastAsia="仿宋"/>
                <w:bCs/>
                <w:szCs w:val="21"/>
              </w:rPr>
              <w:t>的</w:t>
            </w:r>
            <w:r>
              <w:rPr>
                <w:rFonts w:hint="eastAsia" w:ascii="仿宋" w:hAnsi="仿宋" w:eastAsia="仿宋"/>
                <w:bCs/>
                <w:szCs w:val="21"/>
              </w:rPr>
              <w:t>前一</w:t>
            </w:r>
            <w:r>
              <w:rPr>
                <w:rFonts w:ascii="仿宋" w:hAnsi="仿宋" w:eastAsia="仿宋"/>
                <w:bCs/>
                <w:szCs w:val="21"/>
              </w:rPr>
              <w:t>日</w:t>
            </w:r>
            <w:r>
              <w:rPr>
                <w:rFonts w:hint="eastAsia" w:ascii="仿宋" w:hAnsi="仿宋" w:eastAsia="仿宋"/>
                <w:bCs/>
                <w:szCs w:val="21"/>
              </w:rPr>
              <w:t>、产品</w:t>
            </w:r>
            <w:r>
              <w:rPr>
                <w:rFonts w:ascii="仿宋" w:hAnsi="仿宋" w:eastAsia="仿宋"/>
                <w:bCs/>
                <w:szCs w:val="21"/>
              </w:rPr>
              <w:t>上</w:t>
            </w:r>
            <w:r>
              <w:rPr>
                <w:rFonts w:hint="eastAsia" w:ascii="仿宋" w:hAnsi="仿宋" w:eastAsia="仿宋"/>
                <w:bCs/>
                <w:szCs w:val="21"/>
              </w:rPr>
              <w:t>一</w:t>
            </w:r>
            <w:r>
              <w:rPr>
                <w:rFonts w:ascii="仿宋" w:hAnsi="仿宋" w:eastAsia="仿宋"/>
                <w:bCs/>
                <w:szCs w:val="21"/>
              </w:rPr>
              <w:t>开放</w:t>
            </w:r>
            <w:r>
              <w:rPr>
                <w:rFonts w:hint="eastAsia" w:ascii="仿宋" w:hAnsi="仿宋" w:eastAsia="仿宋"/>
                <w:bCs/>
                <w:szCs w:val="21"/>
              </w:rPr>
              <w:t>期的下一日</w:t>
            </w:r>
            <w:r>
              <w:rPr>
                <w:rFonts w:ascii="仿宋" w:hAnsi="仿宋" w:eastAsia="仿宋"/>
                <w:bCs/>
                <w:szCs w:val="21"/>
              </w:rPr>
              <w:t>至</w:t>
            </w:r>
            <w:r>
              <w:rPr>
                <w:rFonts w:hint="eastAsia" w:ascii="仿宋" w:hAnsi="仿宋" w:eastAsia="仿宋"/>
                <w:bCs/>
                <w:szCs w:val="21"/>
              </w:rPr>
              <w:t>产品</w:t>
            </w:r>
            <w:r>
              <w:rPr>
                <w:rFonts w:ascii="仿宋" w:hAnsi="仿宋" w:eastAsia="仿宋"/>
                <w:bCs/>
                <w:szCs w:val="21"/>
              </w:rPr>
              <w:t>下一开放</w:t>
            </w:r>
            <w:r>
              <w:rPr>
                <w:rFonts w:hint="eastAsia" w:ascii="仿宋" w:hAnsi="仿宋" w:eastAsia="仿宋"/>
                <w:bCs/>
                <w:szCs w:val="21"/>
              </w:rPr>
              <w:t>期</w:t>
            </w:r>
            <w:r>
              <w:rPr>
                <w:rFonts w:ascii="仿宋" w:hAnsi="仿宋" w:eastAsia="仿宋"/>
                <w:bCs/>
                <w:szCs w:val="21"/>
              </w:rPr>
              <w:t>的</w:t>
            </w:r>
            <w:r>
              <w:rPr>
                <w:rFonts w:hint="eastAsia" w:ascii="仿宋" w:hAnsi="仿宋" w:eastAsia="仿宋"/>
                <w:bCs/>
                <w:szCs w:val="21"/>
              </w:rPr>
              <w:t>前一</w:t>
            </w:r>
            <w:r>
              <w:rPr>
                <w:rFonts w:ascii="仿宋" w:hAnsi="仿宋" w:eastAsia="仿宋"/>
                <w:bCs/>
                <w:szCs w:val="21"/>
              </w:rPr>
              <w:t>日、产品最后一个</w:t>
            </w:r>
            <w:r>
              <w:rPr>
                <w:rFonts w:hint="eastAsia" w:ascii="仿宋" w:hAnsi="仿宋" w:eastAsia="仿宋"/>
                <w:bCs/>
                <w:szCs w:val="21"/>
              </w:rPr>
              <w:t>开放期的下一</w:t>
            </w:r>
            <w:r>
              <w:rPr>
                <w:rFonts w:ascii="仿宋" w:hAnsi="仿宋" w:eastAsia="仿宋"/>
                <w:bCs/>
                <w:szCs w:val="21"/>
              </w:rPr>
              <w:t>日至产品</w:t>
            </w:r>
            <w:r>
              <w:rPr>
                <w:rFonts w:hint="eastAsia" w:ascii="仿宋" w:hAnsi="仿宋" w:eastAsia="仿宋"/>
                <w:bCs/>
                <w:szCs w:val="21"/>
              </w:rPr>
              <w:t>到期日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240" w:lineRule="atLeast"/>
              <w:ind w:firstLine="422" w:firstLineChars="200"/>
              <w:jc w:val="left"/>
              <w:rPr>
                <w:rFonts w:ascii="仿宋" w:hAnsi="仿宋" w:eastAsia="仿宋"/>
                <w:b/>
                <w:bCs/>
                <w:szCs w:val="21"/>
              </w:rPr>
            </w:pPr>
            <w:r>
              <w:rPr>
                <w:rFonts w:ascii="仿宋" w:hAnsi="仿宋" w:eastAsia="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重点分行发行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w:t>
            </w:r>
            <w:r>
              <w:rPr>
                <w:rFonts w:ascii="仿宋" w:hAnsi="仿宋" w:eastAsia="仿宋"/>
                <w:bCs/>
                <w:szCs w:val="21"/>
              </w:rPr>
              <w:t>下限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1</w:t>
            </w:r>
            <w:r>
              <w:rPr>
                <w:rFonts w:hint="eastAsia" w:ascii="仿宋" w:hAnsi="仿宋" w:eastAsia="仿宋"/>
                <w:bCs/>
                <w:szCs w:val="21"/>
                <w:lang w:val="en-US" w:eastAsia="zh-CN"/>
              </w:rPr>
              <w:t>,</w:t>
            </w:r>
            <w:r>
              <w:rPr>
                <w:rFonts w:hint="eastAsia" w:ascii="仿宋" w:hAnsi="仿宋" w:eastAsia="仿宋"/>
                <w:bCs/>
                <w:szCs w:val="21"/>
              </w:rPr>
              <w:t>000万元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个人投资者：1万元起购，以1万元的整数倍递增。</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机构投资者：100万元起购，以1万元的整数倍递增。</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w:t>
            </w:r>
            <w:r>
              <w:rPr>
                <w:rFonts w:ascii="仿宋" w:hAnsi="仿宋" w:eastAsia="仿宋"/>
                <w:bCs/>
                <w:szCs w:val="21"/>
              </w:rPr>
              <w:t>：</w:t>
            </w:r>
            <w:r>
              <w:rPr>
                <w:rFonts w:hint="eastAsia" w:ascii="仿宋" w:hAnsi="仿宋" w:eastAsia="仿宋"/>
                <w:bCs/>
                <w:szCs w:val="21"/>
              </w:rPr>
              <w:t>本理财产品单一投资者持有产品份额数不得超过产品份额总数的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1万</w:t>
            </w:r>
            <w:r>
              <w:rPr>
                <w:rFonts w:ascii="仿宋" w:hAnsi="仿宋" w:eastAsia="仿宋"/>
                <w:bCs/>
                <w:szCs w:val="21"/>
              </w:rPr>
              <w:t>元，以</w:t>
            </w:r>
            <w:r>
              <w:rPr>
                <w:rFonts w:hint="eastAsia" w:ascii="仿宋" w:hAnsi="仿宋" w:eastAsia="仿宋"/>
                <w:bCs/>
                <w:szCs w:val="21"/>
              </w:rPr>
              <w:t>1万</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4</w:t>
            </w:r>
            <w:r>
              <w:rPr>
                <w:rFonts w:hint="eastAsia" w:ascii="仿宋" w:hAnsi="仿宋" w:eastAsia="仿宋"/>
                <w:bCs/>
                <w:szCs w:val="21"/>
              </w:rPr>
              <w:t>位，小数点后第</w:t>
            </w:r>
            <w:r>
              <w:rPr>
                <w:rFonts w:ascii="仿宋" w:hAnsi="仿宋" w:eastAsia="仿宋"/>
                <w:bCs/>
                <w:szCs w:val="21"/>
              </w:rPr>
              <w:t>5</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开放期、</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开放期/开放日为产品成立后每年01月、04月、07月、10月的12日（含）起连续</w:t>
            </w:r>
            <w:r>
              <w:rPr>
                <w:rFonts w:hint="eastAsia" w:ascii="仿宋" w:hAnsi="仿宋" w:eastAsia="仿宋"/>
                <w:bCs/>
                <w:szCs w:val="21"/>
                <w:lang w:val="en-US" w:eastAsia="zh-CN"/>
              </w:rPr>
              <w:t>五</w:t>
            </w:r>
            <w:r>
              <w:rPr>
                <w:rFonts w:hint="eastAsia" w:ascii="仿宋" w:hAnsi="仿宋" w:eastAsia="仿宋"/>
                <w:bCs/>
                <w:szCs w:val="21"/>
              </w:rPr>
              <w:t>个工作日开放，开放期/开放日如遇非工作日则顺延至下一个工作日。</w:t>
            </w:r>
          </w:p>
          <w:tbl>
            <w:tblPr>
              <w:tblStyle w:val="11"/>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right="-44"/>
                    <w:rPr>
                      <w:rFonts w:ascii="仿宋" w:hAnsi="仿宋" w:eastAsia="仿宋"/>
                      <w:bCs/>
                      <w:szCs w:val="21"/>
                      <w:u w:val="single"/>
                    </w:rPr>
                  </w:pPr>
                  <w:r>
                    <w:rPr>
                      <w:rFonts w:hint="eastAsia" w:ascii="仿宋" w:hAnsi="仿宋" w:eastAsia="仿宋"/>
                      <w:bCs/>
                      <w:szCs w:val="21"/>
                    </w:rPr>
                    <w:t>通过华夏银行/华夏理财购买的，每个开放日的开放时间</w:t>
                  </w:r>
                  <w:r>
                    <w:rPr>
                      <w:rFonts w:hint="eastAsia" w:ascii="仿宋" w:hAnsi="仿宋" w:eastAsia="仿宋"/>
                    </w:rPr>
                    <w:t>9:00-17:00。投资者只能于开放日的开放时间内进行申购。投资者若在T日非开放时间提交申购，等同在下一开放时间内提交的申购申请，T日为开放日。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right="-44"/>
                    <w:rPr>
                      <w:rFonts w:ascii="仿宋" w:hAnsi="仿宋" w:eastAsia="仿宋"/>
                      <w:bCs/>
                      <w:szCs w:val="21"/>
                    </w:rPr>
                  </w:pPr>
                  <w:r>
                    <w:rPr>
                      <w:rFonts w:hint="eastAsia" w:ascii="仿宋" w:hAnsi="仿宋" w:eastAsia="仿宋"/>
                      <w:bCs/>
                      <w:szCs w:val="21"/>
                    </w:rPr>
                    <w:t>通过华夏银行/华夏理财购买的，每个开放日的开放时间</w:t>
                  </w:r>
                  <w:r>
                    <w:rPr>
                      <w:rFonts w:hint="eastAsia" w:ascii="仿宋" w:hAnsi="仿宋" w:eastAsia="仿宋"/>
                    </w:rPr>
                    <w:t>9:00-17:00。投资者只能于开放日的开放时间内进行赎回。投资者若在T日非开放时间提交赎回，等同在下一开放时间内提交的赎回申请，T日为开放日。</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代销机构如另有规定，从其规定。</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开放期内每个开放日的份额净值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预约购买及</w:t>
            </w:r>
          </w:p>
          <w:p>
            <w:pPr>
              <w:adjustRightInd w:val="0"/>
              <w:snapToGrid w:val="0"/>
              <w:spacing w:line="240" w:lineRule="atLeast"/>
              <w:jc w:val="center"/>
              <w:rPr>
                <w:rFonts w:ascii="仿宋" w:hAnsi="仿宋" w:eastAsia="仿宋"/>
                <w:bCs/>
                <w:szCs w:val="21"/>
              </w:rPr>
            </w:pPr>
            <w:r>
              <w:rPr>
                <w:rFonts w:ascii="仿宋" w:hAnsi="仿宋" w:eastAsia="仿宋"/>
                <w:bCs/>
                <w:szCs w:val="21"/>
              </w:rPr>
              <w:t>预约赎回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rPr>
                <w:rFonts w:ascii="仿宋" w:hAnsi="仿宋" w:eastAsia="仿宋"/>
                <w:bCs/>
                <w:szCs w:val="21"/>
              </w:rPr>
            </w:pPr>
            <w:r>
              <w:rPr>
                <w:rFonts w:hint="eastAsia" w:ascii="仿宋" w:hAnsi="仿宋" w:eastAsia="仿宋"/>
                <w:bCs/>
                <w:szCs w:val="21"/>
              </w:rPr>
              <w:t>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17:30（不含）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可接受通过</w:t>
            </w:r>
            <w:r>
              <w:rPr>
                <w:rFonts w:ascii="仿宋" w:hAnsi="仿宋" w:eastAsia="仿宋"/>
                <w:bCs/>
                <w:szCs w:val="21"/>
              </w:rPr>
              <w:t>华夏</w:t>
            </w:r>
            <w:r>
              <w:rPr>
                <w:rFonts w:hint="eastAsia" w:ascii="仿宋" w:hAnsi="仿宋" w:eastAsia="仿宋"/>
                <w:bCs/>
                <w:szCs w:val="21"/>
              </w:rPr>
              <w:t>银行/华夏理财</w:t>
            </w:r>
            <w:r>
              <w:rPr>
                <w:rFonts w:ascii="仿宋" w:hAnsi="仿宋" w:eastAsia="仿宋"/>
                <w:bCs/>
                <w:szCs w:val="21"/>
              </w:rPr>
              <w:t>购买的投资者</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w:t>
            </w:r>
            <w:r>
              <w:rPr>
                <w:rFonts w:ascii="仿宋" w:hAnsi="仿宋" w:eastAsia="仿宋"/>
                <w:bCs/>
                <w:szCs w:val="21"/>
              </w:rPr>
              <w:t>，</w:t>
            </w:r>
            <w:r>
              <w:rPr>
                <w:rFonts w:hint="eastAsia" w:ascii="仿宋" w:hAnsi="仿宋" w:eastAsia="仿宋"/>
                <w:bCs/>
                <w:szCs w:val="21"/>
              </w:rPr>
              <w:t>视</w:t>
            </w:r>
            <w:r>
              <w:rPr>
                <w:rFonts w:ascii="仿宋" w:hAnsi="仿宋" w:eastAsia="仿宋"/>
                <w:bCs/>
                <w:szCs w:val="21"/>
              </w:rPr>
              <w:t>同在</w:t>
            </w:r>
            <w:r>
              <w:rPr>
                <w:rFonts w:hint="eastAsia" w:ascii="仿宋" w:hAnsi="仿宋" w:eastAsia="仿宋"/>
                <w:bCs/>
                <w:szCs w:val="21"/>
              </w:rPr>
              <w:t>下</w:t>
            </w:r>
            <w:r>
              <w:rPr>
                <w:rFonts w:ascii="仿宋" w:hAnsi="仿宋" w:eastAsia="仿宋"/>
                <w:bCs/>
                <w:szCs w:val="21"/>
              </w:rPr>
              <w:t>一</w:t>
            </w:r>
            <w:r>
              <w:rPr>
                <w:rFonts w:hint="eastAsia" w:ascii="仿宋" w:hAnsi="仿宋" w:eastAsia="仿宋"/>
                <w:bCs/>
                <w:szCs w:val="21"/>
              </w:rPr>
              <w:t>个申购/赎回</w:t>
            </w:r>
            <w:r>
              <w:rPr>
                <w:rFonts w:ascii="仿宋" w:hAnsi="仿宋" w:eastAsia="仿宋"/>
                <w:bCs/>
                <w:szCs w:val="21"/>
              </w:rPr>
              <w:t>开放日开放时间内</w:t>
            </w:r>
            <w:r>
              <w:rPr>
                <w:rFonts w:hint="eastAsia" w:ascii="仿宋" w:hAnsi="仿宋" w:eastAsia="仿宋"/>
                <w:bCs/>
                <w:szCs w:val="21"/>
              </w:rPr>
              <w:t>提交</w:t>
            </w:r>
            <w:r>
              <w:rPr>
                <w:rFonts w:ascii="仿宋" w:hAnsi="仿宋" w:eastAsia="仿宋"/>
                <w:bCs/>
                <w:szCs w:val="21"/>
              </w:rPr>
              <w:t>的</w:t>
            </w:r>
            <w:r>
              <w:rPr>
                <w:rFonts w:hint="eastAsia" w:ascii="仿宋" w:hAnsi="仿宋" w:eastAsia="仿宋"/>
                <w:bCs/>
                <w:szCs w:val="21"/>
              </w:rPr>
              <w:t>申购</w:t>
            </w:r>
            <w:r>
              <w:rPr>
                <w:rFonts w:ascii="仿宋" w:hAnsi="仿宋" w:eastAsia="仿宋"/>
                <w:bCs/>
                <w:szCs w:val="21"/>
              </w:rPr>
              <w:t>、赎回申请</w:t>
            </w:r>
            <w:r>
              <w:rPr>
                <w:rFonts w:hint="eastAsia" w:ascii="仿宋" w:hAnsi="仿宋" w:eastAsia="仿宋"/>
                <w:bCs/>
                <w:szCs w:val="21"/>
              </w:rPr>
              <w:t>。</w:t>
            </w:r>
          </w:p>
          <w:p>
            <w:pPr>
              <w:adjustRightInd w:val="0"/>
              <w:snapToGrid w:val="0"/>
              <w:spacing w:line="240" w:lineRule="atLeast"/>
              <w:ind w:right="-44" w:firstLine="420" w:firstLineChars="200"/>
              <w:rPr>
                <w:rFonts w:ascii="仿宋" w:hAnsi="仿宋" w:eastAsia="仿宋"/>
                <w:bCs/>
                <w:szCs w:val="21"/>
              </w:rPr>
            </w:pPr>
            <w:r>
              <w:rPr>
                <w:rFonts w:hint="eastAsia" w:ascii="仿宋" w:hAnsi="仿宋" w:eastAsia="仿宋"/>
                <w:bCs/>
                <w:szCs w:val="21"/>
              </w:rPr>
              <w:t>华夏银行/华夏理财将在预约购买申请提出日之后的第一个申购开放日根据预约购买申请扣款，如扣款失败,则预约购买申请不成功。</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确认。T日为开放日。</w:t>
            </w: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于T+2日24点前</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于T+2日24点前</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申请日日终的产品份额净值，保留到小数点后</w:t>
            </w:r>
            <w:r>
              <w:rPr>
                <w:rFonts w:ascii="仿宋" w:hAnsi="仿宋" w:eastAsia="仿宋"/>
                <w:bCs/>
                <w:szCs w:val="21"/>
                <w:u w:val="single"/>
              </w:rPr>
              <w:t>2</w:t>
            </w:r>
            <w:r>
              <w:rPr>
                <w:rFonts w:hint="eastAsia" w:ascii="仿宋" w:hAnsi="仿宋" w:eastAsia="仿宋"/>
                <w:bCs/>
                <w:szCs w:val="21"/>
              </w:rPr>
              <w:t>位，小数点后第</w:t>
            </w:r>
            <w:r>
              <w:rPr>
                <w:rFonts w:ascii="仿宋" w:hAnsi="仿宋" w:eastAsia="仿宋"/>
                <w:bCs/>
                <w:szCs w:val="21"/>
                <w:u w:val="single"/>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后2个工作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开放日17:00（含）之后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开放日17:00（含）之后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17:30（不含）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u w:val="single"/>
              </w:rPr>
            </w:pPr>
            <w:r>
              <w:rPr>
                <w:rFonts w:hint="eastAsia" w:ascii="仿宋" w:hAnsi="仿宋" w:eastAsia="仿宋"/>
                <w:b/>
                <w:bCs/>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0.03%/年，以前一日资产净值为基数，每日计提。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F=E×【0.03%】</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F为托管费；E为计算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0.25%/年，以前一日资产净值为基数，每日计提。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F=E×【0.25%】</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F为销售</w:t>
            </w:r>
            <w:r>
              <w:rPr>
                <w:rFonts w:ascii="仿宋" w:hAnsi="仿宋" w:eastAsia="仿宋"/>
                <w:b/>
                <w:bCs/>
                <w:szCs w:val="21"/>
              </w:rPr>
              <w:t>手续费</w:t>
            </w:r>
            <w:r>
              <w:rPr>
                <w:rFonts w:hint="eastAsia" w:ascii="仿宋" w:hAnsi="仿宋" w:eastAsia="仿宋"/>
                <w:b/>
                <w:bCs/>
                <w:szCs w:val="21"/>
              </w:rPr>
              <w:t>；E为计算</w:t>
            </w:r>
            <w:r>
              <w:rPr>
                <w:rFonts w:ascii="仿宋" w:hAnsi="仿宋" w:eastAsia="仿宋"/>
                <w:b/>
                <w:bCs/>
                <w:szCs w:val="21"/>
              </w:rPr>
              <w:t>基数</w:t>
            </w:r>
            <w:r>
              <w:rPr>
                <w:rFonts w:hint="eastAsia" w:ascii="仿宋" w:hAnsi="仿宋" w:eastAsia="仿宋"/>
                <w:b/>
                <w:bCs/>
                <w:szCs w:val="21"/>
              </w:rPr>
              <w:t>。</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0.20%/年，以前一日资产净值为基数，每日计提。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F=E×【0.20%】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F为固定管理费；E为计算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本产品的超额管理费计提基准为</w:t>
            </w:r>
            <w:r>
              <w:rPr>
                <w:rFonts w:hint="eastAsia" w:ascii="仿宋" w:hAnsi="仿宋" w:eastAsia="仿宋" w:cs="Cambria"/>
                <w:b/>
                <w:bCs/>
                <w:szCs w:val="21"/>
                <w:lang w:val="en-US" w:eastAsia="zh-CN"/>
              </w:rPr>
              <w:t>2.40</w:t>
            </w:r>
            <w:r>
              <w:rPr>
                <w:rFonts w:ascii="仿宋" w:hAnsi="仿宋" w:eastAsia="仿宋" w:cs="Cambria"/>
                <w:b/>
                <w:bCs/>
                <w:szCs w:val="21"/>
              </w:rPr>
              <w:t>%</w:t>
            </w:r>
            <w:r>
              <w:rPr>
                <w:rFonts w:hint="eastAsia" w:ascii="仿宋" w:hAnsi="仿宋" w:eastAsia="仿宋"/>
                <w:b/>
                <w:bCs/>
                <w:szCs w:val="21"/>
              </w:rPr>
              <w:t>（年化）。</w:t>
            </w:r>
          </w:p>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本产品超额管理费的计算公式：</w:t>
            </w:r>
          </w:p>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超额管理费=（年化收益率-超额管理费计提基准）×当期持有天数÷365×50%×产品份额×上期单位净值</w:t>
            </w:r>
          </w:p>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其中：</w:t>
            </w:r>
          </w:p>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年化收益率=（计提日累计单位净值-上一开放期单位净值最高日累计单位净值）÷（上一开放期单位净值最高日单位净值）×365÷当期持有天数。</w:t>
            </w:r>
          </w:p>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“产品份额”为该封闭期内份额，若封闭期内有红利再投时，将剔除红利再投产生份额的影响。</w:t>
            </w:r>
          </w:p>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“上期单位净值”为上个开放期最后一个开放日的单位净值。</w:t>
            </w:r>
          </w:p>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无上一开放期的首个封闭期时，“上期单位净值”、“上一开放期单位净值最高日累计单位净值”、“上一开放期单位净值最高日单位净值”均为1.0000。</w:t>
            </w:r>
          </w:p>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投资周期内每个估值日计提超额管理费，仅作为暂估数据，用于本产品会计核算和估值日估值。仅每一开放期首个开放日、到期/终止日为本产品超额管理费实际计提和收取日。</w:t>
            </w:r>
          </w:p>
          <w:p>
            <w:pPr>
              <w:adjustRightInd w:val="0"/>
              <w:snapToGrid w:val="0"/>
              <w:spacing w:line="240" w:lineRule="atLeast"/>
              <w:ind w:firstLine="420"/>
              <w:rPr>
                <w:rFonts w:ascii="仿宋" w:hAnsi="仿宋" w:eastAsia="仿宋"/>
                <w:b/>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szCs w:val="21"/>
              </w:rPr>
              <w:t>通过</w:t>
            </w:r>
            <w:r>
              <w:rPr>
                <w:rFonts w:hint="eastAsia" w:ascii="仿宋" w:hAnsi="仿宋" w:eastAsia="仿宋"/>
                <w:b/>
                <w:bCs/>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rPr>
              <w:t>每周五后的</w:t>
            </w:r>
            <w:r>
              <w:rPr>
                <w:rFonts w:hint="eastAsia" w:ascii="仿宋" w:hAnsi="仿宋" w:eastAsia="仿宋"/>
                <w:bCs/>
                <w:szCs w:val="21"/>
              </w:rPr>
              <w:t>第3个工作日为份额净值公告日，公告</w:t>
            </w:r>
            <w:r>
              <w:rPr>
                <w:rFonts w:hint="eastAsia" w:ascii="仿宋" w:hAnsi="仿宋" w:eastAsia="仿宋"/>
              </w:rPr>
              <w:t>每周五</w:t>
            </w:r>
            <w:r>
              <w:rPr>
                <w:rFonts w:hint="eastAsia" w:ascii="仿宋" w:hAnsi="仿宋" w:eastAsia="仿宋"/>
                <w:bCs/>
                <w:szCs w:val="21"/>
              </w:rPr>
              <w:t>份额净值，如周五为非工作日，则公告周五上1个工作日的份额净值。如当周没有第3个工作日，</w:t>
            </w:r>
            <w:r>
              <w:rPr>
                <w:rFonts w:ascii="仿宋" w:hAnsi="仿宋" w:eastAsia="仿宋"/>
                <w:bCs/>
                <w:szCs w:val="21"/>
              </w:rPr>
              <w:t>则顺延至下</w:t>
            </w:r>
            <w:r>
              <w:rPr>
                <w:rFonts w:hint="eastAsia" w:ascii="仿宋" w:hAnsi="仿宋" w:eastAsia="仿宋"/>
                <w:bCs/>
                <w:szCs w:val="21"/>
              </w:rPr>
              <w:t>1</w:t>
            </w:r>
            <w:r>
              <w:rPr>
                <w:rFonts w:ascii="仿宋" w:hAnsi="仿宋" w:eastAsia="仿宋"/>
                <w:bCs/>
                <w:szCs w:val="21"/>
              </w:rPr>
              <w:t>个工作日</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产品开放日后第2个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公告产品开放日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ind w:firstLine="420" w:firstLineChars="200"/>
              <w:jc w:val="left"/>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76" w:lineRule="auto"/>
              <w:ind w:firstLine="420" w:firstLineChars="200"/>
              <w:jc w:val="left"/>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产品</w:t>
            </w:r>
            <w:r>
              <w:rPr>
                <w:rFonts w:ascii="仿宋" w:hAnsi="仿宋" w:eastAsia="仿宋"/>
                <w:bCs/>
                <w:szCs w:val="21"/>
              </w:rPr>
              <w:t>管理人可以在产品存续期</w:t>
            </w:r>
            <w:r>
              <w:rPr>
                <w:rFonts w:hint="eastAsia" w:ascii="仿宋" w:hAnsi="仿宋" w:eastAsia="仿宋"/>
                <w:bCs/>
                <w:szCs w:val="21"/>
              </w:rPr>
              <w:t>根据</w:t>
            </w:r>
            <w:r>
              <w:rPr>
                <w:rFonts w:ascii="仿宋" w:hAnsi="仿宋" w:eastAsia="仿宋"/>
                <w:bCs/>
                <w:szCs w:val="21"/>
              </w:rPr>
              <w:t>投资情况选择分红</w:t>
            </w:r>
            <w:r>
              <w:rPr>
                <w:rFonts w:hint="eastAsia" w:ascii="仿宋" w:hAnsi="仿宋" w:eastAsia="仿宋"/>
                <w:bCs/>
                <w:szCs w:val="21"/>
              </w:rPr>
              <w:t>或</w:t>
            </w:r>
            <w:r>
              <w:rPr>
                <w:rFonts w:ascii="仿宋" w:hAnsi="仿宋" w:eastAsia="仿宋"/>
                <w:bCs/>
                <w:szCs w:val="21"/>
              </w:rPr>
              <w:t>不分红</w:t>
            </w:r>
            <w:r>
              <w:rPr>
                <w:rFonts w:hint="eastAsia" w:ascii="仿宋" w:hAnsi="仿宋" w:eastAsia="仿宋"/>
                <w:bCs/>
                <w:szCs w:val="21"/>
              </w:rPr>
              <w:t>，若</w:t>
            </w:r>
            <w:r>
              <w:rPr>
                <w:rFonts w:ascii="仿宋" w:hAnsi="仿宋" w:eastAsia="仿宋"/>
                <w:bCs/>
                <w:szCs w:val="21"/>
              </w:rPr>
              <w:t>分红，将以现金</w:t>
            </w:r>
            <w:r>
              <w:rPr>
                <w:rFonts w:hint="eastAsia" w:ascii="仿宋" w:hAnsi="仿宋" w:eastAsia="仿宋"/>
                <w:bCs/>
                <w:szCs w:val="21"/>
              </w:rPr>
              <w:t>分红或</w:t>
            </w:r>
            <w:r>
              <w:rPr>
                <w:rFonts w:ascii="仿宋" w:hAnsi="仿宋" w:eastAsia="仿宋"/>
                <w:bCs/>
                <w:szCs w:val="21"/>
              </w:rPr>
              <w:t>红利再投资方式</w:t>
            </w:r>
            <w:r>
              <w:rPr>
                <w:rFonts w:hint="eastAsia" w:ascii="仿宋" w:hAnsi="仿宋" w:eastAsia="仿宋"/>
                <w:bCs/>
                <w:szCs w:val="21"/>
              </w:rPr>
              <w:t>进行，</w:t>
            </w:r>
            <w:r>
              <w:rPr>
                <w:rFonts w:hint="eastAsia" w:ascii="仿宋" w:hAnsi="仿宋" w:eastAsia="仿宋"/>
                <w:bCs/>
                <w:szCs w:val="21"/>
                <w:lang w:val="en-US" w:eastAsia="zh-CN"/>
              </w:rPr>
              <w:t>默认为现金分红，</w:t>
            </w:r>
            <w:r>
              <w:rPr>
                <w:rFonts w:ascii="仿宋" w:hAnsi="仿宋" w:eastAsia="仿宋"/>
                <w:bCs/>
                <w:szCs w:val="21"/>
              </w:rPr>
              <w:t>具体以公告为准</w:t>
            </w:r>
            <w:r>
              <w:rPr>
                <w:rFonts w:hint="eastAsia" w:ascii="仿宋" w:hAnsi="仿宋" w:eastAsia="仿宋"/>
                <w:bCs/>
                <w:szCs w:val="21"/>
              </w:rPr>
              <w:t>。</w:t>
            </w:r>
            <w:r>
              <w:rPr>
                <w:rFonts w:hint="eastAsia" w:ascii="仿宋" w:hAnsi="仿宋" w:eastAsia="仿宋" w:cs="宋体"/>
                <w:kern w:val="0"/>
                <w:szCs w:val="21"/>
              </w:rPr>
              <w:t>本理财产品</w:t>
            </w:r>
            <w:r>
              <w:rPr>
                <w:rFonts w:ascii="仿宋" w:hAnsi="仿宋" w:eastAsia="仿宋" w:cs="宋体"/>
                <w:kern w:val="0"/>
                <w:szCs w:val="21"/>
              </w:rPr>
              <w:t>分红，</w:t>
            </w:r>
            <w:r>
              <w:rPr>
                <w:rFonts w:hint="eastAsia" w:ascii="仿宋" w:hAnsi="仿宋" w:eastAsia="仿宋" w:cs="宋体"/>
                <w:kern w:val="0"/>
                <w:szCs w:val="21"/>
              </w:rPr>
              <w:t>将于</w:t>
            </w:r>
            <w:r>
              <w:rPr>
                <w:rFonts w:ascii="仿宋" w:hAnsi="仿宋" w:eastAsia="仿宋" w:cs="宋体"/>
                <w:kern w:val="0"/>
                <w:szCs w:val="21"/>
              </w:rPr>
              <w:t>分红</w:t>
            </w:r>
            <w:r>
              <w:rPr>
                <w:rFonts w:hint="eastAsia" w:ascii="仿宋" w:hAnsi="仿宋" w:eastAsia="仿宋" w:cs="宋体"/>
                <w:kern w:val="0"/>
                <w:szCs w:val="21"/>
              </w:rPr>
              <w:t>日</w:t>
            </w:r>
            <w:r>
              <w:rPr>
                <w:rFonts w:ascii="仿宋" w:hAnsi="仿宋" w:eastAsia="仿宋" w:cs="宋体"/>
                <w:kern w:val="0"/>
                <w:szCs w:val="21"/>
              </w:rPr>
              <w:t>前</w:t>
            </w:r>
            <w:r>
              <w:rPr>
                <w:rFonts w:hint="eastAsia" w:ascii="仿宋" w:hAnsi="仿宋" w:eastAsia="仿宋"/>
                <w:bCs/>
                <w:szCs w:val="21"/>
              </w:rPr>
              <w:t>3</w:t>
            </w:r>
            <w:r>
              <w:rPr>
                <w:rFonts w:hint="eastAsia" w:ascii="仿宋" w:hAnsi="仿宋" w:eastAsia="仿宋" w:cs="宋体"/>
                <w:kern w:val="0"/>
                <w:szCs w:val="21"/>
              </w:rPr>
              <w:t>个</w:t>
            </w:r>
            <w:r>
              <w:rPr>
                <w:rFonts w:ascii="仿宋" w:hAnsi="仿宋" w:eastAsia="仿宋" w:cs="宋体"/>
                <w:kern w:val="0"/>
                <w:szCs w:val="21"/>
              </w:rPr>
              <w:t>工作日通过</w:t>
            </w:r>
            <w:r>
              <w:rPr>
                <w:rFonts w:hint="eastAsia" w:ascii="仿宋" w:hAnsi="仿宋" w:eastAsia="仿宋" w:cs="宋体"/>
                <w:kern w:val="0"/>
                <w:szCs w:val="21"/>
              </w:rPr>
              <w:t>本产品说明书约定的信息披露</w:t>
            </w:r>
            <w:r>
              <w:rPr>
                <w:rFonts w:ascii="仿宋" w:hAnsi="仿宋" w:eastAsia="仿宋" w:cs="宋体"/>
                <w:kern w:val="0"/>
                <w:szCs w:val="21"/>
              </w:rPr>
              <w:t>渠道</w:t>
            </w:r>
            <w:r>
              <w:rPr>
                <w:rFonts w:hint="eastAsia" w:ascii="仿宋" w:hAnsi="仿宋" w:eastAsia="仿宋" w:cs="宋体"/>
                <w:kern w:val="0"/>
                <w:szCs w:val="21"/>
              </w:rPr>
              <w:t>公布</w:t>
            </w:r>
            <w:r>
              <w:rPr>
                <w:rFonts w:ascii="仿宋" w:hAnsi="仿宋" w:eastAsia="仿宋" w:cs="宋体"/>
                <w:kern w:val="0"/>
                <w:szCs w:val="21"/>
              </w:rPr>
              <w:t>分红</w:t>
            </w:r>
            <w:r>
              <w:rPr>
                <w:rFonts w:hint="eastAsia" w:ascii="仿宋" w:hAnsi="仿宋" w:eastAsia="仿宋" w:cs="宋体"/>
                <w:kern w:val="0"/>
                <w:szCs w:val="21"/>
              </w:rPr>
              <w:t>方案</w:t>
            </w:r>
            <w:r>
              <w:rPr>
                <w:rFonts w:ascii="仿宋" w:hAnsi="仿宋" w:eastAsia="仿宋" w:cs="宋体"/>
                <w:kern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w:t>
            </w:r>
            <w:r>
              <w:rPr>
                <w:rFonts w:ascii="仿宋" w:hAnsi="仿宋" w:eastAsia="仿宋"/>
                <w:bCs/>
                <w:szCs w:val="21"/>
              </w:rPr>
              <w:t>5</w:t>
            </w:r>
            <w:r>
              <w:rPr>
                <w:rFonts w:hint="eastAsia" w:ascii="仿宋" w:hAnsi="仿宋" w:eastAsia="仿宋"/>
                <w:bCs/>
                <w:szCs w:val="21"/>
              </w:rPr>
              <w:t>,000万份时；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18"/>
        <w:snapToGrid w:val="0"/>
        <w:spacing w:after="156" w:afterLines="50" w:line="400" w:lineRule="exact"/>
        <w:ind w:firstLine="482" w:firstLineChars="200"/>
        <w:jc w:val="both"/>
        <w:rPr>
          <w:rFonts w:ascii="Times New Roman" w:eastAsia="黑体" w:cs="Times New Roman"/>
          <w:b/>
          <w:color w:val="auto"/>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jc w:val="left"/>
        <w:rPr>
          <w:rFonts w:hint="eastAsia" w:ascii="仿宋" w:hAnsi="仿宋" w:eastAsia="仿宋" w:cs="仿宋"/>
          <w:color w:val="000000"/>
          <w:kern w:val="0"/>
          <w:sz w:val="24"/>
          <w:lang w:val="en-US" w:eastAsia="zh-CN"/>
        </w:rPr>
      </w:pPr>
      <w:r>
        <w:rPr>
          <w:rFonts w:hint="eastAsia" w:ascii="仿宋" w:hAnsi="仿宋" w:eastAsia="仿宋" w:cs="宋体"/>
          <w:color w:val="000000"/>
          <w:kern w:val="0"/>
          <w:sz w:val="24"/>
        </w:rPr>
        <w:t>本理财产品将主要投资于固定收益类资产、权益类资产、商品及</w:t>
      </w:r>
      <w:r>
        <w:rPr>
          <w:rFonts w:hint="eastAsia" w:ascii="仿宋" w:hAnsi="仿宋" w:eastAsia="仿宋" w:cs="宋体"/>
          <w:kern w:val="0"/>
          <w:sz w:val="24"/>
        </w:rPr>
        <w:t>金融衍生品类资产</w:t>
      </w:r>
      <w:r>
        <w:rPr>
          <w:rFonts w:hint="eastAsia" w:ascii="仿宋" w:hAnsi="仿宋" w:eastAsia="仿宋" w:cs="仿宋"/>
          <w:color w:val="000000"/>
          <w:kern w:val="0"/>
          <w:sz w:val="24"/>
          <w:lang w:val="en-US" w:eastAsia="zh-CN"/>
        </w:rPr>
        <w:t>，其中固定收益类资产包括但不限于</w:t>
      </w:r>
      <w:r>
        <w:rPr>
          <w:rFonts w:hint="eastAsia" w:ascii="仿宋" w:hAnsi="仿宋" w:eastAsia="仿宋" w:cs="仿宋"/>
          <w:color w:val="000000"/>
          <w:kern w:val="0"/>
          <w:sz w:val="24"/>
        </w:rPr>
        <w:t>货币市场工具、标准化债权类资产、非标准化债权类资产等</w:t>
      </w:r>
      <w:r>
        <w:rPr>
          <w:rFonts w:hint="eastAsia" w:ascii="仿宋" w:hAnsi="仿宋" w:eastAsia="仿宋" w:cs="仿宋"/>
          <w:color w:val="000000"/>
          <w:kern w:val="0"/>
          <w:sz w:val="24"/>
          <w:lang w:eastAsia="zh-CN"/>
        </w:rPr>
        <w:t>。</w:t>
      </w:r>
    </w:p>
    <w:p>
      <w:pPr>
        <w:widowControl/>
        <w:adjustRightInd w:val="0"/>
        <w:snapToGrid w:val="0"/>
        <w:spacing w:line="276" w:lineRule="auto"/>
        <w:ind w:firstLine="480" w:firstLineChars="200"/>
        <w:contextualSpacing/>
        <w:jc w:val="left"/>
        <w:rPr>
          <w:rFonts w:hint="eastAsia" w:ascii="仿宋" w:hAnsi="仿宋" w:eastAsia="仿宋" w:cs="仿宋"/>
          <w:color w:val="000000"/>
          <w:kern w:val="0"/>
          <w:sz w:val="24"/>
        </w:rPr>
      </w:pPr>
      <w:r>
        <w:rPr>
          <w:rFonts w:hint="eastAsia" w:ascii="仿宋" w:hAnsi="仿宋" w:eastAsia="仿宋" w:cs="仿宋"/>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jc w:val="left"/>
        <w:rPr>
          <w:rFonts w:hint="eastAsia" w:ascii="仿宋" w:hAnsi="仿宋" w:eastAsia="仿宋" w:cs="仿宋"/>
          <w:color w:val="000000"/>
          <w:kern w:val="0"/>
          <w:sz w:val="24"/>
        </w:rPr>
      </w:pPr>
      <w:r>
        <w:rPr>
          <w:rFonts w:hint="eastAsia" w:ascii="仿宋" w:hAnsi="仿宋" w:eastAsia="仿宋" w:cs="仿宋"/>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jc w:val="left"/>
        <w:rPr>
          <w:rFonts w:hint="eastAsia" w:ascii="仿宋" w:hAnsi="仿宋" w:eastAsia="仿宋" w:cs="仿宋"/>
          <w:color w:val="000000"/>
          <w:kern w:val="0"/>
          <w:sz w:val="24"/>
        </w:rPr>
      </w:pPr>
      <w:r>
        <w:rPr>
          <w:rFonts w:hint="eastAsia" w:ascii="仿宋" w:hAnsi="仿宋" w:eastAsia="仿宋" w:cs="仿宋"/>
          <w:color w:val="000000"/>
          <w:kern w:val="0"/>
          <w:sz w:val="24"/>
        </w:rPr>
        <w:t>其中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仿宋"/>
          <w:color w:val="000000"/>
          <w:kern w:val="0"/>
          <w:sz w:val="24"/>
          <w:lang w:val="en-US" w:eastAsia="zh-CN"/>
        </w:rPr>
        <w:t>监管机构</w:t>
      </w:r>
      <w:r>
        <w:rPr>
          <w:rFonts w:hint="eastAsia" w:ascii="仿宋" w:hAnsi="仿宋" w:eastAsia="仿宋" w:cs="仿宋"/>
          <w:color w:val="000000"/>
          <w:kern w:val="0"/>
          <w:sz w:val="24"/>
        </w:rPr>
        <w:t>认可的其他具有良好流动性的金融工具；</w:t>
      </w:r>
    </w:p>
    <w:p>
      <w:pPr>
        <w:widowControl/>
        <w:adjustRightInd w:val="0"/>
        <w:snapToGrid w:val="0"/>
        <w:spacing w:line="276" w:lineRule="auto"/>
        <w:ind w:firstLine="480" w:firstLineChars="200"/>
        <w:contextualSpacing/>
        <w:jc w:val="left"/>
        <w:rPr>
          <w:rFonts w:hint="eastAsia" w:ascii="仿宋" w:hAnsi="仿宋" w:eastAsia="仿宋" w:cs="仿宋"/>
          <w:color w:val="000000"/>
          <w:kern w:val="0"/>
          <w:sz w:val="24"/>
        </w:rPr>
      </w:pPr>
      <w:r>
        <w:rPr>
          <w:rFonts w:hint="eastAsia" w:ascii="仿宋" w:hAnsi="仿宋" w:eastAsia="仿宋" w:cs="仿宋"/>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0" w:firstLineChars="200"/>
        <w:contextualSpacing/>
        <w:jc w:val="left"/>
        <w:rPr>
          <w:rFonts w:hint="eastAsia" w:ascii="微软简仿宋" w:eastAsia="微软简仿宋"/>
          <w:sz w:val="24"/>
        </w:rPr>
      </w:pPr>
      <w:r>
        <w:rPr>
          <w:rFonts w:hint="eastAsia" w:ascii="仿宋" w:hAnsi="仿宋" w:eastAsia="仿宋" w:cs="仿宋"/>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jc w:val="left"/>
        <w:rPr>
          <w:rFonts w:hint="eastAsia" w:ascii="微软简仿宋" w:eastAsia="微软简仿宋"/>
          <w:sz w:val="24"/>
        </w:rPr>
      </w:pPr>
      <w:r>
        <w:rPr>
          <w:rFonts w:hint="eastAsia" w:ascii="仿宋" w:hAnsi="仿宋" w:eastAsia="仿宋" w:cs="宋体"/>
          <w:color w:val="000000"/>
          <w:kern w:val="0"/>
          <w:sz w:val="24"/>
        </w:rPr>
        <w:t>权益类资产包括但不限于国内依法发行和上市的股票（包括主板、创业板、中小板、科创板以及其他经中国证监会核准上市的股票，包括新股申购、定向增发、大宗交易、询价转让等）、内地与香港股票市场交易互联互通机制允许买卖的香港市场股票，以及股票型、混合型公募证券投资基金等。</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44"/>
        <w:gridCol w:w="2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5544" w:type="dxa"/>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2519" w:type="dxa"/>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5544" w:type="dxa"/>
            <w:vAlign w:val="center"/>
          </w:tcPr>
          <w:p>
            <w:pPr>
              <w:adjustRightInd w:val="0"/>
              <w:snapToGrid w:val="0"/>
              <w:spacing w:line="240" w:lineRule="auto"/>
              <w:jc w:val="center"/>
              <w:rPr>
                <w:rFonts w:ascii="仿宋" w:hAnsi="仿宋" w:eastAsia="仿宋" w:cs="宋体"/>
                <w:color w:val="000000"/>
                <w:kern w:val="0"/>
                <w:sz w:val="24"/>
              </w:rPr>
            </w:pPr>
            <w:r>
              <w:rPr>
                <w:rFonts w:hint="eastAsia" w:ascii="仿宋" w:hAnsi="仿宋" w:eastAsia="仿宋" w:cs="宋体"/>
                <w:color w:val="000000"/>
                <w:kern w:val="0"/>
                <w:sz w:val="24"/>
              </w:rPr>
              <w:t>固定收益类</w:t>
            </w:r>
          </w:p>
          <w:p>
            <w:pPr>
              <w:adjustRightInd w:val="0"/>
              <w:snapToGrid w:val="0"/>
              <w:spacing w:line="240" w:lineRule="auto"/>
              <w:jc w:val="center"/>
              <w:rPr>
                <w:rFonts w:ascii="仿宋" w:hAnsi="仿宋" w:eastAsia="仿宋" w:cs="宋体"/>
                <w:color w:val="000000"/>
                <w:kern w:val="0"/>
                <w:sz w:val="24"/>
              </w:rPr>
            </w:pPr>
            <w:r>
              <w:rPr>
                <w:rFonts w:hint="eastAsia" w:ascii="仿宋" w:hAnsi="仿宋" w:eastAsia="仿宋" w:cs="宋体"/>
                <w:color w:val="000000"/>
                <w:kern w:val="0"/>
                <w:sz w:val="24"/>
              </w:rPr>
              <w:t>（其中固定收益类资产包括货币市场工具、标准化债权类资产、非标准化债权类资产等，单只公募理财产品投资非标准化债权类资产的比例不超过50%）</w:t>
            </w:r>
          </w:p>
        </w:tc>
        <w:tc>
          <w:tcPr>
            <w:tcW w:w="2519" w:type="dxa"/>
            <w:vAlign w:val="center"/>
          </w:tcPr>
          <w:p>
            <w:pPr>
              <w:adjustRightInd w:val="0"/>
              <w:snapToGrid w:val="0"/>
              <w:spacing w:line="240" w:lineRule="auto"/>
              <w:jc w:val="center"/>
              <w:rPr>
                <w:rFonts w:ascii="仿宋" w:hAnsi="仿宋" w:eastAsia="仿宋" w:cs="宋体"/>
                <w:color w:val="000000"/>
                <w:kern w:val="0"/>
                <w:sz w:val="24"/>
              </w:rPr>
            </w:pPr>
            <w:r>
              <w:rPr>
                <w:rFonts w:hint="eastAsia" w:ascii="仿宋" w:hAnsi="仿宋" w:eastAsia="仿宋" w:cs="宋体"/>
                <w:color w:val="000000"/>
                <w:kern w:val="0"/>
                <w:sz w:val="24"/>
              </w:rPr>
              <w:t>80%-100%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jc w:val="center"/>
        </w:trPr>
        <w:tc>
          <w:tcPr>
            <w:tcW w:w="5544" w:type="dxa"/>
            <w:vAlign w:val="center"/>
          </w:tcPr>
          <w:p>
            <w:pPr>
              <w:adjustRightInd w:val="0"/>
              <w:snapToGrid w:val="0"/>
              <w:spacing w:line="240" w:lineRule="auto"/>
              <w:jc w:val="center"/>
              <w:rPr>
                <w:rFonts w:ascii="仿宋" w:hAnsi="仿宋" w:eastAsia="仿宋" w:cs="宋体"/>
                <w:color w:val="000000"/>
                <w:kern w:val="0"/>
                <w:sz w:val="24"/>
              </w:rPr>
            </w:pPr>
            <w:r>
              <w:rPr>
                <w:rFonts w:hint="eastAsia" w:ascii="仿宋" w:hAnsi="仿宋" w:eastAsia="仿宋" w:cs="宋体"/>
                <w:color w:val="000000"/>
                <w:kern w:val="0"/>
                <w:sz w:val="24"/>
              </w:rPr>
              <w:t>权益类</w:t>
            </w:r>
          </w:p>
        </w:tc>
        <w:tc>
          <w:tcPr>
            <w:tcW w:w="2519" w:type="dxa"/>
            <w:vAlign w:val="center"/>
          </w:tcPr>
          <w:p>
            <w:pPr>
              <w:adjustRightInd w:val="0"/>
              <w:snapToGrid w:val="0"/>
              <w:spacing w:line="240" w:lineRule="auto"/>
              <w:jc w:val="center"/>
              <w:rPr>
                <w:rFonts w:ascii="仿宋" w:hAnsi="仿宋" w:eastAsia="仿宋" w:cs="宋体"/>
                <w:color w:val="000000"/>
                <w:kern w:val="0"/>
                <w:sz w:val="24"/>
              </w:rPr>
            </w:pPr>
            <w:r>
              <w:rPr>
                <w:rFonts w:hint="eastAsia" w:ascii="仿宋" w:hAnsi="仿宋" w:eastAsia="仿宋" w:cs="宋体"/>
                <w:color w:val="000000"/>
                <w:kern w:val="0"/>
                <w:sz w:val="24"/>
              </w:rPr>
              <w:t>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jc w:val="center"/>
        </w:trPr>
        <w:tc>
          <w:tcPr>
            <w:tcW w:w="5544" w:type="dxa"/>
            <w:vAlign w:val="center"/>
          </w:tcPr>
          <w:p>
            <w:pPr>
              <w:adjustRightInd w:val="0"/>
              <w:snapToGrid w:val="0"/>
              <w:spacing w:line="240" w:lineRule="auto"/>
              <w:jc w:val="center"/>
              <w:rPr>
                <w:rFonts w:ascii="仿宋" w:hAnsi="仿宋" w:eastAsia="仿宋" w:cs="宋体"/>
                <w:color w:val="000000"/>
                <w:kern w:val="0"/>
                <w:sz w:val="24"/>
              </w:rPr>
            </w:pPr>
            <w:r>
              <w:rPr>
                <w:rFonts w:hint="eastAsia" w:ascii="仿宋" w:hAnsi="仿宋" w:eastAsia="仿宋" w:cs="宋体"/>
                <w:color w:val="000000"/>
                <w:kern w:val="0"/>
                <w:sz w:val="24"/>
              </w:rPr>
              <w:t>商品及金融衍生品类</w:t>
            </w:r>
          </w:p>
          <w:p>
            <w:pPr>
              <w:adjustRightInd w:val="0"/>
              <w:snapToGrid w:val="0"/>
              <w:spacing w:line="240" w:lineRule="auto"/>
              <w:jc w:val="center"/>
              <w:rPr>
                <w:rFonts w:ascii="仿宋" w:hAnsi="仿宋" w:eastAsia="仿宋" w:cs="宋体"/>
                <w:color w:val="000000"/>
                <w:kern w:val="0"/>
                <w:sz w:val="24"/>
              </w:rPr>
            </w:pPr>
            <w:r>
              <w:rPr>
                <w:rFonts w:hint="eastAsia" w:ascii="仿宋" w:hAnsi="仿宋" w:eastAsia="仿宋" w:cs="宋体"/>
                <w:color w:val="000000"/>
                <w:kern w:val="0"/>
                <w:sz w:val="24"/>
              </w:rPr>
              <w:t>（商品及金融衍生品类资产投资须符合监管要求）</w:t>
            </w:r>
          </w:p>
        </w:tc>
        <w:tc>
          <w:tcPr>
            <w:tcW w:w="2519" w:type="dxa"/>
            <w:vAlign w:val="center"/>
          </w:tcPr>
          <w:p>
            <w:pPr>
              <w:adjustRightInd w:val="0"/>
              <w:snapToGrid w:val="0"/>
              <w:spacing w:line="240" w:lineRule="auto"/>
              <w:jc w:val="center"/>
              <w:rPr>
                <w:rFonts w:ascii="仿宋" w:hAnsi="仿宋" w:eastAsia="仿宋" w:cs="宋体"/>
                <w:color w:val="000000"/>
                <w:kern w:val="0"/>
                <w:sz w:val="24"/>
              </w:rPr>
            </w:pPr>
            <w:r>
              <w:rPr>
                <w:rFonts w:hint="eastAsia" w:ascii="仿宋" w:hAnsi="仿宋" w:eastAsia="仿宋" w:cs="宋体"/>
                <w:color w:val="000000"/>
                <w:kern w:val="0"/>
                <w:sz w:val="24"/>
              </w:rPr>
              <w:t>0%-5%</w:t>
            </w:r>
          </w:p>
        </w:tc>
      </w:tr>
    </w:tbl>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本理财产品可以按照监管部门相关规定开展回购业务。</w:t>
      </w:r>
    </w:p>
    <w:p>
      <w:pPr>
        <w:widowControl/>
        <w:adjustRightInd w:val="0"/>
        <w:snapToGrid w:val="0"/>
        <w:spacing w:line="276" w:lineRule="auto"/>
        <w:ind w:firstLine="480" w:firstLineChars="200"/>
        <w:contextualSpacing/>
        <w:rPr>
          <w:rFonts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18"/>
        <w:snapToGrid w:val="0"/>
        <w:spacing w:after="156" w:afterLines="50" w:line="400" w:lineRule="exact"/>
        <w:ind w:firstLine="480" w:firstLineChars="200"/>
        <w:jc w:val="both"/>
        <w:rPr>
          <w:rFonts w:hint="eastAsia" w:ascii="微软简仿宋" w:hAnsi="微软简仿宋" w:eastAsia="仿宋"/>
          <w:bCs/>
          <w:szCs w:val="21"/>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根据前述超额管理费条款，管理人收取超额管理费，且扣除超额管理费后的产品开放日份额净值为1.1800，则客户获得的赎回金额为：100,000*1.1800=118,000.00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若根据前述超额管理费条款，管理人不收取超额管理费，且产品开放日份额净值为1.0700，则客户获得的赎回金额为：100,000*1.0700=107,000.00元。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若根据前述超额管理费条款，管理人不收取超额管理费，且产品开放日份额净值为0.9980，则客户获得赎回金额为：100,000*0.9980=99,800.00元。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r>
        <w:rPr>
          <w:rFonts w:hint="eastAsia" w:ascii="仿宋" w:hAnsi="仿宋" w:eastAsia="仿宋"/>
          <w:b/>
          <w:bCs/>
          <w:sz w:val="24"/>
        </w:rPr>
        <w:t>。</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本产品说明书中的任何业绩比较基准、收益示例或类似表述均不具有法律约束力，不代表投资者可能获得的实际收益，亦不构成华夏理财/代销机构对本理财产品的任何收益承诺。</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（一）估值对象</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本理财产品所投资的货币市场工具、标准化债权类资产</w:t>
      </w:r>
      <w:r>
        <w:rPr>
          <w:rFonts w:hint="eastAsia" w:ascii="仿宋" w:hAnsi="仿宋" w:eastAsia="仿宋" w:cs="宋体"/>
          <w:color w:val="000000"/>
          <w:kern w:val="0"/>
          <w:sz w:val="24"/>
        </w:rPr>
        <w:t>、非标准化债权类资产</w:t>
      </w:r>
      <w:r>
        <w:rPr>
          <w:rFonts w:hint="eastAsia" w:ascii="仿宋" w:hAnsi="仿宋" w:eastAsia="仿宋" w:cs="宋体"/>
          <w:color w:val="000000"/>
          <w:kern w:val="0"/>
          <w:sz w:val="24"/>
          <w:lang w:val="en-US" w:eastAsia="zh-CN"/>
        </w:rPr>
        <w:t>等固定收益类资产</w:t>
      </w:r>
      <w:r>
        <w:rPr>
          <w:rFonts w:hint="eastAsia" w:ascii="仿宋" w:hAnsi="仿宋" w:eastAsia="仿宋" w:cs="宋体"/>
          <w:color w:val="000000"/>
          <w:kern w:val="0"/>
          <w:sz w:val="24"/>
        </w:rPr>
        <w:t>、</w:t>
      </w:r>
      <w:r>
        <w:rPr>
          <w:rFonts w:hint="eastAsia" w:ascii="仿宋" w:hAnsi="仿宋" w:eastAsia="仿宋"/>
          <w:lang w:val="en-US" w:eastAsia="zh-CN"/>
        </w:rPr>
        <w:t>权益类资产</w:t>
      </w:r>
      <w:r>
        <w:rPr>
          <w:rFonts w:hint="eastAsia" w:ascii="仿宋" w:hAnsi="仿宋" w:eastAsia="仿宋"/>
        </w:rPr>
        <w:t>以及资产管理产品等资产。</w:t>
      </w:r>
    </w:p>
    <w:p>
      <w:pPr>
        <w:pStyle w:val="18"/>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8"/>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（三）估值方法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1.证券交易所上市的有价证券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在交易所市场上市的含有转股权的债券（如可转换债券、可交换债券等）等，选取每日收盘价减去所含的应收利息得到的净价进行估值。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2.处于未上市期间的有价证券应区分如下情况处理：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（1）送股、转增股、配股和公开增发的新股，按估值日在证券交易所挂牌的同一股票的市价（收盘价）估值；该日无交易的，以最近一日的市价（收盘价）估值；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（2）首次公开发行未上市的股票、债券和权证，采用估值技术确定公允价值，在估值技术难以可靠计量公允价值的情况下，采用管理人和托管人共同认可的第三方机构提供的估值，或双方共同认可的估值；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（3）优先股采用估值技术确认公允价值，在估值技术难以可靠计量公允价值的情况下，采用管理人和托管人共同认可的第三方机构提供的估值，或双方共同认可的估值；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4.同一债券同时在两个或两个以上市场交易的，按债券所处的市场分别估值。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5.证券投资基金的估值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（1）场外申赎的开放式非货币基金以估值日可获取的基金管理人公布的最新基金份额净值估值；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（2）上市流通的证券投资基金（包括场内买入的ETF、封闭式基金、上市定期开放式基金）按估值日其所在证券交易所的收盘价估值；估值日无交易的，以最近一个交易日的收盘价估值；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（3）货币基金以估值日可获取的基金管理人公布的最新万份收益计提红利。</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6.银行存款（活期、定期）及证券资金账户存款以本金列示，按照约定利率在持有期内逐日计提应收利息，在利息到账日以实收利息入账。</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7.债券回购和具有固定回报的买入返售金融资产：以买入/外放成本列示，按约定收益率逐日计提收益。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8.期货以估值日期货交易所的当日结算价估值，估值当日无结算价的，且最近交易日后经济环境未发生重大变化的，采用最近交易日结算价估值。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9.汇率估值方法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10.场内期权以估值日交易所的结算价估值，该日无交易的，以最近一日的结算价为准。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11.非标准化债权类资产采用估值技术确认公允价值，在估值技术难以可靠计量公允价值的情况下，按照管理人和托管人共同认可的估值。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12.本系列产品所投资的资产管理产品以估值日公布的产品单位净值进行估值，估值日产品单位净值未公布的，以最近一个工作日产品单位净值计算。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13.相关法律法规以及监管部门有强制规定的，从其规定。如有新增事项或变更事项，依法按最新规定计算。没有相关规定的，由产品管理人与托管人协商确定计算方法。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14.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8"/>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（四）暂停</w:t>
      </w:r>
      <w:r>
        <w:rPr>
          <w:rFonts w:ascii="仿宋" w:hAnsi="仿宋" w:eastAsia="仿宋" w:cs="宋体"/>
          <w:color w:val="000000"/>
          <w:kern w:val="0"/>
          <w:sz w:val="24"/>
        </w:rPr>
        <w:t>估值</w:t>
      </w:r>
    </w:p>
    <w:p>
      <w:pPr>
        <w:pStyle w:val="18"/>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（五）</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8"/>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份额净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8"/>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封闭期内</w:t>
      </w:r>
      <w:r>
        <w:rPr>
          <w:rFonts w:hint="eastAsia" w:eastAsia="黑体"/>
          <w:b/>
        </w:rPr>
        <w:t>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8"/>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8"/>
        <w:snapToGrid w:val="0"/>
        <w:spacing w:line="276" w:lineRule="auto"/>
        <w:ind w:firstLine="482"/>
        <w:contextualSpacing/>
        <w:rPr>
          <w:rFonts w:ascii="Times New Roman" w:eastAsia="黑体" w:cs="Times New Roman"/>
          <w:b/>
          <w:color w:val="auto"/>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8"/>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认购、申购、赎回”。</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8"/>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8"/>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（十</w:t>
      </w:r>
      <w:r>
        <w:rPr>
          <w:rFonts w:hint="eastAsia" w:ascii="Times New Roman" w:eastAsia="黑体" w:cs="Times New Roman"/>
          <w:b/>
          <w:lang w:val="en-US" w:eastAsia="zh-CN"/>
        </w:rPr>
        <w:t>六</w:t>
      </w:r>
      <w:r>
        <w:rPr>
          <w:rFonts w:hint="eastAsia" w:ascii="Times New Roman" w:eastAsia="黑体" w:cs="Times New Roman"/>
          <w:b/>
        </w:rPr>
        <w:t>）本产品特有风险说明</w:t>
      </w:r>
    </w:p>
    <w:p>
      <w:pPr>
        <w:pStyle w:val="18"/>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w:t>
      </w:r>
      <w:r>
        <w:rPr>
          <w:rFonts w:hint="eastAsia" w:ascii="Times New Roman" w:hAnsi="Times New Roman" w:eastAsia="黑体" w:cs="Times New Roman"/>
          <w:b/>
          <w:color w:val="000000"/>
          <w:kern w:val="0"/>
          <w:sz w:val="24"/>
        </w:rPr>
        <w:t>固定收益类、权益类</w:t>
      </w:r>
      <w:r>
        <w:rPr>
          <w:rFonts w:hint="eastAsia" w:ascii="Times New Roman" w:eastAsia="黑体" w:cs="Times New Roman"/>
          <w:b/>
          <w:color w:val="000000"/>
          <w:kern w:val="0"/>
          <w:sz w:val="24"/>
          <w:lang w:eastAsia="zh-CN"/>
        </w:rPr>
        <w:t>、</w:t>
      </w:r>
      <w:r>
        <w:rPr>
          <w:rFonts w:hint="eastAsia" w:ascii="Times New Roman" w:hAnsi="Times New Roman" w:eastAsia="黑体" w:cs="Times New Roman"/>
          <w:b/>
          <w:color w:val="000000"/>
          <w:kern w:val="0"/>
          <w:sz w:val="24"/>
        </w:rPr>
        <w:t>商品及</w:t>
      </w:r>
      <w:r>
        <w:rPr>
          <w:rFonts w:hint="eastAsia" w:ascii="Times New Roman" w:hAnsi="Times New Roman" w:eastAsia="黑体" w:cs="Times New Roman"/>
          <w:b/>
          <w:kern w:val="0"/>
          <w:sz w:val="24"/>
        </w:rPr>
        <w:t>金融衍生品类</w:t>
      </w:r>
      <w:r>
        <w:rPr>
          <w:rFonts w:hint="eastAsia" w:ascii="Times New Roman" w:hAnsi="Times New Roman" w:eastAsia="黑体" w:cs="Times New Roman"/>
          <w:b/>
          <w:color w:val="000000"/>
          <w:kern w:val="0"/>
          <w:sz w:val="24"/>
        </w:rPr>
        <w:t>资产</w:t>
      </w:r>
      <w:r>
        <w:rPr>
          <w:rFonts w:hint="eastAsia" w:ascii="Times New Roman" w:eastAsia="黑体" w:cs="Times New Roman"/>
          <w:b/>
        </w:rPr>
        <w:t>，因此可能面临如下特定风险：</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bCs w:val="0"/>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bCs w:val="0"/>
          <w:kern w:val="0"/>
          <w:sz w:val="24"/>
          <w:szCs w:val="24"/>
        </w:rPr>
        <w:t xml:space="preserve">。 </w:t>
      </w:r>
    </w:p>
    <w:p>
      <w:pPr>
        <w:pStyle w:val="18"/>
        <w:snapToGrid w:val="0"/>
        <w:spacing w:beforeLines="0" w:afterLines="0"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3.投资于非标准化债权类资产的可能风险：（1）由于经济周期、行业竞争、管理能力、盈利模式、财务状况等变化可能发生资产经营不善，甚至破产清算、被兼并收购、无法偿还融资本金利息等状况，可能影响投资者收益，甚至使产品本金遭受损失；（2）由于融资方/担保方还款履约能力发生变化等原因，可能无法、逾期或提前偿还相关融资本金利息、或发生合同约定的其他债权延期或提前终止等情形，导致无法按计划分配投资本金、收益，可能影响投资者收益，甚至使产品本金遭受损失。</w:t>
      </w:r>
    </w:p>
    <w:p>
      <w:pPr>
        <w:pStyle w:val="18"/>
        <w:snapToGrid w:val="0"/>
        <w:spacing w:beforeLines="0" w:afterLines="0"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4.投资于存款类资产的可能风险：本产品拟投资的存款类资产在极端情况下可能面临被拒绝支取、因提前支取而被收取罚息等费用的风险，从而影响投资者收益，甚至使本产品本金遭受损失。</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snapToGrid w:val="0"/>
        <w:spacing w:beforeLines="0" w:afterLines="0" w:line="276" w:lineRule="auto"/>
        <w:ind w:firstLine="482"/>
        <w:contextualSpacing/>
        <w:rPr>
          <w:rFonts w:hint="eastAsia" w:ascii="Times New Roman" w:hAnsi="Times New Roman" w:eastAsia="黑体" w:cs="Times New Roman"/>
          <w:b/>
          <w:sz w:val="24"/>
          <w:szCs w:val="24"/>
          <w:lang w:val="en-US" w:eastAsia="zh-CN"/>
        </w:rPr>
      </w:pPr>
      <w:r>
        <w:rPr>
          <w:rFonts w:hint="eastAsia" w:ascii="Times New Roman" w:hAnsi="Times New Roman" w:eastAsia="黑体" w:cs="Times New Roman"/>
          <w:b/>
          <w:kern w:val="0"/>
          <w:sz w:val="24"/>
          <w:szCs w:val="24"/>
          <w:lang w:val="en-US" w:eastAsia="zh-CN" w:bidi="ar-SA"/>
        </w:rPr>
        <w:t>6.投资于股票类资产的可能风险：国家货币、财政、产业等政策变化对证券市场产生一定的影响，导致市场价格水平波动的风险；宏观经济运行周期性波动，对股票市场的收益水平产生影响的风险；上市公司的经营状况受多种因素影响，如市场、技术、竞争、管理、财务等都可能导致公司盈利发生变化，从而导致股票价格下跌，影响投资者收益，甚至使产品本金遭受损失；股票遭流通和转让限制导致的流动性风险；投资于不同板块、不同市场股票，如投资科创板、创业板、港股通股票等，可能面临因投资标的、市场制度、交易规则、监管法规等差异造成的风险等。</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 xml:space="preserve">7.投资于券商收益凭证的可能风险：券商收益凭证通常以证券公司的信用发行，在存续期间，证券公司可能发生解散、破产、无力清偿到期债务、资产被查封、冻结或强制执行等情形，存在无法偿付凭证本金和收益的信用风险；由于证券公司内部管理流程缺陷、人员操作失误、不合规、估值错误或者外部事件等原因而导致损失的操作风险；券商收益凭证本金和收益的偿付挂钩特定标的，包括但不限于股权、债权、信用、基金、利率、汇率、指数、期货和商品等，收益存在不确定性市场风险；根据不同的券商收益凭证结构设计，存在券商收益凭证提前终止导致产品再投资或提前终止风险。本理财产品投资于券商收益凭证，还可能面临流动性风险、政策法律风险、信息传递风险、不可抗力及意外事件风险等情形而导致无法实现投资收益甚至产品本金遭受损失的风险。 </w:t>
      </w:r>
    </w:p>
    <w:p>
      <w:pPr>
        <w:pStyle w:val="18"/>
        <w:snapToGrid w:val="0"/>
        <w:spacing w:beforeLines="0" w:afterLines="0" w:line="276" w:lineRule="auto"/>
        <w:ind w:firstLine="482"/>
        <w:contextualSpacing/>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lang w:val="en-US" w:eastAsia="zh-CN"/>
        </w:rPr>
        <w:t>8.</w:t>
      </w:r>
      <w:r>
        <w:rPr>
          <w:rFonts w:hint="eastAsia" w:ascii="Times New Roman" w:hAnsi="Times New Roman" w:eastAsia="黑体" w:cs="Times New Roman"/>
          <w:b/>
          <w:kern w:val="0"/>
          <w:sz w:val="24"/>
          <w:szCs w:val="24"/>
          <w:lang w:val="en-US" w:eastAsia="zh-CN" w:bidi="ar-SA"/>
        </w:rPr>
        <w:t>投资于商品及金融衍生品类资产的可能风险：基础产品价格波动造成衍生品价格波动，高杠杆和跨期交易可能加剧衍生品价格波动的市场风险；衍生品发行方或交易对手方违约或不履行合约的导致的信用风险；缺乏交易对手导致无法平仓/变现、流动资金不足或无法追加保证金导致被迫平仓造成亏损的风险；因内部程序、人员、系统操作不当或因外部事件导致损失的操作风险；部分衍生品操作相关法律法规的滞后，交易合约在法律范围内无效而无法履约或交易合约订立不当产生的法律风险。</w:t>
      </w:r>
    </w:p>
    <w:p>
      <w:pPr>
        <w:pStyle w:val="18"/>
        <w:numPr>
          <w:ilvl w:val="-1"/>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kern w:val="0"/>
          <w:sz w:val="24"/>
          <w:szCs w:val="24"/>
          <w:lang w:val="en-US" w:eastAsia="zh-CN" w:bidi="ar-SA"/>
        </w:rPr>
        <w:t xml:space="preserve">    9</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8"/>
        <w:numPr>
          <w:ilvl w:val="-1"/>
          <w:numId w:val="0"/>
        </w:numPr>
        <w:snapToGrid w:val="0"/>
        <w:spacing w:line="276" w:lineRule="auto"/>
        <w:ind w:firstLine="0" w:firstLineChars="0"/>
        <w:contextualSpacing/>
        <w:jc w:val="both"/>
        <w:rPr>
          <w:rFonts w:hint="eastAsia" w:ascii="Times New Roman" w:eastAsia="黑体" w:cs="Times New Roman"/>
          <w:b/>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hint="eastAsia" w:ascii="仿宋" w:hAnsi="仿宋" w:eastAsia="仿宋" w:cs="宋体"/>
          <w:b/>
          <w:kern w:val="0"/>
          <w:sz w:val="24"/>
        </w:rPr>
        <w:t>、</w:t>
      </w:r>
      <w:r>
        <w:rPr>
          <w:rFonts w:ascii="仿宋" w:hAnsi="仿宋" w:eastAsia="仿宋" w:cs="宋体"/>
          <w:b/>
          <w:kern w:val="0"/>
          <w:sz w:val="24"/>
        </w:rPr>
        <w:t>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spacing w:after="156" w:afterLines="50" w:line="276" w:lineRule="auto"/>
        <w:ind w:firstLine="48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日期：     年     月    日</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003F01FF" w:csb1="00000000"/>
  </w:font>
  <w:font w:name="仿宋_GB2312">
    <w:altName w:val="仿宋"/>
    <w:panose1 w:val="02010609030101010101"/>
    <w:charset w:val="86"/>
    <w:family w:val="auto"/>
    <w:pitch w:val="default"/>
    <w:sig w:usb0="00000000" w:usb1="00000000" w:usb2="00000010" w:usb3="00000000" w:csb0="00040000" w:csb1="00000000"/>
  </w:font>
  <w:font w:name="微软简仿宋">
    <w:altName w:val="仿宋"/>
    <w:panose1 w:val="00000000000000000000"/>
    <w:charset w:val="86"/>
    <w:family w:val="auto"/>
    <w:pitch w:val="default"/>
    <w:sig w:usb0="00000000" w:usb1="00000000" w:usb2="00000010" w:usb3="00000000" w:csb0="00040000" w:csb1="00000000"/>
  </w:font>
  <w:font w:name="楷体_GB2312">
    <w:altName w:val="楷体"/>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1E5F37"/>
    <w:multiLevelType w:val="singleLevel"/>
    <w:tmpl w:val="F51E5F37"/>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72A27"/>
    <w:rsid w:val="0001408C"/>
    <w:rsid w:val="00020F81"/>
    <w:rsid w:val="00034F0B"/>
    <w:rsid w:val="0004485A"/>
    <w:rsid w:val="00044B7F"/>
    <w:rsid w:val="0004783E"/>
    <w:rsid w:val="000550C1"/>
    <w:rsid w:val="0006081B"/>
    <w:rsid w:val="00063561"/>
    <w:rsid w:val="000713E1"/>
    <w:rsid w:val="000805E4"/>
    <w:rsid w:val="000850AD"/>
    <w:rsid w:val="00085777"/>
    <w:rsid w:val="00092E28"/>
    <w:rsid w:val="000932F8"/>
    <w:rsid w:val="000950EC"/>
    <w:rsid w:val="000973A7"/>
    <w:rsid w:val="000A2EE9"/>
    <w:rsid w:val="000A3C07"/>
    <w:rsid w:val="000B2154"/>
    <w:rsid w:val="000B32CF"/>
    <w:rsid w:val="000D002A"/>
    <w:rsid w:val="000D7DE2"/>
    <w:rsid w:val="000E195A"/>
    <w:rsid w:val="00111BDB"/>
    <w:rsid w:val="0011683A"/>
    <w:rsid w:val="001260F4"/>
    <w:rsid w:val="001318D7"/>
    <w:rsid w:val="001322B8"/>
    <w:rsid w:val="00141481"/>
    <w:rsid w:val="001423F3"/>
    <w:rsid w:val="00142652"/>
    <w:rsid w:val="00146323"/>
    <w:rsid w:val="001521F2"/>
    <w:rsid w:val="00167A6E"/>
    <w:rsid w:val="00170760"/>
    <w:rsid w:val="00172A27"/>
    <w:rsid w:val="001861EC"/>
    <w:rsid w:val="00192AD3"/>
    <w:rsid w:val="0019771D"/>
    <w:rsid w:val="001A0DF1"/>
    <w:rsid w:val="001B007A"/>
    <w:rsid w:val="001B2900"/>
    <w:rsid w:val="001B29E5"/>
    <w:rsid w:val="001B2C46"/>
    <w:rsid w:val="001D5895"/>
    <w:rsid w:val="001D6DB9"/>
    <w:rsid w:val="001E4307"/>
    <w:rsid w:val="001F1829"/>
    <w:rsid w:val="001F21AD"/>
    <w:rsid w:val="001F4C9F"/>
    <w:rsid w:val="00203B96"/>
    <w:rsid w:val="00214B23"/>
    <w:rsid w:val="00216CAD"/>
    <w:rsid w:val="00220E75"/>
    <w:rsid w:val="00230B93"/>
    <w:rsid w:val="00233491"/>
    <w:rsid w:val="00244A0E"/>
    <w:rsid w:val="002473CD"/>
    <w:rsid w:val="00254F6B"/>
    <w:rsid w:val="00260FED"/>
    <w:rsid w:val="00265998"/>
    <w:rsid w:val="00277CAB"/>
    <w:rsid w:val="00282724"/>
    <w:rsid w:val="00293AA7"/>
    <w:rsid w:val="00294355"/>
    <w:rsid w:val="002A2967"/>
    <w:rsid w:val="002A2FEF"/>
    <w:rsid w:val="002C7F16"/>
    <w:rsid w:val="002E5919"/>
    <w:rsid w:val="002E7F9D"/>
    <w:rsid w:val="0030025C"/>
    <w:rsid w:val="00311DBF"/>
    <w:rsid w:val="00311EF5"/>
    <w:rsid w:val="003219ED"/>
    <w:rsid w:val="003248AF"/>
    <w:rsid w:val="00351C38"/>
    <w:rsid w:val="003522B1"/>
    <w:rsid w:val="00362E0F"/>
    <w:rsid w:val="00365E5C"/>
    <w:rsid w:val="00367563"/>
    <w:rsid w:val="003723AE"/>
    <w:rsid w:val="00375CE6"/>
    <w:rsid w:val="0038373F"/>
    <w:rsid w:val="003923B3"/>
    <w:rsid w:val="003B43C0"/>
    <w:rsid w:val="003C0388"/>
    <w:rsid w:val="003C51E8"/>
    <w:rsid w:val="003C5A8A"/>
    <w:rsid w:val="003D2B76"/>
    <w:rsid w:val="003D55AF"/>
    <w:rsid w:val="003D65A8"/>
    <w:rsid w:val="003E4BEB"/>
    <w:rsid w:val="003F1B6F"/>
    <w:rsid w:val="003F5AF4"/>
    <w:rsid w:val="003F6114"/>
    <w:rsid w:val="004021F4"/>
    <w:rsid w:val="0042748A"/>
    <w:rsid w:val="0043490E"/>
    <w:rsid w:val="0043495C"/>
    <w:rsid w:val="00440BC3"/>
    <w:rsid w:val="0045546E"/>
    <w:rsid w:val="00462536"/>
    <w:rsid w:val="004734C8"/>
    <w:rsid w:val="00474458"/>
    <w:rsid w:val="00484075"/>
    <w:rsid w:val="0049300B"/>
    <w:rsid w:val="00494748"/>
    <w:rsid w:val="00495582"/>
    <w:rsid w:val="004A7A7E"/>
    <w:rsid w:val="004B06AD"/>
    <w:rsid w:val="004B07F8"/>
    <w:rsid w:val="004B2908"/>
    <w:rsid w:val="004C1CD0"/>
    <w:rsid w:val="004C4084"/>
    <w:rsid w:val="004C6D16"/>
    <w:rsid w:val="004E7D97"/>
    <w:rsid w:val="004F0884"/>
    <w:rsid w:val="004F2A31"/>
    <w:rsid w:val="004F4E81"/>
    <w:rsid w:val="004F648F"/>
    <w:rsid w:val="00501BB4"/>
    <w:rsid w:val="005114E6"/>
    <w:rsid w:val="00512B7C"/>
    <w:rsid w:val="0052572E"/>
    <w:rsid w:val="00532BEE"/>
    <w:rsid w:val="00557F33"/>
    <w:rsid w:val="005604F6"/>
    <w:rsid w:val="00560C00"/>
    <w:rsid w:val="00560CC1"/>
    <w:rsid w:val="005727C8"/>
    <w:rsid w:val="00576EC5"/>
    <w:rsid w:val="005835EB"/>
    <w:rsid w:val="00585898"/>
    <w:rsid w:val="005A6E67"/>
    <w:rsid w:val="005B2D99"/>
    <w:rsid w:val="005B536D"/>
    <w:rsid w:val="005C08EC"/>
    <w:rsid w:val="005C120E"/>
    <w:rsid w:val="005D3AAF"/>
    <w:rsid w:val="005E28E4"/>
    <w:rsid w:val="005E4DED"/>
    <w:rsid w:val="005E7E9C"/>
    <w:rsid w:val="005F45E5"/>
    <w:rsid w:val="005F5E1E"/>
    <w:rsid w:val="005F66E4"/>
    <w:rsid w:val="005F7E82"/>
    <w:rsid w:val="00602ED4"/>
    <w:rsid w:val="006075D0"/>
    <w:rsid w:val="00613BD1"/>
    <w:rsid w:val="00615330"/>
    <w:rsid w:val="00626006"/>
    <w:rsid w:val="00656FE9"/>
    <w:rsid w:val="00662200"/>
    <w:rsid w:val="00670595"/>
    <w:rsid w:val="00677437"/>
    <w:rsid w:val="00681E3A"/>
    <w:rsid w:val="0068328B"/>
    <w:rsid w:val="006854F9"/>
    <w:rsid w:val="006860DD"/>
    <w:rsid w:val="0069073D"/>
    <w:rsid w:val="006915E0"/>
    <w:rsid w:val="0069363A"/>
    <w:rsid w:val="006A3461"/>
    <w:rsid w:val="006A3ABB"/>
    <w:rsid w:val="006B321C"/>
    <w:rsid w:val="006B4904"/>
    <w:rsid w:val="006C67EB"/>
    <w:rsid w:val="006D3A14"/>
    <w:rsid w:val="006E0E9D"/>
    <w:rsid w:val="006E3A7D"/>
    <w:rsid w:val="006E48C3"/>
    <w:rsid w:val="006E711E"/>
    <w:rsid w:val="006E742E"/>
    <w:rsid w:val="006F119A"/>
    <w:rsid w:val="006F3678"/>
    <w:rsid w:val="006F50CA"/>
    <w:rsid w:val="00703F7A"/>
    <w:rsid w:val="00712CC7"/>
    <w:rsid w:val="00734D46"/>
    <w:rsid w:val="00736655"/>
    <w:rsid w:val="0076606B"/>
    <w:rsid w:val="00767879"/>
    <w:rsid w:val="00777429"/>
    <w:rsid w:val="007815CF"/>
    <w:rsid w:val="00785CAB"/>
    <w:rsid w:val="00792744"/>
    <w:rsid w:val="007B1FB0"/>
    <w:rsid w:val="007B234E"/>
    <w:rsid w:val="007B5822"/>
    <w:rsid w:val="007C0AE0"/>
    <w:rsid w:val="007F00D6"/>
    <w:rsid w:val="007F32C1"/>
    <w:rsid w:val="007F50EC"/>
    <w:rsid w:val="00807C05"/>
    <w:rsid w:val="00811683"/>
    <w:rsid w:val="008137C7"/>
    <w:rsid w:val="008202B4"/>
    <w:rsid w:val="00826F03"/>
    <w:rsid w:val="008277B6"/>
    <w:rsid w:val="00835BC2"/>
    <w:rsid w:val="0083661A"/>
    <w:rsid w:val="008369DE"/>
    <w:rsid w:val="00836CF0"/>
    <w:rsid w:val="00843345"/>
    <w:rsid w:val="00846F1F"/>
    <w:rsid w:val="00846FF0"/>
    <w:rsid w:val="00852D93"/>
    <w:rsid w:val="00863612"/>
    <w:rsid w:val="00864B44"/>
    <w:rsid w:val="00866B5F"/>
    <w:rsid w:val="0087023F"/>
    <w:rsid w:val="00870823"/>
    <w:rsid w:val="00874410"/>
    <w:rsid w:val="00877345"/>
    <w:rsid w:val="00887E73"/>
    <w:rsid w:val="0089364D"/>
    <w:rsid w:val="008B3093"/>
    <w:rsid w:val="008D19F3"/>
    <w:rsid w:val="008D277E"/>
    <w:rsid w:val="008D2895"/>
    <w:rsid w:val="008D5335"/>
    <w:rsid w:val="008D5F85"/>
    <w:rsid w:val="008E0C40"/>
    <w:rsid w:val="008F66DE"/>
    <w:rsid w:val="008F6891"/>
    <w:rsid w:val="00902123"/>
    <w:rsid w:val="009113F9"/>
    <w:rsid w:val="00916782"/>
    <w:rsid w:val="0092528D"/>
    <w:rsid w:val="009267C7"/>
    <w:rsid w:val="00932845"/>
    <w:rsid w:val="00943A99"/>
    <w:rsid w:val="00953E36"/>
    <w:rsid w:val="00965372"/>
    <w:rsid w:val="00971A91"/>
    <w:rsid w:val="00972105"/>
    <w:rsid w:val="0098665C"/>
    <w:rsid w:val="00991FA8"/>
    <w:rsid w:val="009941FD"/>
    <w:rsid w:val="009A3572"/>
    <w:rsid w:val="009A3901"/>
    <w:rsid w:val="009A5350"/>
    <w:rsid w:val="009C0A85"/>
    <w:rsid w:val="009C16E3"/>
    <w:rsid w:val="009C4B76"/>
    <w:rsid w:val="009C5840"/>
    <w:rsid w:val="009C59CA"/>
    <w:rsid w:val="009D566A"/>
    <w:rsid w:val="009D76E2"/>
    <w:rsid w:val="009E6D89"/>
    <w:rsid w:val="009F0D25"/>
    <w:rsid w:val="009F1CB5"/>
    <w:rsid w:val="00A046DD"/>
    <w:rsid w:val="00A05E66"/>
    <w:rsid w:val="00A11A8A"/>
    <w:rsid w:val="00A12304"/>
    <w:rsid w:val="00A25440"/>
    <w:rsid w:val="00A33474"/>
    <w:rsid w:val="00A403DC"/>
    <w:rsid w:val="00A51A90"/>
    <w:rsid w:val="00A547BE"/>
    <w:rsid w:val="00A55E93"/>
    <w:rsid w:val="00A61D3B"/>
    <w:rsid w:val="00A705A2"/>
    <w:rsid w:val="00A71EF3"/>
    <w:rsid w:val="00A7699B"/>
    <w:rsid w:val="00A76CE4"/>
    <w:rsid w:val="00A87692"/>
    <w:rsid w:val="00A87B04"/>
    <w:rsid w:val="00A87D42"/>
    <w:rsid w:val="00A93593"/>
    <w:rsid w:val="00A978E7"/>
    <w:rsid w:val="00AA05C6"/>
    <w:rsid w:val="00AA23A1"/>
    <w:rsid w:val="00AA7D8A"/>
    <w:rsid w:val="00AC45F9"/>
    <w:rsid w:val="00AD7FE0"/>
    <w:rsid w:val="00AE13B1"/>
    <w:rsid w:val="00AE1B0B"/>
    <w:rsid w:val="00AF3F07"/>
    <w:rsid w:val="00B0003E"/>
    <w:rsid w:val="00B169E1"/>
    <w:rsid w:val="00B2620A"/>
    <w:rsid w:val="00B27136"/>
    <w:rsid w:val="00B27633"/>
    <w:rsid w:val="00B3053C"/>
    <w:rsid w:val="00B31855"/>
    <w:rsid w:val="00B36874"/>
    <w:rsid w:val="00B36EED"/>
    <w:rsid w:val="00B46F41"/>
    <w:rsid w:val="00B47C68"/>
    <w:rsid w:val="00B5342D"/>
    <w:rsid w:val="00B5695A"/>
    <w:rsid w:val="00B61638"/>
    <w:rsid w:val="00B619F3"/>
    <w:rsid w:val="00B72B76"/>
    <w:rsid w:val="00B80F4C"/>
    <w:rsid w:val="00B91ACC"/>
    <w:rsid w:val="00BA6601"/>
    <w:rsid w:val="00BA7546"/>
    <w:rsid w:val="00BA77A8"/>
    <w:rsid w:val="00BB4269"/>
    <w:rsid w:val="00BB5103"/>
    <w:rsid w:val="00BB75C5"/>
    <w:rsid w:val="00BC4B7F"/>
    <w:rsid w:val="00BE076D"/>
    <w:rsid w:val="00BE1EBE"/>
    <w:rsid w:val="00BE4A47"/>
    <w:rsid w:val="00BE68E0"/>
    <w:rsid w:val="00BE7E09"/>
    <w:rsid w:val="00BF19EC"/>
    <w:rsid w:val="00BF3BE3"/>
    <w:rsid w:val="00BF3E43"/>
    <w:rsid w:val="00C1272E"/>
    <w:rsid w:val="00C21069"/>
    <w:rsid w:val="00C33E4C"/>
    <w:rsid w:val="00C34069"/>
    <w:rsid w:val="00C459C4"/>
    <w:rsid w:val="00C57F25"/>
    <w:rsid w:val="00C61C44"/>
    <w:rsid w:val="00C747FC"/>
    <w:rsid w:val="00C83009"/>
    <w:rsid w:val="00C841D0"/>
    <w:rsid w:val="00C8421C"/>
    <w:rsid w:val="00CA25C5"/>
    <w:rsid w:val="00CC1EEF"/>
    <w:rsid w:val="00CD2B51"/>
    <w:rsid w:val="00CF0F2D"/>
    <w:rsid w:val="00CF69E2"/>
    <w:rsid w:val="00CF6CE2"/>
    <w:rsid w:val="00D04582"/>
    <w:rsid w:val="00D04841"/>
    <w:rsid w:val="00D06C20"/>
    <w:rsid w:val="00D06F7A"/>
    <w:rsid w:val="00D31F9E"/>
    <w:rsid w:val="00D32617"/>
    <w:rsid w:val="00D3392B"/>
    <w:rsid w:val="00D34745"/>
    <w:rsid w:val="00D65353"/>
    <w:rsid w:val="00D65F44"/>
    <w:rsid w:val="00D66FB0"/>
    <w:rsid w:val="00D67764"/>
    <w:rsid w:val="00D76E1C"/>
    <w:rsid w:val="00D77548"/>
    <w:rsid w:val="00D87E03"/>
    <w:rsid w:val="00D919BF"/>
    <w:rsid w:val="00DA36BD"/>
    <w:rsid w:val="00DA511D"/>
    <w:rsid w:val="00DB4DDD"/>
    <w:rsid w:val="00DC3F67"/>
    <w:rsid w:val="00DC4D06"/>
    <w:rsid w:val="00DC602D"/>
    <w:rsid w:val="00DE1921"/>
    <w:rsid w:val="00DE2987"/>
    <w:rsid w:val="00DE2BB4"/>
    <w:rsid w:val="00DE3046"/>
    <w:rsid w:val="00DE6B09"/>
    <w:rsid w:val="00DF0967"/>
    <w:rsid w:val="00E003B7"/>
    <w:rsid w:val="00E31438"/>
    <w:rsid w:val="00E32D42"/>
    <w:rsid w:val="00E44569"/>
    <w:rsid w:val="00E46D53"/>
    <w:rsid w:val="00E64B82"/>
    <w:rsid w:val="00E72AA6"/>
    <w:rsid w:val="00E77E1A"/>
    <w:rsid w:val="00E816F5"/>
    <w:rsid w:val="00E879FF"/>
    <w:rsid w:val="00E95A0F"/>
    <w:rsid w:val="00EB07F6"/>
    <w:rsid w:val="00EB4412"/>
    <w:rsid w:val="00EE1D7F"/>
    <w:rsid w:val="00EE7A2F"/>
    <w:rsid w:val="00EF3381"/>
    <w:rsid w:val="00EF50CA"/>
    <w:rsid w:val="00F02EAF"/>
    <w:rsid w:val="00F1550F"/>
    <w:rsid w:val="00F15940"/>
    <w:rsid w:val="00F34BEA"/>
    <w:rsid w:val="00F36652"/>
    <w:rsid w:val="00F37C88"/>
    <w:rsid w:val="00F444A8"/>
    <w:rsid w:val="00F56D69"/>
    <w:rsid w:val="00F916AE"/>
    <w:rsid w:val="00F93D60"/>
    <w:rsid w:val="00F9415B"/>
    <w:rsid w:val="00F96177"/>
    <w:rsid w:val="00FB342E"/>
    <w:rsid w:val="00FB52C5"/>
    <w:rsid w:val="00FB7BBA"/>
    <w:rsid w:val="00FC1677"/>
    <w:rsid w:val="00FD2903"/>
    <w:rsid w:val="00FE1291"/>
    <w:rsid w:val="00FE482B"/>
    <w:rsid w:val="00FE7E6C"/>
    <w:rsid w:val="00FF56AD"/>
    <w:rsid w:val="018D5F51"/>
    <w:rsid w:val="01D76691"/>
    <w:rsid w:val="01EB6FEC"/>
    <w:rsid w:val="01FE5EB7"/>
    <w:rsid w:val="02377743"/>
    <w:rsid w:val="02DB2CF7"/>
    <w:rsid w:val="03204429"/>
    <w:rsid w:val="03DB06FE"/>
    <w:rsid w:val="04B16B62"/>
    <w:rsid w:val="05215177"/>
    <w:rsid w:val="054A5192"/>
    <w:rsid w:val="05BB571F"/>
    <w:rsid w:val="062067C9"/>
    <w:rsid w:val="08497BE8"/>
    <w:rsid w:val="087A37FC"/>
    <w:rsid w:val="08961A5A"/>
    <w:rsid w:val="08A96CC2"/>
    <w:rsid w:val="08F619C1"/>
    <w:rsid w:val="095345F4"/>
    <w:rsid w:val="0A0F44CD"/>
    <w:rsid w:val="0A2F0E4D"/>
    <w:rsid w:val="0AA97A8C"/>
    <w:rsid w:val="0B047D48"/>
    <w:rsid w:val="0B9C5D9B"/>
    <w:rsid w:val="0BA27F6B"/>
    <w:rsid w:val="0C490CC3"/>
    <w:rsid w:val="0C510FA4"/>
    <w:rsid w:val="0C9E5955"/>
    <w:rsid w:val="0D511F69"/>
    <w:rsid w:val="0DC52C23"/>
    <w:rsid w:val="0DC653B7"/>
    <w:rsid w:val="0DF70178"/>
    <w:rsid w:val="0E247DD8"/>
    <w:rsid w:val="0E3C3C0F"/>
    <w:rsid w:val="0E8143FC"/>
    <w:rsid w:val="0EBE477B"/>
    <w:rsid w:val="0F2862EC"/>
    <w:rsid w:val="0FB20713"/>
    <w:rsid w:val="0FE53808"/>
    <w:rsid w:val="117C0D4E"/>
    <w:rsid w:val="11B162FD"/>
    <w:rsid w:val="11BB3DB9"/>
    <w:rsid w:val="11CB222C"/>
    <w:rsid w:val="11D21B30"/>
    <w:rsid w:val="121940A5"/>
    <w:rsid w:val="123B658C"/>
    <w:rsid w:val="12756877"/>
    <w:rsid w:val="12CD4972"/>
    <w:rsid w:val="12FA2A1E"/>
    <w:rsid w:val="12FB08EA"/>
    <w:rsid w:val="13E951B9"/>
    <w:rsid w:val="142741A0"/>
    <w:rsid w:val="144B618F"/>
    <w:rsid w:val="1469754C"/>
    <w:rsid w:val="149C2737"/>
    <w:rsid w:val="14F71E23"/>
    <w:rsid w:val="14FD2EFF"/>
    <w:rsid w:val="15290B88"/>
    <w:rsid w:val="152A1DB0"/>
    <w:rsid w:val="155D4436"/>
    <w:rsid w:val="16002490"/>
    <w:rsid w:val="16457F02"/>
    <w:rsid w:val="16800450"/>
    <w:rsid w:val="169510B8"/>
    <w:rsid w:val="16DD4AF1"/>
    <w:rsid w:val="170A0D35"/>
    <w:rsid w:val="17322FFC"/>
    <w:rsid w:val="174C5C47"/>
    <w:rsid w:val="178D27B4"/>
    <w:rsid w:val="182014A2"/>
    <w:rsid w:val="18294E04"/>
    <w:rsid w:val="1892050E"/>
    <w:rsid w:val="18D80C51"/>
    <w:rsid w:val="18EE0BF6"/>
    <w:rsid w:val="192B2275"/>
    <w:rsid w:val="19854B76"/>
    <w:rsid w:val="198557BA"/>
    <w:rsid w:val="19B17BB1"/>
    <w:rsid w:val="19D84AF5"/>
    <w:rsid w:val="1A0C2276"/>
    <w:rsid w:val="1A287FEA"/>
    <w:rsid w:val="1A542352"/>
    <w:rsid w:val="1A707A6D"/>
    <w:rsid w:val="1A7D6D25"/>
    <w:rsid w:val="1A816486"/>
    <w:rsid w:val="1A893942"/>
    <w:rsid w:val="1A907FA2"/>
    <w:rsid w:val="1AD533CC"/>
    <w:rsid w:val="1B2A72DF"/>
    <w:rsid w:val="1B70123A"/>
    <w:rsid w:val="1BA64FD1"/>
    <w:rsid w:val="1BBC5A18"/>
    <w:rsid w:val="1BC93F0E"/>
    <w:rsid w:val="1BE97487"/>
    <w:rsid w:val="1BF32374"/>
    <w:rsid w:val="1C0776AF"/>
    <w:rsid w:val="1C3E4461"/>
    <w:rsid w:val="1C6357AF"/>
    <w:rsid w:val="1CAC5E2B"/>
    <w:rsid w:val="1CC71CB2"/>
    <w:rsid w:val="1CDF5587"/>
    <w:rsid w:val="1D023468"/>
    <w:rsid w:val="1D795BF8"/>
    <w:rsid w:val="1D941E49"/>
    <w:rsid w:val="1D964AA9"/>
    <w:rsid w:val="1DD036B2"/>
    <w:rsid w:val="1DD4275F"/>
    <w:rsid w:val="1E356AFA"/>
    <w:rsid w:val="1E724912"/>
    <w:rsid w:val="1FC2672F"/>
    <w:rsid w:val="201D0297"/>
    <w:rsid w:val="204A0870"/>
    <w:rsid w:val="20A8121D"/>
    <w:rsid w:val="20C822D8"/>
    <w:rsid w:val="20D643D3"/>
    <w:rsid w:val="22086EAE"/>
    <w:rsid w:val="220D5EC8"/>
    <w:rsid w:val="223431B1"/>
    <w:rsid w:val="22C149FC"/>
    <w:rsid w:val="22F1518B"/>
    <w:rsid w:val="238C25BD"/>
    <w:rsid w:val="24A91031"/>
    <w:rsid w:val="24B96681"/>
    <w:rsid w:val="24BD22AA"/>
    <w:rsid w:val="25152CD3"/>
    <w:rsid w:val="25581AE2"/>
    <w:rsid w:val="25E72FA7"/>
    <w:rsid w:val="260555E3"/>
    <w:rsid w:val="26C402B0"/>
    <w:rsid w:val="26D15FFB"/>
    <w:rsid w:val="273147E4"/>
    <w:rsid w:val="27487015"/>
    <w:rsid w:val="27A84C42"/>
    <w:rsid w:val="28347384"/>
    <w:rsid w:val="287A4275"/>
    <w:rsid w:val="28B70DC9"/>
    <w:rsid w:val="29711978"/>
    <w:rsid w:val="298634AE"/>
    <w:rsid w:val="29A17B31"/>
    <w:rsid w:val="2A4B1A28"/>
    <w:rsid w:val="2A567387"/>
    <w:rsid w:val="2A66542F"/>
    <w:rsid w:val="2B3649F4"/>
    <w:rsid w:val="2B4675FA"/>
    <w:rsid w:val="2BB602C5"/>
    <w:rsid w:val="2BD85FC4"/>
    <w:rsid w:val="2BE937E9"/>
    <w:rsid w:val="2BF50AB4"/>
    <w:rsid w:val="2BFA0E70"/>
    <w:rsid w:val="2CDB7E63"/>
    <w:rsid w:val="2D434FF8"/>
    <w:rsid w:val="2DA05DCE"/>
    <w:rsid w:val="2EC208DF"/>
    <w:rsid w:val="2F223C18"/>
    <w:rsid w:val="2F401A95"/>
    <w:rsid w:val="2F517C68"/>
    <w:rsid w:val="2F854CC7"/>
    <w:rsid w:val="2F9C3AD1"/>
    <w:rsid w:val="2FDD2BC4"/>
    <w:rsid w:val="2FF679D7"/>
    <w:rsid w:val="30653C55"/>
    <w:rsid w:val="307C6D47"/>
    <w:rsid w:val="30B93C1E"/>
    <w:rsid w:val="30C952F8"/>
    <w:rsid w:val="3166520A"/>
    <w:rsid w:val="31A367EC"/>
    <w:rsid w:val="31CF5586"/>
    <w:rsid w:val="320C78A0"/>
    <w:rsid w:val="3232204B"/>
    <w:rsid w:val="323649A0"/>
    <w:rsid w:val="329A0B6A"/>
    <w:rsid w:val="32BF092E"/>
    <w:rsid w:val="32C642E9"/>
    <w:rsid w:val="332573C9"/>
    <w:rsid w:val="338406B7"/>
    <w:rsid w:val="34477241"/>
    <w:rsid w:val="34854AB1"/>
    <w:rsid w:val="34A63F82"/>
    <w:rsid w:val="350A7012"/>
    <w:rsid w:val="35C9034A"/>
    <w:rsid w:val="36003080"/>
    <w:rsid w:val="360161F0"/>
    <w:rsid w:val="36050641"/>
    <w:rsid w:val="36365F0F"/>
    <w:rsid w:val="36920577"/>
    <w:rsid w:val="372651A6"/>
    <w:rsid w:val="375515EF"/>
    <w:rsid w:val="37607611"/>
    <w:rsid w:val="37854D30"/>
    <w:rsid w:val="37A91B2F"/>
    <w:rsid w:val="381E7A1B"/>
    <w:rsid w:val="382265A3"/>
    <w:rsid w:val="386B45BC"/>
    <w:rsid w:val="38B20142"/>
    <w:rsid w:val="39006650"/>
    <w:rsid w:val="39223F50"/>
    <w:rsid w:val="39915230"/>
    <w:rsid w:val="39B533F4"/>
    <w:rsid w:val="3A166DB1"/>
    <w:rsid w:val="3A242CB1"/>
    <w:rsid w:val="3A3D41CD"/>
    <w:rsid w:val="3A637C30"/>
    <w:rsid w:val="3A6464DA"/>
    <w:rsid w:val="3A8D0AE7"/>
    <w:rsid w:val="3AB67D23"/>
    <w:rsid w:val="3B025489"/>
    <w:rsid w:val="3B35691C"/>
    <w:rsid w:val="3B507595"/>
    <w:rsid w:val="3B586E2D"/>
    <w:rsid w:val="3BB83FF4"/>
    <w:rsid w:val="3C691FB2"/>
    <w:rsid w:val="3D2A5959"/>
    <w:rsid w:val="3D3B3330"/>
    <w:rsid w:val="3F857305"/>
    <w:rsid w:val="3F9148EF"/>
    <w:rsid w:val="3F996600"/>
    <w:rsid w:val="3FC26926"/>
    <w:rsid w:val="4071483C"/>
    <w:rsid w:val="40897331"/>
    <w:rsid w:val="40A300AE"/>
    <w:rsid w:val="40DD3147"/>
    <w:rsid w:val="41450ED1"/>
    <w:rsid w:val="419803FF"/>
    <w:rsid w:val="41A75327"/>
    <w:rsid w:val="41DE07D6"/>
    <w:rsid w:val="425932C8"/>
    <w:rsid w:val="42726493"/>
    <w:rsid w:val="434F08E3"/>
    <w:rsid w:val="436469F4"/>
    <w:rsid w:val="44181054"/>
    <w:rsid w:val="44C2436C"/>
    <w:rsid w:val="44D90650"/>
    <w:rsid w:val="45225B34"/>
    <w:rsid w:val="454247FC"/>
    <w:rsid w:val="45C2437E"/>
    <w:rsid w:val="464740FB"/>
    <w:rsid w:val="46945BA3"/>
    <w:rsid w:val="469C1860"/>
    <w:rsid w:val="46EB55F0"/>
    <w:rsid w:val="47194283"/>
    <w:rsid w:val="475F6725"/>
    <w:rsid w:val="48100387"/>
    <w:rsid w:val="486C54E8"/>
    <w:rsid w:val="48837CE0"/>
    <w:rsid w:val="489F1960"/>
    <w:rsid w:val="48A26DA2"/>
    <w:rsid w:val="48A8042C"/>
    <w:rsid w:val="492F3120"/>
    <w:rsid w:val="4A646C71"/>
    <w:rsid w:val="4A974BFD"/>
    <w:rsid w:val="4AB7027F"/>
    <w:rsid w:val="4AC53274"/>
    <w:rsid w:val="4B23478E"/>
    <w:rsid w:val="4B353D3D"/>
    <w:rsid w:val="4B3D2C38"/>
    <w:rsid w:val="4B9A6CD9"/>
    <w:rsid w:val="4BCC0D7F"/>
    <w:rsid w:val="4C550775"/>
    <w:rsid w:val="4CC42E4B"/>
    <w:rsid w:val="4DA84AC9"/>
    <w:rsid w:val="4E006899"/>
    <w:rsid w:val="4E411F26"/>
    <w:rsid w:val="4E4604CC"/>
    <w:rsid w:val="4E6B607B"/>
    <w:rsid w:val="4E700033"/>
    <w:rsid w:val="4E712B50"/>
    <w:rsid w:val="4E7E67D5"/>
    <w:rsid w:val="4EE704C2"/>
    <w:rsid w:val="4F6E3CC3"/>
    <w:rsid w:val="4FAC2EBB"/>
    <w:rsid w:val="500E49CD"/>
    <w:rsid w:val="500F1CD5"/>
    <w:rsid w:val="5019557F"/>
    <w:rsid w:val="506B6199"/>
    <w:rsid w:val="50FA2C7C"/>
    <w:rsid w:val="511D25A1"/>
    <w:rsid w:val="51713776"/>
    <w:rsid w:val="51A36407"/>
    <w:rsid w:val="51C86B56"/>
    <w:rsid w:val="51D60B75"/>
    <w:rsid w:val="51D91B25"/>
    <w:rsid w:val="51FA42D4"/>
    <w:rsid w:val="5202225E"/>
    <w:rsid w:val="522A5C96"/>
    <w:rsid w:val="5286182F"/>
    <w:rsid w:val="52C77658"/>
    <w:rsid w:val="531700D4"/>
    <w:rsid w:val="53252219"/>
    <w:rsid w:val="53B84021"/>
    <w:rsid w:val="53BF0718"/>
    <w:rsid w:val="541B571E"/>
    <w:rsid w:val="542D096E"/>
    <w:rsid w:val="56306E56"/>
    <w:rsid w:val="56444969"/>
    <w:rsid w:val="56EF513F"/>
    <w:rsid w:val="57C82F28"/>
    <w:rsid w:val="57F70DED"/>
    <w:rsid w:val="58083A83"/>
    <w:rsid w:val="581B10FA"/>
    <w:rsid w:val="582156EE"/>
    <w:rsid w:val="58427747"/>
    <w:rsid w:val="584369EC"/>
    <w:rsid w:val="58BB4CDB"/>
    <w:rsid w:val="58F96B51"/>
    <w:rsid w:val="59185B61"/>
    <w:rsid w:val="596A4423"/>
    <w:rsid w:val="59AD702D"/>
    <w:rsid w:val="59D14CC4"/>
    <w:rsid w:val="59E7688C"/>
    <w:rsid w:val="59FF73A2"/>
    <w:rsid w:val="5A945937"/>
    <w:rsid w:val="5AA340C2"/>
    <w:rsid w:val="5AB6501F"/>
    <w:rsid w:val="5B9E1D5B"/>
    <w:rsid w:val="5BA64252"/>
    <w:rsid w:val="5BCB323C"/>
    <w:rsid w:val="5C7344DB"/>
    <w:rsid w:val="5D7F7D07"/>
    <w:rsid w:val="5DC63A4E"/>
    <w:rsid w:val="5DED53D1"/>
    <w:rsid w:val="5E063E78"/>
    <w:rsid w:val="5E1B7959"/>
    <w:rsid w:val="5EAD142E"/>
    <w:rsid w:val="5F3F3BFD"/>
    <w:rsid w:val="5F7071A8"/>
    <w:rsid w:val="5FF330F1"/>
    <w:rsid w:val="60F20BC5"/>
    <w:rsid w:val="610C5CC5"/>
    <w:rsid w:val="613053AA"/>
    <w:rsid w:val="6162645C"/>
    <w:rsid w:val="61A7112B"/>
    <w:rsid w:val="61F1030C"/>
    <w:rsid w:val="6210426E"/>
    <w:rsid w:val="625C0D00"/>
    <w:rsid w:val="62832265"/>
    <w:rsid w:val="62B00797"/>
    <w:rsid w:val="62CA41E4"/>
    <w:rsid w:val="63216D47"/>
    <w:rsid w:val="63510BEE"/>
    <w:rsid w:val="638119A8"/>
    <w:rsid w:val="642D51FD"/>
    <w:rsid w:val="642E3652"/>
    <w:rsid w:val="644E4B1D"/>
    <w:rsid w:val="64651B49"/>
    <w:rsid w:val="65107CC1"/>
    <w:rsid w:val="651D3A26"/>
    <w:rsid w:val="652C5EC9"/>
    <w:rsid w:val="65353764"/>
    <w:rsid w:val="65630C3D"/>
    <w:rsid w:val="656477F9"/>
    <w:rsid w:val="657C7424"/>
    <w:rsid w:val="65EC5F0A"/>
    <w:rsid w:val="665B546D"/>
    <w:rsid w:val="6666090E"/>
    <w:rsid w:val="66EC4D96"/>
    <w:rsid w:val="6736101B"/>
    <w:rsid w:val="675B739B"/>
    <w:rsid w:val="678C7FB4"/>
    <w:rsid w:val="67987A7C"/>
    <w:rsid w:val="68281E82"/>
    <w:rsid w:val="68370CCC"/>
    <w:rsid w:val="684D7DEF"/>
    <w:rsid w:val="69205264"/>
    <w:rsid w:val="695217DC"/>
    <w:rsid w:val="69C37032"/>
    <w:rsid w:val="6A6F13E3"/>
    <w:rsid w:val="6AF542A4"/>
    <w:rsid w:val="6B832B04"/>
    <w:rsid w:val="6BB35FD3"/>
    <w:rsid w:val="6BD916EE"/>
    <w:rsid w:val="6C194573"/>
    <w:rsid w:val="6CCA1A7F"/>
    <w:rsid w:val="6DD805CD"/>
    <w:rsid w:val="6E035291"/>
    <w:rsid w:val="6E1206A4"/>
    <w:rsid w:val="6E306FE2"/>
    <w:rsid w:val="6E5A3D7E"/>
    <w:rsid w:val="6EBA7775"/>
    <w:rsid w:val="6F795870"/>
    <w:rsid w:val="6F992C36"/>
    <w:rsid w:val="703933A1"/>
    <w:rsid w:val="704E185C"/>
    <w:rsid w:val="70AA0758"/>
    <w:rsid w:val="70B61502"/>
    <w:rsid w:val="70CE17C7"/>
    <w:rsid w:val="70E575E5"/>
    <w:rsid w:val="70F5166C"/>
    <w:rsid w:val="712B74F8"/>
    <w:rsid w:val="715C11EA"/>
    <w:rsid w:val="716176FB"/>
    <w:rsid w:val="719D02BE"/>
    <w:rsid w:val="71BE45D9"/>
    <w:rsid w:val="71EF5ACB"/>
    <w:rsid w:val="723B233B"/>
    <w:rsid w:val="724F5D5C"/>
    <w:rsid w:val="72560D51"/>
    <w:rsid w:val="7256226D"/>
    <w:rsid w:val="728E0A16"/>
    <w:rsid w:val="729371FE"/>
    <w:rsid w:val="72E929DE"/>
    <w:rsid w:val="72EF2B1D"/>
    <w:rsid w:val="734664DC"/>
    <w:rsid w:val="738D015F"/>
    <w:rsid w:val="745751F5"/>
    <w:rsid w:val="74892FD1"/>
    <w:rsid w:val="74FB18F9"/>
    <w:rsid w:val="751B2B76"/>
    <w:rsid w:val="75616560"/>
    <w:rsid w:val="75F80517"/>
    <w:rsid w:val="75F95482"/>
    <w:rsid w:val="7633094E"/>
    <w:rsid w:val="763D3893"/>
    <w:rsid w:val="766248A9"/>
    <w:rsid w:val="76C57715"/>
    <w:rsid w:val="76D0751B"/>
    <w:rsid w:val="76E27EE7"/>
    <w:rsid w:val="76E6192C"/>
    <w:rsid w:val="771479EA"/>
    <w:rsid w:val="771C35A1"/>
    <w:rsid w:val="77A03719"/>
    <w:rsid w:val="78280CD8"/>
    <w:rsid w:val="78547476"/>
    <w:rsid w:val="78A4259B"/>
    <w:rsid w:val="78BD34B1"/>
    <w:rsid w:val="78C31CAF"/>
    <w:rsid w:val="78CE6E70"/>
    <w:rsid w:val="795B3486"/>
    <w:rsid w:val="79E45FD6"/>
    <w:rsid w:val="7A7B389C"/>
    <w:rsid w:val="7A7C1996"/>
    <w:rsid w:val="7AD0105B"/>
    <w:rsid w:val="7AF64073"/>
    <w:rsid w:val="7AF92581"/>
    <w:rsid w:val="7B044A15"/>
    <w:rsid w:val="7B170E00"/>
    <w:rsid w:val="7B3057E8"/>
    <w:rsid w:val="7C157916"/>
    <w:rsid w:val="7C4B2499"/>
    <w:rsid w:val="7C691A6C"/>
    <w:rsid w:val="7C721F5F"/>
    <w:rsid w:val="7C7D36C4"/>
    <w:rsid w:val="7DAD733C"/>
    <w:rsid w:val="7E431677"/>
    <w:rsid w:val="7E5572E2"/>
    <w:rsid w:val="7E871182"/>
    <w:rsid w:val="7E9D3347"/>
    <w:rsid w:val="7ED67996"/>
    <w:rsid w:val="7EFE58EB"/>
    <w:rsid w:val="7F116F65"/>
    <w:rsid w:val="7F516160"/>
    <w:rsid w:val="7FD45F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3">
    <w:name w:val="Default Paragraph Font"/>
    <w:unhideWhenUsed/>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Indent"/>
    <w:basedOn w:val="1"/>
    <w:unhideWhenUsed/>
    <w:qFormat/>
    <w:uiPriority w:val="0"/>
    <w:pPr>
      <w:ind w:firstLine="630"/>
    </w:pPr>
    <w:rPr>
      <w:kern w:val="0"/>
      <w:sz w:val="24"/>
    </w:rPr>
  </w:style>
  <w:style w:type="paragraph" w:styleId="7">
    <w:name w:val="Body Text Indent 2"/>
    <w:basedOn w:val="1"/>
    <w:unhideWhenUsed/>
    <w:qFormat/>
    <w:uiPriority w:val="0"/>
    <w:pPr>
      <w:ind w:firstLine="600"/>
    </w:pPr>
    <w:rPr>
      <w:kern w:val="0"/>
      <w:sz w:val="24"/>
    </w:rPr>
  </w:style>
  <w:style w:type="paragraph" w:styleId="8">
    <w:name w:val="Balloon Text"/>
    <w:basedOn w:val="1"/>
    <w:semiHidden/>
    <w:qFormat/>
    <w:uiPriority w:val="0"/>
    <w:rPr>
      <w:sz w:val="18"/>
      <w:szCs w:val="18"/>
    </w:rPr>
  </w:style>
  <w:style w:type="paragraph" w:styleId="9">
    <w:name w:val="footer"/>
    <w:basedOn w:val="1"/>
    <w:unhideWhenUsed/>
    <w:qFormat/>
    <w:uiPriority w:val="0"/>
    <w:pPr>
      <w:tabs>
        <w:tab w:val="center" w:pos="4153"/>
        <w:tab w:val="right" w:pos="8306"/>
      </w:tabs>
      <w:snapToGrid w:val="0"/>
      <w:jc w:val="left"/>
    </w:pPr>
    <w:rPr>
      <w:sz w:val="18"/>
      <w:szCs w:val="20"/>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2">
    <w:name w:val="Table Grid"/>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annotation reference"/>
    <w:qFormat/>
    <w:uiPriority w:val="0"/>
    <w:rPr>
      <w:sz w:val="21"/>
      <w:szCs w:val="21"/>
    </w:rPr>
  </w:style>
  <w:style w:type="paragraph" w:customStyle="1" w:styleId="15">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16">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w:type="paragraph" w:customStyle="1" w:styleId="17">
    <w:name w:val="p0"/>
    <w:basedOn w:val="1"/>
    <w:qFormat/>
    <w:uiPriority w:val="0"/>
    <w:pPr>
      <w:widowControl/>
    </w:pPr>
    <w:rPr>
      <w:kern w:val="0"/>
      <w:szCs w:val="21"/>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9">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character" w:customStyle="1" w:styleId="20">
    <w:name w:val="font11"/>
    <w:qFormat/>
    <w:uiPriority w:val="0"/>
    <w:rPr>
      <w:rFonts w:hint="default" w:ascii="微软简仿宋" w:hAnsi="微软简仿宋" w:eastAsia="微软简仿宋" w:cs="微软简仿宋"/>
      <w:color w:val="000000"/>
      <w:sz w:val="24"/>
      <w:szCs w:val="24"/>
      <w:u w:val="none"/>
    </w:rPr>
  </w:style>
  <w:style w:type="character" w:customStyle="1" w:styleId="21">
    <w:name w:val="font01"/>
    <w:qFormat/>
    <w:uiPriority w:val="0"/>
    <w:rPr>
      <w:rFonts w:hint="default" w:ascii="Times New Roman" w:hAnsi="Times New Roman" w:cs="Times New Roman"/>
      <w:color w:val="000000"/>
      <w:sz w:val="24"/>
      <w:szCs w:val="24"/>
      <w:u w:val="none"/>
    </w:rPr>
  </w:style>
  <w:style w:type="character" w:customStyle="1" w:styleId="22">
    <w:name w:val="font51"/>
    <w:qFormat/>
    <w:uiPriority w:val="0"/>
    <w:rPr>
      <w:rFonts w:hint="default" w:ascii="Times New Roman" w:hAnsi="Times New Roman" w:cs="Times New Roman"/>
      <w:color w:val="000000"/>
      <w:sz w:val="24"/>
      <w:szCs w:val="24"/>
      <w:u w:val="none"/>
    </w:rPr>
  </w:style>
  <w:style w:type="character" w:customStyle="1" w:styleId="23">
    <w:name w:val="font81"/>
    <w:qFormat/>
    <w:uiPriority w:val="0"/>
    <w:rPr>
      <w:rFonts w:hint="default" w:ascii="微软简仿宋" w:hAnsi="微软简仿宋" w:eastAsia="微软简仿宋" w:cs="微软简仿宋"/>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2815</Words>
  <Characters>16046</Characters>
  <Lines>133</Lines>
  <Paragraphs>37</Paragraphs>
  <TotalTime>15</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2023-04-10T05:48:00Z</dcterms:created>
  <dc:creator>ylh</dc:creator>
  <cp:keywords>新版;23-4</cp:keywords>
  <cp:lastModifiedBy>马宁</cp:lastModifiedBy>
  <dcterms:modified xsi:type="dcterms:W3CDTF">2024-06-28T05:38:59Z</dcterms:modified>
  <dc:title>华夏理财龙盈固定收益类专属</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F665AB604087427AB68C2D237E20ECB1</vt:lpwstr>
  </property>
</Properties>
</file>