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华夏理财龙盈百岁人生固定收益类</w:t>
      </w:r>
      <w:r>
        <w:rPr>
          <w:rFonts w:hint="eastAsia" w:eastAsia="黑体"/>
          <w:bCs/>
          <w:sz w:val="36"/>
          <w:szCs w:val="36"/>
        </w:rPr>
        <w:t>G款</w:t>
      </w:r>
      <w:r>
        <w:rPr>
          <w:rFonts w:hint="eastAsia" w:eastAsia="黑体"/>
          <w:bCs/>
          <w:sz w:val="36"/>
          <w:szCs w:val="36"/>
          <w:lang w:val="en-US" w:eastAsia="zh-CN"/>
        </w:rPr>
        <w:t>6</w:t>
      </w:r>
      <w:r>
        <w:rPr>
          <w:rFonts w:hint="eastAsia" w:eastAsia="黑体"/>
          <w:bCs/>
          <w:sz w:val="36"/>
          <w:szCs w:val="36"/>
        </w:rPr>
        <w:t>号</w:t>
      </w:r>
      <w:r>
        <w:rPr>
          <w:rFonts w:hint="eastAsia" w:eastAsia="黑体"/>
          <w:bCs/>
          <w:sz w:val="36"/>
          <w:szCs w:val="36"/>
          <w:lang w:val="en-US" w:eastAsia="zh-CN"/>
        </w:rPr>
        <w:t>两</w:t>
      </w:r>
      <w:r>
        <w:rPr>
          <w:rFonts w:hint="eastAsia" w:eastAsia="黑体"/>
          <w:bCs/>
          <w:sz w:val="36"/>
          <w:szCs w:val="36"/>
        </w:rPr>
        <w:t>年定开（目标202</w:t>
      </w:r>
      <w:r>
        <w:rPr>
          <w:rFonts w:hint="eastAsia" w:eastAsia="黑体"/>
          <w:bCs/>
          <w:sz w:val="36"/>
          <w:szCs w:val="36"/>
          <w:lang w:val="en-US" w:eastAsia="zh-CN"/>
        </w:rPr>
        <w:t>6</w:t>
      </w:r>
      <w:r>
        <w:rPr>
          <w:rFonts w:hint="eastAsia" w:eastAsia="黑体"/>
          <w:bCs/>
          <w:sz w:val="36"/>
          <w:szCs w:val="36"/>
        </w:rPr>
        <w:t>）理财产品</w:t>
      </w:r>
      <w:r>
        <w:rPr>
          <w:rFonts w:hint="eastAsia" w:eastAsia="黑体"/>
          <w:bCs/>
          <w:kern w:val="2"/>
          <w:sz w:val="36"/>
          <w:szCs w:val="36"/>
        </w:rPr>
        <w:t>说明书</w:t>
      </w:r>
    </w:p>
    <w:tbl>
      <w:tblPr>
        <w:tblStyle w:val="12"/>
        <w:tblpPr w:leftFromText="180" w:rightFromText="180" w:vertAnchor="page" w:horzAnchor="page" w:tblpX="1780" w:tblpY="2349"/>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华夏理财龙盈百岁人生固定收益类G款</w:t>
            </w:r>
            <w:r>
              <w:rPr>
                <w:rFonts w:hint="eastAsia" w:ascii="仿宋" w:hAnsi="仿宋" w:eastAsia="仿宋"/>
                <w:b/>
                <w:bCs/>
                <w:szCs w:val="21"/>
                <w:lang w:val="en-US" w:eastAsia="zh-CN"/>
              </w:rPr>
              <w:t>6</w:t>
            </w:r>
            <w:r>
              <w:rPr>
                <w:rFonts w:hint="eastAsia" w:ascii="仿宋" w:hAnsi="仿宋" w:eastAsia="仿宋"/>
                <w:b/>
                <w:bCs/>
                <w:szCs w:val="21"/>
              </w:rPr>
              <w:t>号两年定开（目标2026）理财产品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简称：“龙盈百岁人生固收G款</w:t>
            </w:r>
            <w:r>
              <w:rPr>
                <w:rFonts w:hint="eastAsia" w:ascii="仿宋" w:hAnsi="仿宋" w:eastAsia="仿宋"/>
                <w:b/>
                <w:bCs/>
                <w:szCs w:val="21"/>
                <w:lang w:val="en-US" w:eastAsia="zh-CN"/>
              </w:rPr>
              <w:t>6</w:t>
            </w:r>
            <w:r>
              <w:rPr>
                <w:rFonts w:hint="eastAsia" w:ascii="仿宋" w:hAnsi="仿宋" w:eastAsia="仿宋"/>
                <w:b/>
                <w:bCs/>
                <w:szCs w:val="21"/>
              </w:rPr>
              <w:t>号（两年定开-目标2026）”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eastAsia="zh-CN"/>
              </w:rPr>
            </w:pPr>
            <w:r>
              <w:rPr>
                <w:rFonts w:hint="eastAsia" w:ascii="仿宋" w:hAnsi="仿宋" w:eastAsia="仿宋"/>
                <w:bCs/>
                <w:szCs w:val="21"/>
              </w:rPr>
              <w:t>20821210050</w:t>
            </w:r>
            <w:r>
              <w:rPr>
                <w:rFonts w:hint="eastAsia" w:ascii="仿宋" w:hAnsi="仿宋" w:eastAsia="仿宋"/>
                <w:bCs/>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eastAsia="zh-CN"/>
              </w:rPr>
            </w:pPr>
            <w:r>
              <w:rPr>
                <w:rFonts w:hint="eastAsia" w:ascii="仿宋" w:hAnsi="仿宋" w:eastAsia="仿宋"/>
                <w:bCs/>
                <w:szCs w:val="21"/>
              </w:rPr>
              <w:t>Z7003921000</w:t>
            </w:r>
            <w:r>
              <w:rPr>
                <w:rFonts w:hint="eastAsia" w:ascii="仿宋" w:hAnsi="仿宋" w:eastAsia="仿宋"/>
                <w:bCs/>
                <w:szCs w:val="21"/>
                <w:lang w:val="en-US" w:eastAsia="zh-CN"/>
              </w:rPr>
              <w:t>549</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lang w:val="en-US" w:eastAsia="zh-CN"/>
              </w:rPr>
              <w:t>-4.00%</w:t>
            </w:r>
            <w:r>
              <w:rPr>
                <w:rFonts w:hint="eastAsia" w:ascii="仿宋" w:hAnsi="仿宋" w:eastAsia="仿宋" w:cs="Cambria"/>
                <w:bCs/>
                <w:szCs w:val="21"/>
              </w:rPr>
              <w:t>（年化）。</w:t>
            </w:r>
            <w:r>
              <w:rPr>
                <w:rFonts w:hint="eastAsia" w:ascii="仿宋" w:hAnsi="仿宋" w:eastAsia="仿宋" w:cs="Times New Roman"/>
                <w:bCs/>
                <w:szCs w:val="21"/>
              </w:rPr>
              <w:t>以产品投资债券类资产仓位60%-100%，</w:t>
            </w:r>
            <w:r>
              <w:rPr>
                <w:rFonts w:hint="eastAsia" w:ascii="仿宋" w:hAnsi="仿宋" w:eastAsia="仿宋" w:cs="Times New Roman"/>
                <w:bCs/>
                <w:szCs w:val="21"/>
                <w:lang w:val="en-US" w:eastAsia="zh-CN"/>
              </w:rPr>
              <w:t>收益凭证及其他</w:t>
            </w:r>
            <w:r>
              <w:rPr>
                <w:rFonts w:hint="eastAsia" w:ascii="仿宋" w:hAnsi="仿宋" w:eastAsia="仿宋" w:cs="Times New Roman"/>
                <w:bCs/>
                <w:szCs w:val="21"/>
              </w:rPr>
              <w:t>非标债权类资产仓位0-4</w:t>
            </w:r>
            <w:r>
              <w:rPr>
                <w:rFonts w:hint="eastAsia" w:ascii="仿宋" w:hAnsi="仿宋" w:eastAsia="仿宋" w:cs="Times New Roman"/>
                <w:bCs/>
                <w:szCs w:val="21"/>
                <w:lang w:val="en-US" w:eastAsia="zh-CN"/>
              </w:rPr>
              <w:t>5</w:t>
            </w:r>
            <w:r>
              <w:rPr>
                <w:rFonts w:hint="eastAsia" w:ascii="仿宋" w:hAnsi="仿宋" w:eastAsia="仿宋" w:cs="Times New Roman"/>
                <w:bCs/>
                <w:szCs w:val="21"/>
              </w:rPr>
              <w:t>%，权益类资产仓位0%-</w:t>
            </w:r>
            <w:r>
              <w:rPr>
                <w:rFonts w:hint="eastAsia" w:ascii="仿宋" w:hAnsi="仿宋" w:eastAsia="仿宋" w:cs="Times New Roman"/>
                <w:bCs/>
                <w:szCs w:val="21"/>
                <w:lang w:val="en-US" w:eastAsia="zh-CN"/>
              </w:rPr>
              <w:t>15</w:t>
            </w:r>
            <w:r>
              <w:rPr>
                <w:rFonts w:hint="eastAsia" w:ascii="仿宋" w:hAnsi="仿宋" w:eastAsia="仿宋" w:cs="Times New Roman"/>
                <w:bCs/>
                <w:szCs w:val="21"/>
              </w:rPr>
              <w:t>%，组合杠杆率110%-1</w:t>
            </w:r>
            <w:r>
              <w:rPr>
                <w:rFonts w:hint="eastAsia" w:ascii="仿宋" w:hAnsi="仿宋" w:eastAsia="仿宋" w:cs="Times New Roman"/>
                <w:bCs/>
                <w:szCs w:val="21"/>
                <w:lang w:val="en-US" w:eastAsia="zh-CN"/>
              </w:rPr>
              <w:t>4</w:t>
            </w:r>
            <w:r>
              <w:rPr>
                <w:rFonts w:hint="eastAsia" w:ascii="仿宋" w:hAnsi="仿宋" w:eastAsia="仿宋" w:cs="Times New Roman"/>
                <w:bCs/>
                <w:szCs w:val="21"/>
              </w:rPr>
              <w:t>0%为例，参考中债-信用债总财富指数、Wind混合型基金总指数、非标债权类资产目标收益率</w:t>
            </w:r>
            <w:r>
              <w:rPr>
                <w:rFonts w:hint="eastAsia" w:ascii="仿宋" w:hAnsi="仿宋" w:eastAsia="仿宋" w:cs="Times New Roman"/>
                <w:bCs/>
                <w:szCs w:val="21"/>
                <w:lang w:val="en-US" w:eastAsia="zh-CN"/>
              </w:rPr>
              <w:t>以及收益凭证的收益特征</w:t>
            </w:r>
            <w:r>
              <w:rPr>
                <w:rFonts w:hint="eastAsia" w:ascii="仿宋" w:hAnsi="仿宋" w:eastAsia="仿宋" w:cs="Times New Roman"/>
                <w:bCs/>
                <w:szCs w:val="21"/>
              </w:rPr>
              <w:t>，结合产品投资策略并扣除各项费用后，</w:t>
            </w:r>
            <w:r>
              <w:rPr>
                <w:rFonts w:hint="eastAsia" w:ascii="仿宋" w:hAnsi="仿宋" w:eastAsia="仿宋" w:cs="Cambria"/>
                <w:bCs/>
                <w:szCs w:val="21"/>
              </w:rPr>
              <w:t>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06月16</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22日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23</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2026</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23</w:t>
            </w:r>
            <w:r>
              <w:rPr>
                <w:rFonts w:ascii="仿宋" w:hAnsi="仿宋" w:eastAsia="仿宋"/>
                <w:bCs/>
                <w:szCs w:val="21"/>
              </w:rPr>
              <w:t>日</w:t>
            </w:r>
            <w:r>
              <w:rPr>
                <w:rFonts w:hint="eastAsia" w:ascii="仿宋" w:hAnsi="仿宋" w:eastAsia="仿宋"/>
                <w:bCs/>
                <w:szCs w:val="21"/>
              </w:rPr>
              <w:t>理财产品正常到期。如理财产品因故提前或延迟到期的，则终止日以华夏理财发布的公告为准。（</w:t>
            </w:r>
            <w:r>
              <w:rPr>
                <w:rFonts w:hint="eastAsia" w:ascii="仿宋" w:hAnsi="仿宋" w:eastAsia="仿宋"/>
                <w:bCs/>
                <w:color w:val="000000"/>
                <w:szCs w:val="21"/>
              </w:rPr>
              <w:t>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5,</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开放期/开放日为产品成立后2022年06月23日（含）、2024年06月24日（含）起连续五个工作日开放，开放期/开放日如遇非工作日则顺延至下一个工作日。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val="en-US" w:eastAsia="zh-CN"/>
              </w:rPr>
              <w:t>3</w:t>
            </w:r>
            <w:r>
              <w:rPr>
                <w:rFonts w:ascii="仿宋" w:hAnsi="仿宋" w:eastAsia="仿宋"/>
                <w:b/>
                <w:bCs w:val="0"/>
                <w:szCs w:val="21"/>
              </w:rPr>
              <w:t>.</w:t>
            </w:r>
            <w:r>
              <w:rPr>
                <w:rFonts w:hint="eastAsia" w:ascii="仿宋" w:hAnsi="仿宋" w:eastAsia="仿宋"/>
                <w:b/>
                <w:bCs w:val="0"/>
                <w:szCs w:val="21"/>
                <w:lang w:val="en-US" w:eastAsia="zh-CN"/>
              </w:rPr>
              <w:t>75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w:t>
            </w:r>
            <w:r>
              <w:rPr>
                <w:rFonts w:ascii="仿宋" w:hAnsi="仿宋" w:eastAsia="仿宋"/>
                <w:b/>
                <w:bCs w:val="0"/>
                <w:szCs w:val="21"/>
              </w:rPr>
              <w:t>50%</w:t>
            </w:r>
            <w:r>
              <w:rPr>
                <w:rFonts w:hint="eastAsia" w:ascii="仿宋" w:hAnsi="仿宋" w:eastAsia="仿宋"/>
                <w:b/>
                <w:bCs w:val="0"/>
                <w:szCs w:val="21"/>
              </w:rPr>
              <w:t>×产品份额×上期单位净值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9"/>
        <w:snapToGrid w:val="0"/>
        <w:spacing w:after="156" w:afterLines="50" w:line="400" w:lineRule="exact"/>
        <w:ind w:firstLine="482" w:firstLineChars="200"/>
        <w:jc w:val="both"/>
        <w:rPr>
          <w:rFonts w:ascii="Times New Roman" w:eastAsia="黑体" w:cs="Times New Roman"/>
          <w:b/>
          <w:color w:val="auto"/>
        </w:rPr>
      </w:pP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本理财产品投资策略为根据对应养老目标日期的资产配置下滑曲线确定权益仓位，在不同大类资产中进行资产配置和分散投资。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本理财产品将主要投资于固定收益类资产、权益类资产</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rPr>
        <w:t>其中固定收益类包括但不限于货币市场工具、标准化债权类资产、非标准化债权类资产等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r>
        <w:rPr>
          <w:rFonts w:hint="eastAsia" w:ascii="仿宋" w:hAnsi="仿宋" w:eastAsia="仿宋" w:cs="宋体"/>
          <w:color w:val="000000"/>
          <w:kern w:val="0"/>
          <w:sz w:val="24"/>
          <w:lang w:eastAsia="zh-CN"/>
        </w:rPr>
        <w:t>。</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val="0"/>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2"/>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0" w:firstLineChars="0"/>
        <w:contextualSpacing/>
        <w:jc w:val="left"/>
        <w:rPr>
          <w:rFonts w:ascii="仿宋" w:hAnsi="仿宋" w:eastAsia="仿宋" w:cs="宋体"/>
          <w:color w:val="000000"/>
          <w:kern w:val="0"/>
          <w:sz w:val="24"/>
        </w:rPr>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9"/>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本理财产品所投资的货币市场工具、标准化债权类资产、非标准化债权类资产</w:t>
      </w:r>
      <w:r>
        <w:rPr>
          <w:rFonts w:hint="eastAsia" w:ascii="仿宋" w:hAnsi="仿宋" w:eastAsia="仿宋"/>
          <w:lang w:eastAsia="zh-CN"/>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9"/>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9"/>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9"/>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9"/>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9"/>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9"/>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9"/>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9"/>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9"/>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9"/>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9"/>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9"/>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9"/>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9"/>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hAnsi="Times New Roman" w:eastAsia="黑体" w:cs="Times New Roman"/>
          <w:b/>
          <w:kern w:val="0"/>
          <w:sz w:val="24"/>
          <w:szCs w:val="24"/>
        </w:rPr>
        <w:t xml:space="preserve"> </w:t>
      </w:r>
    </w:p>
    <w:p>
      <w:pPr>
        <w:pStyle w:val="19"/>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9"/>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9"/>
        <w:snapToGrid w:val="0"/>
        <w:spacing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9"/>
        <w:snapToGrid w:val="0"/>
        <w:spacing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8.投资于公募基金、信托计划、资产管理计划等资产管理产品的可能风险：由于管理人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 xml:space="preserve">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 </w:t>
      </w:r>
    </w:p>
    <w:p>
      <w:pPr>
        <w:pStyle w:val="19"/>
        <w:snapToGrid w:val="0"/>
        <w:spacing w:line="276" w:lineRule="auto"/>
        <w:ind w:firstLine="0" w:firstLineChars="0"/>
        <w:contextualSpacing/>
        <w:jc w:val="both"/>
        <w:rPr>
          <w:rFonts w:ascii="Times New Roman" w:eastAsia="黑体" w:cs="Times New Roman"/>
          <w:b/>
          <w:color w:val="auto"/>
        </w:rPr>
      </w:pP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000F"/>
    <w:rsid w:val="000072BB"/>
    <w:rsid w:val="0001408C"/>
    <w:rsid w:val="00020F81"/>
    <w:rsid w:val="0004485A"/>
    <w:rsid w:val="00044B7F"/>
    <w:rsid w:val="0004783E"/>
    <w:rsid w:val="0006081B"/>
    <w:rsid w:val="00063561"/>
    <w:rsid w:val="000713E1"/>
    <w:rsid w:val="00074C61"/>
    <w:rsid w:val="000805E4"/>
    <w:rsid w:val="00085777"/>
    <w:rsid w:val="00092E28"/>
    <w:rsid w:val="000932F8"/>
    <w:rsid w:val="000950EC"/>
    <w:rsid w:val="000973A7"/>
    <w:rsid w:val="000A2EE9"/>
    <w:rsid w:val="000A3C07"/>
    <w:rsid w:val="000B2154"/>
    <w:rsid w:val="000B32CF"/>
    <w:rsid w:val="000D002A"/>
    <w:rsid w:val="000D7DE2"/>
    <w:rsid w:val="000E195A"/>
    <w:rsid w:val="00111BDB"/>
    <w:rsid w:val="0011683A"/>
    <w:rsid w:val="001260F4"/>
    <w:rsid w:val="001318D7"/>
    <w:rsid w:val="001322B8"/>
    <w:rsid w:val="00141481"/>
    <w:rsid w:val="001423F3"/>
    <w:rsid w:val="00142652"/>
    <w:rsid w:val="00145010"/>
    <w:rsid w:val="00146323"/>
    <w:rsid w:val="00167A6E"/>
    <w:rsid w:val="00170760"/>
    <w:rsid w:val="00172A27"/>
    <w:rsid w:val="001861EC"/>
    <w:rsid w:val="00192AD3"/>
    <w:rsid w:val="00192B20"/>
    <w:rsid w:val="0019771D"/>
    <w:rsid w:val="001A0DF1"/>
    <w:rsid w:val="001A3041"/>
    <w:rsid w:val="001A3E84"/>
    <w:rsid w:val="001B007A"/>
    <w:rsid w:val="001B29E5"/>
    <w:rsid w:val="001B2C46"/>
    <w:rsid w:val="001B7208"/>
    <w:rsid w:val="001D5895"/>
    <w:rsid w:val="001E4307"/>
    <w:rsid w:val="001F21AD"/>
    <w:rsid w:val="001F4C9F"/>
    <w:rsid w:val="00203B96"/>
    <w:rsid w:val="00214B23"/>
    <w:rsid w:val="00216CAD"/>
    <w:rsid w:val="00220E75"/>
    <w:rsid w:val="00230B93"/>
    <w:rsid w:val="002473CD"/>
    <w:rsid w:val="00257511"/>
    <w:rsid w:val="00260FED"/>
    <w:rsid w:val="00265998"/>
    <w:rsid w:val="00277CAB"/>
    <w:rsid w:val="00282724"/>
    <w:rsid w:val="00293AA7"/>
    <w:rsid w:val="00294355"/>
    <w:rsid w:val="002A2967"/>
    <w:rsid w:val="002A2FEF"/>
    <w:rsid w:val="002C7F16"/>
    <w:rsid w:val="002E5919"/>
    <w:rsid w:val="002E7F9D"/>
    <w:rsid w:val="00311DBF"/>
    <w:rsid w:val="00311EF5"/>
    <w:rsid w:val="00321621"/>
    <w:rsid w:val="00321FAD"/>
    <w:rsid w:val="003248AF"/>
    <w:rsid w:val="00351C38"/>
    <w:rsid w:val="003522B1"/>
    <w:rsid w:val="00362E0F"/>
    <w:rsid w:val="00365E5C"/>
    <w:rsid w:val="00367563"/>
    <w:rsid w:val="00375CE6"/>
    <w:rsid w:val="0038373F"/>
    <w:rsid w:val="0038767A"/>
    <w:rsid w:val="003923B3"/>
    <w:rsid w:val="003936A9"/>
    <w:rsid w:val="003B43C0"/>
    <w:rsid w:val="003C0388"/>
    <w:rsid w:val="003C51E8"/>
    <w:rsid w:val="003C7C88"/>
    <w:rsid w:val="003D55AF"/>
    <w:rsid w:val="003D65A8"/>
    <w:rsid w:val="003E4BEB"/>
    <w:rsid w:val="003F1B6F"/>
    <w:rsid w:val="003F5AF4"/>
    <w:rsid w:val="003F6114"/>
    <w:rsid w:val="004021F4"/>
    <w:rsid w:val="0042748A"/>
    <w:rsid w:val="0043490E"/>
    <w:rsid w:val="00440BC3"/>
    <w:rsid w:val="0045546E"/>
    <w:rsid w:val="00462536"/>
    <w:rsid w:val="004734C8"/>
    <w:rsid w:val="0047430B"/>
    <w:rsid w:val="00474458"/>
    <w:rsid w:val="00484075"/>
    <w:rsid w:val="0049300B"/>
    <w:rsid w:val="00494748"/>
    <w:rsid w:val="004B02FC"/>
    <w:rsid w:val="004B06AD"/>
    <w:rsid w:val="004B07F8"/>
    <w:rsid w:val="004B2908"/>
    <w:rsid w:val="004C1CD0"/>
    <w:rsid w:val="004C4084"/>
    <w:rsid w:val="004C6D16"/>
    <w:rsid w:val="004E7D97"/>
    <w:rsid w:val="004F0884"/>
    <w:rsid w:val="004F4E81"/>
    <w:rsid w:val="004F648F"/>
    <w:rsid w:val="00501BB4"/>
    <w:rsid w:val="005114E6"/>
    <w:rsid w:val="00512B7C"/>
    <w:rsid w:val="00513862"/>
    <w:rsid w:val="00515A5F"/>
    <w:rsid w:val="005250EB"/>
    <w:rsid w:val="0052572E"/>
    <w:rsid w:val="00525986"/>
    <w:rsid w:val="00532BEE"/>
    <w:rsid w:val="005331F5"/>
    <w:rsid w:val="00557F33"/>
    <w:rsid w:val="00560324"/>
    <w:rsid w:val="005604F6"/>
    <w:rsid w:val="00560CC1"/>
    <w:rsid w:val="005727C8"/>
    <w:rsid w:val="00576EC5"/>
    <w:rsid w:val="005835EB"/>
    <w:rsid w:val="005A3698"/>
    <w:rsid w:val="005A6E67"/>
    <w:rsid w:val="005B536D"/>
    <w:rsid w:val="005C08EC"/>
    <w:rsid w:val="005C120E"/>
    <w:rsid w:val="005D3AAF"/>
    <w:rsid w:val="005E28E4"/>
    <w:rsid w:val="005E4DED"/>
    <w:rsid w:val="005E772D"/>
    <w:rsid w:val="005E7E9C"/>
    <w:rsid w:val="005F45E5"/>
    <w:rsid w:val="005F66E4"/>
    <w:rsid w:val="005F7E82"/>
    <w:rsid w:val="00602ED4"/>
    <w:rsid w:val="006067A4"/>
    <w:rsid w:val="006075D0"/>
    <w:rsid w:val="00613BD1"/>
    <w:rsid w:val="00656FE9"/>
    <w:rsid w:val="00670595"/>
    <w:rsid w:val="00677437"/>
    <w:rsid w:val="00681E3A"/>
    <w:rsid w:val="0068328B"/>
    <w:rsid w:val="006854F9"/>
    <w:rsid w:val="006860DD"/>
    <w:rsid w:val="00687590"/>
    <w:rsid w:val="0069073D"/>
    <w:rsid w:val="006915E0"/>
    <w:rsid w:val="0069363A"/>
    <w:rsid w:val="006A3461"/>
    <w:rsid w:val="006A3ABB"/>
    <w:rsid w:val="006D3A14"/>
    <w:rsid w:val="006E0E9D"/>
    <w:rsid w:val="006E3A7D"/>
    <w:rsid w:val="006E711E"/>
    <w:rsid w:val="006E742E"/>
    <w:rsid w:val="006F119A"/>
    <w:rsid w:val="006F1E21"/>
    <w:rsid w:val="006F3678"/>
    <w:rsid w:val="006F50CA"/>
    <w:rsid w:val="00703F7A"/>
    <w:rsid w:val="00712CC7"/>
    <w:rsid w:val="0072291D"/>
    <w:rsid w:val="00734D46"/>
    <w:rsid w:val="007631CB"/>
    <w:rsid w:val="0076606B"/>
    <w:rsid w:val="0077529C"/>
    <w:rsid w:val="00777429"/>
    <w:rsid w:val="007815CF"/>
    <w:rsid w:val="00785CAB"/>
    <w:rsid w:val="00792744"/>
    <w:rsid w:val="007B1FB0"/>
    <w:rsid w:val="007B5822"/>
    <w:rsid w:val="007F00D6"/>
    <w:rsid w:val="007F32C1"/>
    <w:rsid w:val="00807C05"/>
    <w:rsid w:val="008137C7"/>
    <w:rsid w:val="008202B4"/>
    <w:rsid w:val="00823DCB"/>
    <w:rsid w:val="00826F03"/>
    <w:rsid w:val="008277B6"/>
    <w:rsid w:val="00835BC2"/>
    <w:rsid w:val="0083661A"/>
    <w:rsid w:val="00836CF0"/>
    <w:rsid w:val="00843345"/>
    <w:rsid w:val="00846F1F"/>
    <w:rsid w:val="00846FF0"/>
    <w:rsid w:val="00847888"/>
    <w:rsid w:val="00852D93"/>
    <w:rsid w:val="00863612"/>
    <w:rsid w:val="00864B44"/>
    <w:rsid w:val="00870823"/>
    <w:rsid w:val="00874410"/>
    <w:rsid w:val="00887E73"/>
    <w:rsid w:val="0089364D"/>
    <w:rsid w:val="008A5AFE"/>
    <w:rsid w:val="008B3093"/>
    <w:rsid w:val="008D19F3"/>
    <w:rsid w:val="008D5335"/>
    <w:rsid w:val="008D5F85"/>
    <w:rsid w:val="008E0C40"/>
    <w:rsid w:val="008E51DD"/>
    <w:rsid w:val="008E7305"/>
    <w:rsid w:val="008F6891"/>
    <w:rsid w:val="00902123"/>
    <w:rsid w:val="00911B09"/>
    <w:rsid w:val="00916782"/>
    <w:rsid w:val="0092528D"/>
    <w:rsid w:val="009267C7"/>
    <w:rsid w:val="00953E36"/>
    <w:rsid w:val="00965372"/>
    <w:rsid w:val="00971A91"/>
    <w:rsid w:val="00972105"/>
    <w:rsid w:val="009841E3"/>
    <w:rsid w:val="00991FA8"/>
    <w:rsid w:val="009941FD"/>
    <w:rsid w:val="00997570"/>
    <w:rsid w:val="009A3572"/>
    <w:rsid w:val="009A3901"/>
    <w:rsid w:val="009A5350"/>
    <w:rsid w:val="009C0A85"/>
    <w:rsid w:val="009C16E3"/>
    <w:rsid w:val="009C4B76"/>
    <w:rsid w:val="009C5840"/>
    <w:rsid w:val="009C59CA"/>
    <w:rsid w:val="009D76E2"/>
    <w:rsid w:val="009E6D89"/>
    <w:rsid w:val="009F0D25"/>
    <w:rsid w:val="009F1CB5"/>
    <w:rsid w:val="00A12304"/>
    <w:rsid w:val="00A25440"/>
    <w:rsid w:val="00A33474"/>
    <w:rsid w:val="00A403DC"/>
    <w:rsid w:val="00A51A90"/>
    <w:rsid w:val="00A547BE"/>
    <w:rsid w:val="00A55E93"/>
    <w:rsid w:val="00A705A2"/>
    <w:rsid w:val="00A71EF3"/>
    <w:rsid w:val="00A87692"/>
    <w:rsid w:val="00A87B04"/>
    <w:rsid w:val="00A87D42"/>
    <w:rsid w:val="00A93593"/>
    <w:rsid w:val="00A978E7"/>
    <w:rsid w:val="00AA37B8"/>
    <w:rsid w:val="00AA4042"/>
    <w:rsid w:val="00AA7D8A"/>
    <w:rsid w:val="00AD7FE0"/>
    <w:rsid w:val="00AE13B1"/>
    <w:rsid w:val="00AE1B0B"/>
    <w:rsid w:val="00AF3F07"/>
    <w:rsid w:val="00B0003E"/>
    <w:rsid w:val="00B00529"/>
    <w:rsid w:val="00B169E1"/>
    <w:rsid w:val="00B2620A"/>
    <w:rsid w:val="00B27136"/>
    <w:rsid w:val="00B27633"/>
    <w:rsid w:val="00B36EED"/>
    <w:rsid w:val="00B47C68"/>
    <w:rsid w:val="00B5695A"/>
    <w:rsid w:val="00B72B76"/>
    <w:rsid w:val="00B76EA3"/>
    <w:rsid w:val="00B843C0"/>
    <w:rsid w:val="00B91ACC"/>
    <w:rsid w:val="00BA7546"/>
    <w:rsid w:val="00BA77A8"/>
    <w:rsid w:val="00BB4269"/>
    <w:rsid w:val="00BC4B7F"/>
    <w:rsid w:val="00BE076D"/>
    <w:rsid w:val="00BE1EBE"/>
    <w:rsid w:val="00BE4A47"/>
    <w:rsid w:val="00BE68E0"/>
    <w:rsid w:val="00BE7E09"/>
    <w:rsid w:val="00BF19EC"/>
    <w:rsid w:val="00BF3BE3"/>
    <w:rsid w:val="00C023D0"/>
    <w:rsid w:val="00C21069"/>
    <w:rsid w:val="00C33E4C"/>
    <w:rsid w:val="00C34069"/>
    <w:rsid w:val="00C3799F"/>
    <w:rsid w:val="00C515F2"/>
    <w:rsid w:val="00C570D1"/>
    <w:rsid w:val="00C61C44"/>
    <w:rsid w:val="00C638EB"/>
    <w:rsid w:val="00C73021"/>
    <w:rsid w:val="00C83009"/>
    <w:rsid w:val="00C841D0"/>
    <w:rsid w:val="00CA2319"/>
    <w:rsid w:val="00CA25C5"/>
    <w:rsid w:val="00CC1EEF"/>
    <w:rsid w:val="00CD2B51"/>
    <w:rsid w:val="00CF69E2"/>
    <w:rsid w:val="00CF6CE2"/>
    <w:rsid w:val="00D04582"/>
    <w:rsid w:val="00D06C20"/>
    <w:rsid w:val="00D06F7A"/>
    <w:rsid w:val="00D31F9E"/>
    <w:rsid w:val="00D3392B"/>
    <w:rsid w:val="00D34745"/>
    <w:rsid w:val="00D65353"/>
    <w:rsid w:val="00D65F44"/>
    <w:rsid w:val="00D76E1C"/>
    <w:rsid w:val="00D87E03"/>
    <w:rsid w:val="00D919BF"/>
    <w:rsid w:val="00D953D0"/>
    <w:rsid w:val="00DA36BD"/>
    <w:rsid w:val="00DA511D"/>
    <w:rsid w:val="00DC3F67"/>
    <w:rsid w:val="00DC602D"/>
    <w:rsid w:val="00DE1921"/>
    <w:rsid w:val="00DE2987"/>
    <w:rsid w:val="00DE2BB4"/>
    <w:rsid w:val="00DF0967"/>
    <w:rsid w:val="00DF6CAD"/>
    <w:rsid w:val="00E31438"/>
    <w:rsid w:val="00E44569"/>
    <w:rsid w:val="00E46D53"/>
    <w:rsid w:val="00E64B82"/>
    <w:rsid w:val="00E816F5"/>
    <w:rsid w:val="00E879FF"/>
    <w:rsid w:val="00E929BE"/>
    <w:rsid w:val="00E95A0F"/>
    <w:rsid w:val="00EB0078"/>
    <w:rsid w:val="00EB07F6"/>
    <w:rsid w:val="00EB708D"/>
    <w:rsid w:val="00EC3D27"/>
    <w:rsid w:val="00EE1D7F"/>
    <w:rsid w:val="00EE7A2F"/>
    <w:rsid w:val="00EF50CA"/>
    <w:rsid w:val="00F1550F"/>
    <w:rsid w:val="00F15940"/>
    <w:rsid w:val="00F3468C"/>
    <w:rsid w:val="00F36652"/>
    <w:rsid w:val="00F37C88"/>
    <w:rsid w:val="00F41C93"/>
    <w:rsid w:val="00F444A8"/>
    <w:rsid w:val="00F56D69"/>
    <w:rsid w:val="00F83056"/>
    <w:rsid w:val="00F93D60"/>
    <w:rsid w:val="00F9415B"/>
    <w:rsid w:val="00F96177"/>
    <w:rsid w:val="00FB342E"/>
    <w:rsid w:val="00FB52C5"/>
    <w:rsid w:val="00FC1677"/>
    <w:rsid w:val="00FD2903"/>
    <w:rsid w:val="00FE1291"/>
    <w:rsid w:val="00FE482B"/>
    <w:rsid w:val="00FF56AD"/>
    <w:rsid w:val="018D5F51"/>
    <w:rsid w:val="01EB6FEC"/>
    <w:rsid w:val="01FE5EB7"/>
    <w:rsid w:val="02377743"/>
    <w:rsid w:val="03204429"/>
    <w:rsid w:val="03DB06FE"/>
    <w:rsid w:val="04B16B62"/>
    <w:rsid w:val="05215177"/>
    <w:rsid w:val="054A5192"/>
    <w:rsid w:val="05BB571F"/>
    <w:rsid w:val="062067C9"/>
    <w:rsid w:val="07170958"/>
    <w:rsid w:val="08497BE8"/>
    <w:rsid w:val="087A37FC"/>
    <w:rsid w:val="08961A5A"/>
    <w:rsid w:val="08A96CC2"/>
    <w:rsid w:val="08F619C1"/>
    <w:rsid w:val="095345F4"/>
    <w:rsid w:val="0A0F44CD"/>
    <w:rsid w:val="0A2F0E4D"/>
    <w:rsid w:val="0AA4610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C326E1"/>
    <w:rsid w:val="19D84AF5"/>
    <w:rsid w:val="19FA00D0"/>
    <w:rsid w:val="1A0C2276"/>
    <w:rsid w:val="1A287FEA"/>
    <w:rsid w:val="1A542352"/>
    <w:rsid w:val="1A707A6D"/>
    <w:rsid w:val="1A7D6D25"/>
    <w:rsid w:val="1A816486"/>
    <w:rsid w:val="1A893942"/>
    <w:rsid w:val="1A907FA2"/>
    <w:rsid w:val="1AD533CC"/>
    <w:rsid w:val="1B2A72DF"/>
    <w:rsid w:val="1B70123A"/>
    <w:rsid w:val="1BA64FD1"/>
    <w:rsid w:val="1BBC5A18"/>
    <w:rsid w:val="1BC93F0E"/>
    <w:rsid w:val="1BCE7B14"/>
    <w:rsid w:val="1BE97487"/>
    <w:rsid w:val="1BEF11E3"/>
    <w:rsid w:val="1BF32374"/>
    <w:rsid w:val="1C0776AF"/>
    <w:rsid w:val="1C3E4461"/>
    <w:rsid w:val="1C6357AF"/>
    <w:rsid w:val="1CAC5E2B"/>
    <w:rsid w:val="1CC076BE"/>
    <w:rsid w:val="1CC71CB2"/>
    <w:rsid w:val="1CDF5587"/>
    <w:rsid w:val="1D023468"/>
    <w:rsid w:val="1D795BF8"/>
    <w:rsid w:val="1D941E49"/>
    <w:rsid w:val="1D964AA9"/>
    <w:rsid w:val="1DD036B2"/>
    <w:rsid w:val="1DD4275F"/>
    <w:rsid w:val="1E356AFA"/>
    <w:rsid w:val="1E724912"/>
    <w:rsid w:val="1F385965"/>
    <w:rsid w:val="1FC2672F"/>
    <w:rsid w:val="201D0297"/>
    <w:rsid w:val="204A0870"/>
    <w:rsid w:val="20C822D8"/>
    <w:rsid w:val="22086EAE"/>
    <w:rsid w:val="220D5EC8"/>
    <w:rsid w:val="223431B1"/>
    <w:rsid w:val="22C149FC"/>
    <w:rsid w:val="22F1518B"/>
    <w:rsid w:val="23637B59"/>
    <w:rsid w:val="238C25BD"/>
    <w:rsid w:val="24A91031"/>
    <w:rsid w:val="24B96681"/>
    <w:rsid w:val="24BD22AA"/>
    <w:rsid w:val="25152CD3"/>
    <w:rsid w:val="25E72FA7"/>
    <w:rsid w:val="260555E3"/>
    <w:rsid w:val="262B1B5F"/>
    <w:rsid w:val="26C402B0"/>
    <w:rsid w:val="26D15FFB"/>
    <w:rsid w:val="273147E4"/>
    <w:rsid w:val="27487015"/>
    <w:rsid w:val="27A84C42"/>
    <w:rsid w:val="28347384"/>
    <w:rsid w:val="287A4275"/>
    <w:rsid w:val="28B70DC9"/>
    <w:rsid w:val="293F4FCF"/>
    <w:rsid w:val="29711978"/>
    <w:rsid w:val="298634AE"/>
    <w:rsid w:val="29A17B31"/>
    <w:rsid w:val="2A4B1A28"/>
    <w:rsid w:val="2A567387"/>
    <w:rsid w:val="2A66542F"/>
    <w:rsid w:val="2B3649F4"/>
    <w:rsid w:val="2B4675FA"/>
    <w:rsid w:val="2BB602C5"/>
    <w:rsid w:val="2BD85FC4"/>
    <w:rsid w:val="2BE937E9"/>
    <w:rsid w:val="2BF50AB4"/>
    <w:rsid w:val="2BFA0E70"/>
    <w:rsid w:val="2CAA547D"/>
    <w:rsid w:val="2CDB7E63"/>
    <w:rsid w:val="2D434FF8"/>
    <w:rsid w:val="2DA05DCE"/>
    <w:rsid w:val="2E3C43E6"/>
    <w:rsid w:val="2EC208DF"/>
    <w:rsid w:val="2EF9407B"/>
    <w:rsid w:val="2F223C18"/>
    <w:rsid w:val="2F22506F"/>
    <w:rsid w:val="2F401A95"/>
    <w:rsid w:val="2F517C68"/>
    <w:rsid w:val="2F854CC7"/>
    <w:rsid w:val="2F9C3AD1"/>
    <w:rsid w:val="2FDD2BC4"/>
    <w:rsid w:val="2FF679D7"/>
    <w:rsid w:val="30653C55"/>
    <w:rsid w:val="307C6D47"/>
    <w:rsid w:val="30984B3B"/>
    <w:rsid w:val="30B93C1E"/>
    <w:rsid w:val="30C952F8"/>
    <w:rsid w:val="3166520A"/>
    <w:rsid w:val="318273CC"/>
    <w:rsid w:val="31A367EC"/>
    <w:rsid w:val="31CF5586"/>
    <w:rsid w:val="320C78A0"/>
    <w:rsid w:val="3232204B"/>
    <w:rsid w:val="323649A0"/>
    <w:rsid w:val="329A0B6A"/>
    <w:rsid w:val="32C642E9"/>
    <w:rsid w:val="32D90098"/>
    <w:rsid w:val="332573C9"/>
    <w:rsid w:val="338406B7"/>
    <w:rsid w:val="342013A7"/>
    <w:rsid w:val="34477241"/>
    <w:rsid w:val="34854AB1"/>
    <w:rsid w:val="34A63F82"/>
    <w:rsid w:val="350A7012"/>
    <w:rsid w:val="35630D7C"/>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BE40C4F"/>
    <w:rsid w:val="3C691FB2"/>
    <w:rsid w:val="3D2A5959"/>
    <w:rsid w:val="3D3B3330"/>
    <w:rsid w:val="3F4B396D"/>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023046"/>
    <w:rsid w:val="45225B34"/>
    <w:rsid w:val="454247FC"/>
    <w:rsid w:val="45BE6F81"/>
    <w:rsid w:val="45C2437E"/>
    <w:rsid w:val="464740FB"/>
    <w:rsid w:val="46945BA3"/>
    <w:rsid w:val="469C1860"/>
    <w:rsid w:val="46EB55F0"/>
    <w:rsid w:val="47194283"/>
    <w:rsid w:val="475F6725"/>
    <w:rsid w:val="48100387"/>
    <w:rsid w:val="486C54E8"/>
    <w:rsid w:val="489F1960"/>
    <w:rsid w:val="48A26DA2"/>
    <w:rsid w:val="48A8042C"/>
    <w:rsid w:val="492F3120"/>
    <w:rsid w:val="4A6426CA"/>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D3499"/>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2F36E3"/>
    <w:rsid w:val="5286182F"/>
    <w:rsid w:val="52C77658"/>
    <w:rsid w:val="531700D4"/>
    <w:rsid w:val="53252219"/>
    <w:rsid w:val="532C6393"/>
    <w:rsid w:val="53B84021"/>
    <w:rsid w:val="53BF0718"/>
    <w:rsid w:val="541B571E"/>
    <w:rsid w:val="542D096E"/>
    <w:rsid w:val="549E4C0A"/>
    <w:rsid w:val="56245B05"/>
    <w:rsid w:val="56306E56"/>
    <w:rsid w:val="56444969"/>
    <w:rsid w:val="56EF513F"/>
    <w:rsid w:val="571930E8"/>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8C49CC"/>
    <w:rsid w:val="5A945937"/>
    <w:rsid w:val="5AA340C2"/>
    <w:rsid w:val="5AB6501F"/>
    <w:rsid w:val="5B9E1D5B"/>
    <w:rsid w:val="5BA64252"/>
    <w:rsid w:val="5BCB323C"/>
    <w:rsid w:val="5C7344DB"/>
    <w:rsid w:val="5CF24C0B"/>
    <w:rsid w:val="5D7F7D07"/>
    <w:rsid w:val="5DC63A4E"/>
    <w:rsid w:val="5DED53D1"/>
    <w:rsid w:val="5E063E78"/>
    <w:rsid w:val="5E1B7959"/>
    <w:rsid w:val="5EAD142E"/>
    <w:rsid w:val="5F3F3BFD"/>
    <w:rsid w:val="5F7071A8"/>
    <w:rsid w:val="5FF330F1"/>
    <w:rsid w:val="60D522DF"/>
    <w:rsid w:val="60F20BC5"/>
    <w:rsid w:val="610C5CC5"/>
    <w:rsid w:val="613053AA"/>
    <w:rsid w:val="6154193C"/>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7F36C17"/>
    <w:rsid w:val="68281E82"/>
    <w:rsid w:val="68370CCC"/>
    <w:rsid w:val="684D7DEF"/>
    <w:rsid w:val="689B65E6"/>
    <w:rsid w:val="69205264"/>
    <w:rsid w:val="695217DC"/>
    <w:rsid w:val="69C37032"/>
    <w:rsid w:val="69D557A1"/>
    <w:rsid w:val="6A6F13E3"/>
    <w:rsid w:val="6AF542A4"/>
    <w:rsid w:val="6B832B04"/>
    <w:rsid w:val="6BD916EE"/>
    <w:rsid w:val="6C194573"/>
    <w:rsid w:val="6CCA1A7F"/>
    <w:rsid w:val="6DD805CD"/>
    <w:rsid w:val="6E035291"/>
    <w:rsid w:val="6E1206A4"/>
    <w:rsid w:val="6E154EA9"/>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AD6C8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E46884"/>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0F5E98"/>
    <w:rsid w:val="795B3486"/>
    <w:rsid w:val="79E45FD6"/>
    <w:rsid w:val="7A732C40"/>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6D302F"/>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table" w:styleId="13">
    <w:name w:val="Table Grid"/>
    <w:basedOn w:val="12"/>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paragraph" w:customStyle="1" w:styleId="16">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7">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8">
    <w:name w:val="p0"/>
    <w:basedOn w:val="1"/>
    <w:qFormat/>
    <w:uiPriority w:val="0"/>
    <w:pPr>
      <w:widowControl/>
    </w:pPr>
    <w:rPr>
      <w:kern w:val="0"/>
      <w:szCs w:val="21"/>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1">
    <w:name w:val="font11"/>
    <w:qFormat/>
    <w:uiPriority w:val="0"/>
    <w:rPr>
      <w:rFonts w:hint="default" w:ascii="微软简仿宋" w:hAnsi="微软简仿宋" w:eastAsia="微软简仿宋" w:cs="微软简仿宋"/>
      <w:color w:val="000000"/>
      <w:sz w:val="24"/>
      <w:szCs w:val="24"/>
      <w:u w:val="none"/>
    </w:rPr>
  </w:style>
  <w:style w:type="character" w:customStyle="1" w:styleId="22">
    <w:name w:val="font01"/>
    <w:qFormat/>
    <w:uiPriority w:val="0"/>
    <w:rPr>
      <w:rFonts w:hint="default" w:ascii="Times New Roman" w:hAnsi="Times New Roman" w:cs="Times New Roman"/>
      <w:color w:val="000000"/>
      <w:sz w:val="24"/>
      <w:szCs w:val="24"/>
      <w:u w:val="none"/>
    </w:rPr>
  </w:style>
  <w:style w:type="character" w:customStyle="1" w:styleId="23">
    <w:name w:val="font51"/>
    <w:qFormat/>
    <w:uiPriority w:val="0"/>
    <w:rPr>
      <w:rFonts w:hint="default" w:ascii="Times New Roman" w:hAnsi="Times New Roman" w:cs="Times New Roman"/>
      <w:color w:val="000000"/>
      <w:sz w:val="24"/>
      <w:szCs w:val="24"/>
      <w:u w:val="none"/>
    </w:rPr>
  </w:style>
  <w:style w:type="character" w:customStyle="1" w:styleId="24">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2810</Words>
  <Characters>16023</Characters>
  <Lines>133</Lines>
  <Paragraphs>37</Paragraphs>
  <TotalTime>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2023-01-28T07:43:00Z</dcterms:created>
  <dc:creator>ylh</dc:creator>
  <cp:keywords>新版</cp:keywords>
  <cp:lastModifiedBy>马宁</cp:lastModifiedBy>
  <dcterms:modified xsi:type="dcterms:W3CDTF">2024-06-14T05:39:23Z</dcterms:modified>
  <dc:title>华夏理财龙盈百岁人生固定收益类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