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sz w:val="36"/>
          <w:szCs w:val="36"/>
        </w:rPr>
      </w:pPr>
      <w:bookmarkStart w:id="4" w:name="_GoBack"/>
      <w:bookmarkEnd w:id="4"/>
      <w:r>
        <w:rPr>
          <w:rFonts w:hint="eastAsia" w:eastAsia="黑体"/>
          <w:bCs/>
          <w:kern w:val="2"/>
          <w:sz w:val="36"/>
          <w:szCs w:val="36"/>
        </w:rPr>
        <w:t>华夏理财</w:t>
      </w:r>
      <w:r>
        <w:rPr>
          <w:rFonts w:hint="eastAsia" w:eastAsia="黑体"/>
          <w:bCs/>
          <w:sz w:val="36"/>
          <w:szCs w:val="36"/>
        </w:rPr>
        <w:t>龙盈固定收益类G款66号三个月定开</w:t>
      </w:r>
    </w:p>
    <w:p>
      <w:pPr>
        <w:pStyle w:val="6"/>
        <w:snapToGrid w:val="0"/>
        <w:spacing w:line="400" w:lineRule="exact"/>
        <w:ind w:firstLine="0"/>
        <w:jc w:val="center"/>
        <w:rPr>
          <w:rFonts w:eastAsia="黑体"/>
          <w:sz w:val="36"/>
          <w:szCs w:val="36"/>
        </w:rPr>
      </w:pPr>
      <w:r>
        <w:rPr>
          <w:rFonts w:hint="eastAsia" w:eastAsia="黑体"/>
          <w:bCs/>
          <w:sz w:val="36"/>
          <w:szCs w:val="36"/>
        </w:rPr>
        <w:t>理财产品</w:t>
      </w:r>
      <w:r>
        <w:rPr>
          <w:rFonts w:hint="eastAsia" w:eastAsia="黑体" w:cs="黑体"/>
          <w:sz w:val="36"/>
          <w:szCs w:val="36"/>
        </w:rPr>
        <w:t>说明书</w:t>
      </w:r>
    </w:p>
    <w:p>
      <w:pPr>
        <w:pStyle w:val="6"/>
        <w:snapToGrid w:val="0"/>
        <w:spacing w:line="400" w:lineRule="exact"/>
        <w:ind w:firstLine="0"/>
        <w:jc w:val="center"/>
        <w:rPr>
          <w:rFonts w:eastAsia="黑体"/>
          <w:bCs/>
          <w:kern w:val="2"/>
          <w:sz w:val="36"/>
          <w:szCs w:val="36"/>
        </w:rPr>
      </w:pP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both"/>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华夏理财龙盈固定收益类G款66号三个月定开理财产品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简称：“龙盈固收G款66号（三个月定开）”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208212100336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Z7003921000522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2.40%-</w:t>
            </w:r>
            <w:r>
              <w:rPr>
                <w:rFonts w:ascii="仿宋" w:hAnsi="仿宋" w:eastAsia="仿宋" w:cs="Cambria"/>
                <w:bCs/>
                <w:szCs w:val="21"/>
              </w:rPr>
              <w:t>2.</w:t>
            </w:r>
            <w:r>
              <w:rPr>
                <w:rFonts w:hint="eastAsia" w:ascii="仿宋" w:hAnsi="仿宋" w:eastAsia="仿宋" w:cs="Cambria"/>
                <w:bCs/>
                <w:szCs w:val="21"/>
                <w:lang w:val="en-US" w:eastAsia="zh-CN"/>
              </w:rPr>
              <w:t>60</w:t>
            </w:r>
            <w:r>
              <w:rPr>
                <w:rFonts w:ascii="仿宋" w:hAnsi="仿宋" w:eastAsia="仿宋" w:cs="Cambria"/>
                <w:bCs/>
                <w:szCs w:val="21"/>
              </w:rPr>
              <w:t>%</w:t>
            </w:r>
            <w:r>
              <w:rPr>
                <w:rFonts w:hint="eastAsia" w:ascii="仿宋" w:hAnsi="仿宋" w:eastAsia="仿宋" w:cs="Cambria"/>
                <w:bCs/>
                <w:szCs w:val="21"/>
              </w:rPr>
              <w:t>（年化）。以产品投资债券类资产仓位95%-115%，权益类资产仓位0-5%，组合杠杆率100%-120%为例，参考中债-信用债总财富指数、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06月23</w:t>
            </w:r>
            <w:r>
              <w:rPr>
                <w:rFonts w:ascii="仿宋" w:hAnsi="仿宋" w:eastAsia="仿宋"/>
                <w:bCs/>
                <w:szCs w:val="21"/>
              </w:rPr>
              <w:t>日－</w:t>
            </w: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29日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06</w:t>
            </w:r>
            <w:r>
              <w:rPr>
                <w:rFonts w:ascii="仿宋" w:hAnsi="仿宋" w:eastAsia="仿宋"/>
                <w:bCs/>
                <w:szCs w:val="21"/>
              </w:rPr>
              <w:t>月</w:t>
            </w:r>
            <w:r>
              <w:rPr>
                <w:rFonts w:hint="eastAsia" w:ascii="仿宋" w:hAnsi="仿宋" w:eastAsia="仿宋"/>
                <w:bCs/>
                <w:szCs w:val="21"/>
              </w:rPr>
              <w:t>30</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1</w:t>
            </w:r>
            <w:r>
              <w:rPr>
                <w:rFonts w:hint="eastAsia" w:ascii="仿宋" w:hAnsi="仿宋" w:eastAsia="仿宋"/>
                <w:bCs/>
                <w:szCs w:val="21"/>
                <w:lang w:val="en-US" w:eastAsia="zh-CN"/>
              </w:rPr>
              <w:t>,</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开放期/开放日为产品成立后每年03月、06月、09月、12月的23日（含）起连续</w:t>
            </w:r>
            <w:r>
              <w:rPr>
                <w:rFonts w:hint="eastAsia" w:ascii="仿宋" w:hAnsi="仿宋" w:eastAsia="仿宋"/>
                <w:bCs/>
                <w:szCs w:val="21"/>
                <w:lang w:val="en-US" w:eastAsia="zh-CN"/>
              </w:rPr>
              <w:t>五</w:t>
            </w:r>
            <w:r>
              <w:rPr>
                <w:rFonts w:hint="eastAsia" w:ascii="仿宋" w:hAnsi="仿宋" w:eastAsia="仿宋"/>
                <w:bCs/>
                <w:szCs w:val="21"/>
              </w:rPr>
              <w:t>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right="-44"/>
                    <w:rPr>
                      <w:rFonts w:ascii="仿宋" w:hAnsi="仿宋" w:eastAsia="仿宋"/>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p>
                  <w:pPr>
                    <w:adjustRightInd w:val="0"/>
                    <w:snapToGrid w:val="0"/>
                    <w:spacing w:line="240" w:lineRule="atLeast"/>
                    <w:ind w:right="-44"/>
                    <w:rPr>
                      <w:rFonts w:hint="eastAsia" w:ascii="仿宋" w:hAnsi="仿宋" w:eastAsia="仿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right="-44"/>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超额管理费计提基准为</w:t>
            </w:r>
            <w:r>
              <w:rPr>
                <w:rFonts w:hint="eastAsia" w:ascii="仿宋" w:hAnsi="仿宋" w:eastAsia="仿宋"/>
                <w:b/>
                <w:bCs/>
                <w:szCs w:val="21"/>
                <w:lang w:val="en-US" w:eastAsia="zh-CN"/>
              </w:rPr>
              <w:t>2.50</w:t>
            </w:r>
            <w:r>
              <w:rPr>
                <w:rFonts w:ascii="仿宋" w:hAnsi="仿宋" w:eastAsia="仿宋"/>
                <w:b/>
                <w:bCs/>
                <w:szCs w:val="21"/>
              </w:rPr>
              <w:t>%</w:t>
            </w:r>
            <w:r>
              <w:rPr>
                <w:rFonts w:hint="eastAsia" w:ascii="仿宋" w:hAnsi="仿宋" w:eastAsia="仿宋"/>
                <w:b/>
                <w:bCs/>
                <w:szCs w:val="21"/>
              </w:rPr>
              <w:t>（年化）。</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80" w:lineRule="atLeast"/>
              <w:ind w:firstLine="422" w:firstLineChars="20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80" w:lineRule="atLeast"/>
              <w:ind w:firstLine="422" w:firstLineChars="200"/>
              <w:rPr>
                <w:rFonts w:ascii="仿宋" w:hAnsi="仿宋" w:eastAsia="仿宋"/>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rPr>
        <w:t>本理财产品将主要投资于固定收益类资产、权益类资产、商品及金融衍生品类资产</w:t>
      </w:r>
      <w:r>
        <w:rPr>
          <w:rFonts w:hint="eastAsia" w:ascii="仿宋" w:hAnsi="仿宋" w:eastAsia="仿宋" w:cs="宋体"/>
          <w:color w:val="000000"/>
          <w:kern w:val="0"/>
          <w:sz w:val="24"/>
          <w:lang w:val="en-US" w:eastAsia="zh-CN"/>
        </w:rPr>
        <w:t>，其中固定收益类资产包括但不限于</w:t>
      </w:r>
      <w:r>
        <w:rPr>
          <w:rFonts w:hint="eastAsia" w:ascii="仿宋" w:hAnsi="仿宋" w:eastAsia="仿宋" w:cs="宋体"/>
          <w:color w:val="000000"/>
          <w:kern w:val="0"/>
          <w:sz w:val="24"/>
        </w:rPr>
        <w:t>货币市场工具、标准化债权类资产、非标准化债权类资产等</w:t>
      </w:r>
      <w:r>
        <w:rPr>
          <w:rFonts w:hint="eastAsia" w:ascii="仿宋" w:hAnsi="仿宋" w:eastAsia="仿宋" w:cs="宋体"/>
          <w:color w:val="000000"/>
          <w:kern w:val="0"/>
          <w:sz w:val="24"/>
          <w:lang w:eastAsia="zh-CN"/>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44"/>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tblCellSpacing w:w="0" w:type="dxa"/>
        </w:trPr>
        <w:tc>
          <w:tcPr>
            <w:tcW w:w="5544"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519"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544" w:type="dxa"/>
            <w:vAlign w:val="center"/>
          </w:tcPr>
          <w:p>
            <w:pPr>
              <w:keepNext/>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keepNext/>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519" w:type="dxa"/>
            <w:vAlign w:val="center"/>
          </w:tcPr>
          <w:p>
            <w:pPr>
              <w:keepNext/>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54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544" w:type="dxa"/>
            <w:vAlign w:val="center"/>
          </w:tcPr>
          <w:p>
            <w:pPr>
              <w:keepNext/>
              <w:spacing w:line="240" w:lineRule="auto"/>
              <w:jc w:val="center"/>
              <w:rPr>
                <w:rFonts w:eastAsia="仿宋_GB2312" w:cs="仿宋_GB2312"/>
                <w:kern w:val="0"/>
                <w:sz w:val="24"/>
              </w:rPr>
            </w:pPr>
            <w:r>
              <w:rPr>
                <w:rFonts w:hint="eastAsia" w:eastAsia="仿宋_GB2312" w:cs="仿宋_GB2312"/>
                <w:kern w:val="0"/>
                <w:sz w:val="24"/>
              </w:rPr>
              <w:t>商品及金融衍生品类</w:t>
            </w:r>
          </w:p>
          <w:p>
            <w:pPr>
              <w:adjustRightInd w:val="0"/>
              <w:snapToGrid w:val="0"/>
              <w:spacing w:line="240" w:lineRule="auto"/>
              <w:jc w:val="center"/>
              <w:rPr>
                <w:rFonts w:ascii="仿宋" w:hAnsi="仿宋" w:eastAsia="仿宋" w:cs="宋体"/>
                <w:color w:val="000000"/>
                <w:kern w:val="0"/>
                <w:sz w:val="24"/>
              </w:rPr>
            </w:pPr>
            <w:r>
              <w:rPr>
                <w:rFonts w:hint="eastAsia" w:eastAsia="仿宋_GB2312" w:cs="仿宋_GB2312"/>
                <w:kern w:val="0"/>
                <w:sz w:val="24"/>
              </w:rPr>
              <w:t>（商品及金融衍生品类资产投资须符合监管要求）</w:t>
            </w:r>
          </w:p>
        </w:tc>
        <w:tc>
          <w:tcPr>
            <w:tcW w:w="251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0%-5%</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cs="宋体"/>
          <w:color w:val="000000"/>
          <w:kern w:val="0"/>
          <w:sz w:val="24"/>
        </w:rPr>
        <w:t>、非标准化债权类资产</w:t>
      </w:r>
      <w:r>
        <w:rPr>
          <w:rFonts w:hint="eastAsia" w:ascii="仿宋" w:hAnsi="仿宋" w:eastAsia="仿宋" w:cs="宋体"/>
          <w:color w:val="000000"/>
          <w:kern w:val="0"/>
          <w:sz w:val="24"/>
          <w:lang w:val="en-US" w:eastAsia="zh-CN"/>
        </w:rPr>
        <w:t>等固定收益类资产</w:t>
      </w:r>
      <w:r>
        <w:rPr>
          <w:rFonts w:hint="eastAsia" w:ascii="仿宋" w:hAnsi="仿宋" w:eastAsia="仿宋" w:cs="宋体"/>
          <w:color w:val="000000"/>
          <w:kern w:val="0"/>
          <w:sz w:val="24"/>
        </w:rPr>
        <w:t>、</w:t>
      </w:r>
      <w:r>
        <w:rPr>
          <w:rFonts w:hint="eastAsia" w:ascii="仿宋" w:hAnsi="仿宋" w:eastAsia="仿宋"/>
          <w:lang w:val="en-US" w:eastAsia="zh-CN"/>
        </w:rPr>
        <w:t>权益类资产</w:t>
      </w:r>
      <w:r>
        <w:rPr>
          <w:rFonts w:hint="eastAsia" w:ascii="仿宋" w:hAnsi="仿宋" w:eastAsia="仿宋"/>
        </w:rPr>
        <w:t>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日期：     年     月    日</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208212100336</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90天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bdad38da"/>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bdad38da"/>
        <w:numPr>
          <w:ins w:id="0" w:author="张晓华" w:date="2021-07-12T15:01:00Z"/>
        </w:numPr>
        <w:spacing w:line="360" w:lineRule="exact"/>
        <w:jc w:val="left"/>
        <w:rPr>
          <w:rFonts w:hint="eastAsia"/>
        </w:rPr>
      </w:pPr>
    </w:p>
    <w:p w14:paraId="4DE92349" w14:textId="77777777" w:rsidR="00000000" w:rsidRDefault="00000000">
      <w:pPr>
        <w:pStyle w:val="bdad38da"/>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bdad38da"/>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bdad38da"/>
        <w:spacing w:line="360" w:lineRule="exact"/>
        <w:rPr>
          <w:rFonts w:ascii="微软简标宋" w:eastAsia="微软简标宋" w:hAnsi="宋体" w:cs="宋体" w:hint="eastAsia"/>
          <w:sz w:val="24"/>
        </w:rPr>
      </w:pPr>
    </w:p>
    <w:p w14:paraId="6A15CA0A" w14:textId="77777777" w:rsidR="00000000" w:rsidRDefault="00000000">
      <w:pPr>
        <w:pStyle w:val="bdad38da"/>
        <w:spacing w:line="360" w:lineRule="exact"/>
        <w:jc w:val="center"/>
        <w:rPr>
          <w:rFonts w:ascii="微软简标宋" w:eastAsia="微软简标宋" w:hAnsi="宋体" w:cs="宋体" w:hint="eastAsia"/>
          <w:sz w:val="24"/>
        </w:rPr>
      </w:pPr>
    </w:p>
    <w:p w14:paraId="60F4CA28" w14:textId="77777777" w:rsidR="00000000" w:rsidRDefault="00000000">
      <w:pPr>
        <w:pStyle w:val="bdad38d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bdad38da"/>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bdad38da"/>
        <w:spacing w:line="360" w:lineRule="exact"/>
        <w:ind w:left="180" w:firstLineChars="200" w:firstLine="420"/>
        <w:rPr>
          <w:rFonts w:ascii="微软简仿宋" w:eastAsia="微软简仿宋" w:hint="eastAsia"/>
          <w:szCs w:val="21"/>
        </w:rPr>
      </w:pPr>
    </w:p>
    <w:p w14:paraId="20DC3CDD" w14:textId="77777777" w:rsidR="00000000" w:rsidRDefault="00000000">
      <w:pPr>
        <w:pStyle w:val="bdad38da"/>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bdad38da"/>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7e6882be"/>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bdad38da"/>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bdad38da"/>
        <w:rPr>
          <w:rFonts w:ascii="微软简仿宋" w:eastAsia="微软简仿宋" w:hint="eastAsia"/>
          <w:b/>
          <w:bCs/>
          <w:szCs w:val="21"/>
        </w:rPr>
      </w:pPr>
    </w:p>
    <w:p w14:paraId="695A3120" w14:textId="77777777" w:rsidR="00000000" w:rsidRDefault="00000000">
      <w:pPr>
        <w:pStyle w:val="bdad38da"/>
        <w:rPr>
          <w:rFonts w:ascii="微软简仿宋" w:eastAsia="微软简仿宋" w:hint="eastAsia"/>
          <w:b/>
          <w:bCs/>
          <w:szCs w:val="21"/>
        </w:rPr>
      </w:pPr>
    </w:p>
    <w:p w14:paraId="441B80B3" w14:textId="77777777" w:rsidR="00000000" w:rsidRDefault="00000000">
      <w:pPr>
        <w:pStyle w:val="bdad38da"/>
        <w:rPr>
          <w:rFonts w:ascii="微软简仿宋" w:eastAsia="微软简仿宋" w:hint="eastAsia"/>
          <w:b/>
          <w:bCs/>
          <w:szCs w:val="21"/>
        </w:rPr>
      </w:pPr>
    </w:p>
    <w:p w14:paraId="6E253854" w14:textId="77777777" w:rsidR="00000000" w:rsidRDefault="00000000">
      <w:pPr>
        <w:pStyle w:val="bdad38da"/>
        <w:rPr>
          <w:rFonts w:ascii="微软简仿宋" w:eastAsia="微软简仿宋" w:hint="eastAsia"/>
          <w:b/>
          <w:bCs/>
          <w:szCs w:val="21"/>
        </w:rPr>
      </w:pPr>
    </w:p>
    <w:p w14:paraId="24EEDE89" w14:textId="77777777" w:rsidR="00000000" w:rsidRDefault="00000000">
      <w:pPr>
        <w:pStyle w:val="bdad38da"/>
        <w:rPr>
          <w:rFonts w:ascii="微软简仿宋" w:eastAsia="微软简仿宋" w:hint="eastAsia"/>
          <w:b/>
          <w:bCs/>
          <w:szCs w:val="21"/>
        </w:rPr>
      </w:pPr>
    </w:p>
    <w:p w14:paraId="7ADBF686" w14:textId="77777777" w:rsidR="006D7546" w:rsidRDefault="00000000">
      <w:pPr>
        <w:pStyle w:val="bdad38da"/>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bdad38da"/>
        <w:pageBreakBefore w:val="true"/>
      </w:pPr>
    </w:p>
    <w:p w14:paraId="69997647" w14:textId="06CF27DE" w:rsidR="0074532A" w:rsidRDefault="0054018B">
      <w:pPr>
        <w:pStyle w:val="489df563"/>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489df563"/>
        <w:spacing w:line="360" w:lineRule="auto"/>
        <w:jc w:val="center"/>
        <w:rPr>
          <w:rFonts w:ascii="微软简标宋" w:eastAsia="微软简标宋"/>
          <w:b/>
          <w:sz w:val="32"/>
          <w:szCs w:val="21"/>
        </w:rPr>
      </w:pPr>
    </w:p>
    <w:p w14:paraId="2FC2DCEC" w14:textId="77777777" w:rsidR="0074532A" w:rsidRDefault="00000000">
      <w:pPr>
        <w:pStyle w:val="489df563"/>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489df563"/>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489df563"/>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489df563"/>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489df563"/>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489df563"/>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489df563"/>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489df563"/>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489df563"/>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489df563"/>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489df563"/>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489df563"/>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489df5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489df5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489df5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489df5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489df5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489df5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489df563"/>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489df5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489df563"/>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489df563"/>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489df5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489df5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489df56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489df5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489df56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489df56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489df5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489df563"/>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489df5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489df563"/>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489df563"/>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489df563"/>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489df563"/>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489df5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489df563"/>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489df563"/>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489df563"/>
        <w:adjustRightInd w:val="0"/>
        <w:snapToGrid w:val="0"/>
        <w:spacing w:line="360" w:lineRule="auto"/>
        <w:ind w:firstLineChars="200" w:firstLine="420"/>
      </w:pPr>
    </w:p>
    <w:p w14:paraId="53F741B5" w14:textId="77777777" w:rsidR="0074532A" w:rsidRDefault="00000000">
      <w:pPr>
        <w:pStyle w:val="489df5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489df563"/>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489df563"/>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489df563"/>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489df563"/>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489df563"/>
        <w:pageBreakBefore w:val="true"/>
      </w:pPr>
    </w:p>
    <w:p w14:paraId="1A5B5AAC" w14:textId="77777777" w:rsidR="00584B3C" w:rsidRDefault="00000000">
      <w:pPr>
        <w:pStyle w:val="c1563817"/>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c1563817"/>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c1563817"/>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c1563817"/>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c1563817"/>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c1563817"/>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c156381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c156381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c1563817"/>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c1563817"/>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c1563817"/>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c1563817"/>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pStyle w:val="c1563817"/>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pStyle w:val="c1563817"/>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pStyle w:val="c1563817"/>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pStyle w:val="c1563817"/>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pStyle w:val="c1563817"/>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pStyle w:val="c1563817"/>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c1563817"/>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c156381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c156381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c1563817"/>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c1563817"/>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c156381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c1563817"/>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c1563817"/>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c1563817"/>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c1563817"/>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c1563817"/>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c156381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c156381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c156381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c1563817"/>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c156381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c156381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c1563817"/>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c156381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c156381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c1563817"/>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c156381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c156381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c1563817"/>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c1563817"/>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c1563817"/>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c1563817"/>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c1563817"/>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c156381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c1563817"/>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c1563817"/>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c156381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c1563817"/>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c156381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c156381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c156381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c1563817"/>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c156381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c156381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c156381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c156381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c156381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c156381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c1563817"/>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c1563817"/>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c156381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c156381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c156381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c1563817"/>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c1563817"/>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c1563817"/>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c1563817"/>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c1563817"/>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c156381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c1563817"/>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c1563817"/>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c1563817"/>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c156381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c1563817"/>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rPr>
        <w:rFonts w:hint="eastAsia"/>
      </w:rPr>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dad38da">
    <w:name w:val="Normalbdad38d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d4d9b48">
    <w:name w:val="Default Paragraph Font6d4d9b48"/>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41078f59">
    <w:name w:val="Normal Table41078f59"/>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febe5d9f">
    <w:name w:val="No Listfebe5d9f"/>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69c4824">
    <w:name w:val="批注文字 字符469c4824"/>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6d4d9b48"/>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c32766c">
    <w:name w:val="Strongec32766c"/>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19c9f37">
    <w:name w:val="页脚 字符319c9f37"/>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6d4d9b48"/>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34da076">
    <w:name w:val="annotation reference134da076"/>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f6b1873">
    <w:name w:val="page number1f6b1873"/>
    <w:basedOn w:val="6d4d9b48"/>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e6882be">
    <w:name w:val="Hyperlink7e6882be"/>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5c04db9">
    <w:name w:val="页眉 字符25c04db9"/>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7fda64c">
    <w:name w:val="Emphasisf7fda64c"/>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245fc40">
    <w:name w:val="footer4245fc40"/>
    <w:basedOn w:val="bdad38da"/>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f43da87">
    <w:name w:val="header0f43da87"/>
    <w:basedOn w:val="bdad38da"/>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66074fc5">
    <w:name w:val="Char Char Char Char Char Char Char Char Char Char Char Char66074fc5"/>
    <w:basedOn w:val="bdad38d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bdad38d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012b66c">
    <w:name w:val="annotation text4012b66c"/>
    <w:basedOn w:val="bdad38da"/>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4012b66c"/>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a74fe538">
    <w:name w:val="Defaulta74fe538"/>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89df563">
    <w:name w:val="Normal489df563"/>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46f1822">
    <w:name w:val="heading 1746f1822"/>
    <w:basedOn w:val="489df563"/>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ea9b045">
    <w:name w:val="heading 21ea9b045"/>
    <w:basedOn w:val="489df563"/>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1e41a0">
    <w:name w:val="heading 3af1e41a0"/>
    <w:basedOn w:val="489df563"/>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86637dc">
    <w:name w:val="Default Paragraph Font386637dc"/>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abb0a45">
    <w:name w:val="Normal Tableaabb0a45"/>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6673904d">
    <w:name w:val="No List6673904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cabd9cd">
    <w:name w:val="标题 1 字符8cabd9cd"/>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4280acb">
    <w:name w:val="标题 2 字符c4280acb"/>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64cd225">
    <w:name w:val="annotation textd64cd225"/>
    <w:basedOn w:val="489df563"/>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97bc14b">
    <w:name w:val="批注文字 字符097bc14b"/>
    <w:basedOn w:val="386637dc"/>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cdcd155">
    <w:name w:val="Balloon Text4cdcd155"/>
    <w:basedOn w:val="489df563"/>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2880236">
    <w:name w:val="批注框文本 字符02880236"/>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c19039e">
    <w:name w:val="footercc19039e"/>
    <w:basedOn w:val="489df563"/>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f645845">
    <w:name w:val="页脚 字符cf645845"/>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63c94c8">
    <w:name w:val="header163c94c8"/>
    <w:basedOn w:val="489df563"/>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29883ab">
    <w:name w:val="页眉 字符829883ab"/>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c00c192">
    <w:name w:val="Normal (Web)dc00c192"/>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12a1cb8">
    <w:name w:val="annotation subject112a1cb8"/>
    <w:basedOn w:val="d64cd225"/>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118263b">
    <w:name w:val="批注主题 字符8118263b"/>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e57e6b2">
    <w:name w:val="annotation reference0e57e6b2"/>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9ad49bf5">
    <w:name w:val="Char Char Char Char Char Char Char Char Char Char Char Char9ad49bf5"/>
    <w:basedOn w:val="489df563"/>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1563817">
    <w:name w:val="Normalc1563817"/>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43859b2">
    <w:name w:val="Default Paragraph Font043859b2"/>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3808cc30">
    <w:name w:val="Normal Table3808cc30"/>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3931a5bf">
    <w:name w:val="No List3931a5bf"/>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da20b65">
    <w:name w:val="annotation text0da20b65"/>
    <w:basedOn w:val="c1563817"/>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44e6533">
    <w:name w:val="批注文字 字符344e6533"/>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80c324a">
    <w:name w:val="Body Text Indent380c324a"/>
    <w:basedOn w:val="c1563817"/>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b5e8f6f">
    <w:name w:val="Balloon Text1b5e8f6f"/>
    <w:basedOn w:val="c1563817"/>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4f6f739">
    <w:name w:val="footerb4f6f739"/>
    <w:basedOn w:val="c1563817"/>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fa959f3">
    <w:name w:val="header3fa959f3"/>
    <w:basedOn w:val="c1563817"/>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bf8508e">
    <w:name w:val="annotation subject1bf8508e"/>
    <w:basedOn w:val="0da20b65"/>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adf92ca">
    <w:name w:val="批注主题 字符9adf92ca"/>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98b8746">
    <w:name w:val="Char Char Char Char Char Char Char Char Char Char Char Chare98b8746"/>
    <w:basedOn w:val="c1563817"/>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3c1a2f5">
    <w:name w:val="annotation reference13c1a2f5"/>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2024-06-17T07:13:22Z</dcterms:created>
  <dc:creator>Apache POI</dc:creator>
</cp:coreProperties>
</file>