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龙盈固定收益类G款66号三个月定开</w:t>
      </w:r>
    </w:p>
    <w:p>
      <w:pPr>
        <w:pStyle w:val="6"/>
        <w:snapToGrid w:val="0"/>
        <w:spacing w:line="400" w:lineRule="exact"/>
        <w:ind w:firstLine="0"/>
        <w:jc w:val="center"/>
        <w:rPr>
          <w:rFonts w:eastAsia="黑体"/>
          <w:sz w:val="36"/>
          <w:szCs w:val="36"/>
        </w:rPr>
      </w:pPr>
      <w:r>
        <w:rPr>
          <w:rFonts w:hint="eastAsia" w:eastAsia="黑体"/>
          <w:bCs/>
          <w:sz w:val="36"/>
          <w:szCs w:val="36"/>
        </w:rPr>
        <w:t>理财产品</w:t>
      </w:r>
      <w:r>
        <w:rPr>
          <w:rFonts w:hint="eastAsia" w:eastAsia="黑体" w:cs="黑体"/>
          <w:sz w:val="36"/>
          <w:szCs w:val="36"/>
        </w:rPr>
        <w:t>说明书</w:t>
      </w:r>
    </w:p>
    <w:p>
      <w:pPr>
        <w:pStyle w:val="6"/>
        <w:snapToGrid w:val="0"/>
        <w:spacing w:line="400" w:lineRule="exact"/>
        <w:ind w:firstLine="0"/>
        <w:jc w:val="center"/>
        <w:rPr>
          <w:rFonts w:eastAsia="黑体"/>
          <w:bCs/>
          <w:kern w:val="2"/>
          <w:sz w:val="36"/>
          <w:szCs w:val="36"/>
        </w:rPr>
      </w:pP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both"/>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华夏理财龙盈固定收益类G款66号三个月定开理财产品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简称：“龙盈固收G款66号（三个月定开）”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208212100336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Z7003921000522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2.</w:t>
            </w:r>
            <w:r>
              <w:rPr>
                <w:rFonts w:hint="eastAsia" w:ascii="仿宋" w:hAnsi="仿宋" w:eastAsia="仿宋" w:cs="Cambria"/>
                <w:bCs/>
                <w:szCs w:val="21"/>
                <w:lang w:val="en-US" w:eastAsia="zh-CN"/>
              </w:rPr>
              <w:t>60</w:t>
            </w:r>
            <w:r>
              <w:rPr>
                <w:rFonts w:ascii="仿宋" w:hAnsi="仿宋" w:eastAsia="仿宋" w:cs="Cambria"/>
                <w:bCs/>
                <w:szCs w:val="21"/>
              </w:rPr>
              <w:t>%</w:t>
            </w:r>
            <w:r>
              <w:rPr>
                <w:rFonts w:hint="eastAsia" w:ascii="仿宋" w:hAnsi="仿宋" w:eastAsia="仿宋" w:cs="Cambria"/>
                <w:bCs/>
                <w:szCs w:val="21"/>
              </w:rPr>
              <w:t>（年化）。以产品投资债券类资产仓位95%-115%，权益类资产仓位0-5%，组合杠杆率100%-120%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06月23</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29日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30</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1</w:t>
            </w:r>
            <w:r>
              <w:rPr>
                <w:rFonts w:hint="eastAsia" w:ascii="仿宋" w:hAnsi="仿宋" w:eastAsia="仿宋"/>
                <w:bCs/>
                <w:szCs w:val="21"/>
                <w:lang w:val="en-US" w:eastAsia="zh-CN"/>
              </w:rPr>
              <w:t>,</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开放期/开放日为产品成立后每年03月、06月、09月、12月的23日（含）起连续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right="-44"/>
                    <w:rPr>
                      <w:rFonts w:hint="eastAsia" w:ascii="仿宋" w:hAnsi="仿宋" w:eastAsia="仿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超额管理费计提基准为</w:t>
            </w:r>
            <w:r>
              <w:rPr>
                <w:rFonts w:hint="eastAsia" w:ascii="仿宋" w:hAnsi="仿宋" w:eastAsia="仿宋"/>
                <w:b/>
                <w:bCs/>
                <w:szCs w:val="21"/>
                <w:lang w:val="en-US" w:eastAsia="zh-CN"/>
              </w:rPr>
              <w:t>2.50</w:t>
            </w:r>
            <w:r>
              <w:rPr>
                <w:rFonts w:ascii="仿宋" w:hAnsi="仿宋" w:eastAsia="仿宋"/>
                <w:b/>
                <w:bCs/>
                <w:szCs w:val="21"/>
              </w:rPr>
              <w:t>%</w:t>
            </w:r>
            <w:r>
              <w:rPr>
                <w:rFonts w:hint="eastAsia" w:ascii="仿宋" w:hAnsi="仿宋" w:eastAsia="仿宋"/>
                <w:b/>
                <w:bCs/>
                <w:szCs w:val="21"/>
              </w:rPr>
              <w:t>（年化）。</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80" w:lineRule="atLeast"/>
              <w:ind w:firstLine="422" w:firstLineChars="200"/>
              <w:rPr>
                <w:rFonts w:ascii="仿宋" w:hAnsi="仿宋" w:eastAsia="仿宋"/>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5544"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544" w:type="dxa"/>
            <w:vAlign w:val="center"/>
          </w:tcPr>
          <w:p>
            <w:pPr>
              <w:keepNext/>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keepNext/>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keepNext/>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544"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日期：     年     月    日</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59E675"/>
    <w:multiLevelType w:val="singleLevel"/>
    <w:tmpl w:val="7B59E675"/>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07AD"/>
    <w:rsid w:val="0001408C"/>
    <w:rsid w:val="00020F81"/>
    <w:rsid w:val="00041987"/>
    <w:rsid w:val="0004485A"/>
    <w:rsid w:val="00044B7F"/>
    <w:rsid w:val="0004783E"/>
    <w:rsid w:val="0006081B"/>
    <w:rsid w:val="00063561"/>
    <w:rsid w:val="000713E1"/>
    <w:rsid w:val="000805E4"/>
    <w:rsid w:val="00085777"/>
    <w:rsid w:val="00092E28"/>
    <w:rsid w:val="000932F8"/>
    <w:rsid w:val="000950EC"/>
    <w:rsid w:val="000973A7"/>
    <w:rsid w:val="000A2EE9"/>
    <w:rsid w:val="000A3C07"/>
    <w:rsid w:val="000B2154"/>
    <w:rsid w:val="000B32CF"/>
    <w:rsid w:val="000D002A"/>
    <w:rsid w:val="000D7DE2"/>
    <w:rsid w:val="000E195A"/>
    <w:rsid w:val="00111BDB"/>
    <w:rsid w:val="0011683A"/>
    <w:rsid w:val="001260F4"/>
    <w:rsid w:val="001318D7"/>
    <w:rsid w:val="001322B8"/>
    <w:rsid w:val="00141481"/>
    <w:rsid w:val="001423F3"/>
    <w:rsid w:val="00142652"/>
    <w:rsid w:val="00146323"/>
    <w:rsid w:val="00167A6E"/>
    <w:rsid w:val="00170760"/>
    <w:rsid w:val="00172A27"/>
    <w:rsid w:val="00182B0F"/>
    <w:rsid w:val="001861EC"/>
    <w:rsid w:val="00190444"/>
    <w:rsid w:val="00192AD3"/>
    <w:rsid w:val="0019771D"/>
    <w:rsid w:val="001A0DF1"/>
    <w:rsid w:val="001B007A"/>
    <w:rsid w:val="001B29E5"/>
    <w:rsid w:val="001B2C46"/>
    <w:rsid w:val="001D5895"/>
    <w:rsid w:val="001E4307"/>
    <w:rsid w:val="001E6914"/>
    <w:rsid w:val="001F21AD"/>
    <w:rsid w:val="001F4C9F"/>
    <w:rsid w:val="00203B96"/>
    <w:rsid w:val="00214B23"/>
    <w:rsid w:val="00216CAD"/>
    <w:rsid w:val="00220E75"/>
    <w:rsid w:val="00230B93"/>
    <w:rsid w:val="00245854"/>
    <w:rsid w:val="002473CD"/>
    <w:rsid w:val="00260FED"/>
    <w:rsid w:val="00265998"/>
    <w:rsid w:val="00277CAB"/>
    <w:rsid w:val="00282724"/>
    <w:rsid w:val="00293AA7"/>
    <w:rsid w:val="00294355"/>
    <w:rsid w:val="002A2967"/>
    <w:rsid w:val="002A2FEF"/>
    <w:rsid w:val="002C7F16"/>
    <w:rsid w:val="002E5919"/>
    <w:rsid w:val="002E5A66"/>
    <w:rsid w:val="002E7F9D"/>
    <w:rsid w:val="00311DBF"/>
    <w:rsid w:val="00311EF5"/>
    <w:rsid w:val="003248AF"/>
    <w:rsid w:val="00351C38"/>
    <w:rsid w:val="003522B1"/>
    <w:rsid w:val="00362E0F"/>
    <w:rsid w:val="00365E5C"/>
    <w:rsid w:val="00367563"/>
    <w:rsid w:val="00375CE6"/>
    <w:rsid w:val="0038373F"/>
    <w:rsid w:val="003923B3"/>
    <w:rsid w:val="003A043E"/>
    <w:rsid w:val="003A1A38"/>
    <w:rsid w:val="003B43C0"/>
    <w:rsid w:val="003C0388"/>
    <w:rsid w:val="003C51E8"/>
    <w:rsid w:val="003D55AF"/>
    <w:rsid w:val="003D65A8"/>
    <w:rsid w:val="003E4BEB"/>
    <w:rsid w:val="003F1B6F"/>
    <w:rsid w:val="003F5AF4"/>
    <w:rsid w:val="003F6114"/>
    <w:rsid w:val="004021F4"/>
    <w:rsid w:val="0042748A"/>
    <w:rsid w:val="0043490E"/>
    <w:rsid w:val="00440BC3"/>
    <w:rsid w:val="0045546E"/>
    <w:rsid w:val="00462536"/>
    <w:rsid w:val="004734C8"/>
    <w:rsid w:val="00474458"/>
    <w:rsid w:val="00484075"/>
    <w:rsid w:val="0049300B"/>
    <w:rsid w:val="00494748"/>
    <w:rsid w:val="004B06AD"/>
    <w:rsid w:val="004B07F8"/>
    <w:rsid w:val="004B2908"/>
    <w:rsid w:val="004C1CD0"/>
    <w:rsid w:val="004C4084"/>
    <w:rsid w:val="004C6D16"/>
    <w:rsid w:val="004E7D97"/>
    <w:rsid w:val="004F0884"/>
    <w:rsid w:val="004F4E81"/>
    <w:rsid w:val="004F648F"/>
    <w:rsid w:val="00501BB4"/>
    <w:rsid w:val="005114E6"/>
    <w:rsid w:val="00512B7C"/>
    <w:rsid w:val="0052572E"/>
    <w:rsid w:val="00532BEE"/>
    <w:rsid w:val="00557F33"/>
    <w:rsid w:val="005604F6"/>
    <w:rsid w:val="00560CC1"/>
    <w:rsid w:val="005727C8"/>
    <w:rsid w:val="00576EC5"/>
    <w:rsid w:val="005835EB"/>
    <w:rsid w:val="005A193A"/>
    <w:rsid w:val="005A6E67"/>
    <w:rsid w:val="005B536D"/>
    <w:rsid w:val="005C08EC"/>
    <w:rsid w:val="005C120E"/>
    <w:rsid w:val="005D3AAF"/>
    <w:rsid w:val="005E28E4"/>
    <w:rsid w:val="005E4DED"/>
    <w:rsid w:val="005E7E9C"/>
    <w:rsid w:val="005F45E5"/>
    <w:rsid w:val="005F66E4"/>
    <w:rsid w:val="005F7E82"/>
    <w:rsid w:val="00602ED4"/>
    <w:rsid w:val="006075D0"/>
    <w:rsid w:val="00613BD1"/>
    <w:rsid w:val="00656FE9"/>
    <w:rsid w:val="00670595"/>
    <w:rsid w:val="00677437"/>
    <w:rsid w:val="00681E3A"/>
    <w:rsid w:val="0068328B"/>
    <w:rsid w:val="006854F9"/>
    <w:rsid w:val="006860DD"/>
    <w:rsid w:val="0069073D"/>
    <w:rsid w:val="006915E0"/>
    <w:rsid w:val="0069363A"/>
    <w:rsid w:val="006A3461"/>
    <w:rsid w:val="006A3ABB"/>
    <w:rsid w:val="006D3A14"/>
    <w:rsid w:val="006E0E9D"/>
    <w:rsid w:val="006E3A7D"/>
    <w:rsid w:val="006E711E"/>
    <w:rsid w:val="006E742E"/>
    <w:rsid w:val="006F119A"/>
    <w:rsid w:val="006F3678"/>
    <w:rsid w:val="006F50CA"/>
    <w:rsid w:val="00703F7A"/>
    <w:rsid w:val="00712CC7"/>
    <w:rsid w:val="00713068"/>
    <w:rsid w:val="00734D46"/>
    <w:rsid w:val="0076606B"/>
    <w:rsid w:val="00777429"/>
    <w:rsid w:val="007815CF"/>
    <w:rsid w:val="00785CAB"/>
    <w:rsid w:val="00792744"/>
    <w:rsid w:val="007A4A6F"/>
    <w:rsid w:val="007B13DA"/>
    <w:rsid w:val="007B1FB0"/>
    <w:rsid w:val="007B5822"/>
    <w:rsid w:val="007F00D6"/>
    <w:rsid w:val="007F32C1"/>
    <w:rsid w:val="00807C05"/>
    <w:rsid w:val="008137C7"/>
    <w:rsid w:val="00815099"/>
    <w:rsid w:val="008202B4"/>
    <w:rsid w:val="00824383"/>
    <w:rsid w:val="00826F03"/>
    <w:rsid w:val="008277B6"/>
    <w:rsid w:val="00835BC2"/>
    <w:rsid w:val="0083661A"/>
    <w:rsid w:val="00836CF0"/>
    <w:rsid w:val="00843345"/>
    <w:rsid w:val="00846F1F"/>
    <w:rsid w:val="00846FF0"/>
    <w:rsid w:val="00852D93"/>
    <w:rsid w:val="00863612"/>
    <w:rsid w:val="00864B44"/>
    <w:rsid w:val="00870823"/>
    <w:rsid w:val="00874410"/>
    <w:rsid w:val="00887E73"/>
    <w:rsid w:val="0089364D"/>
    <w:rsid w:val="008B3093"/>
    <w:rsid w:val="008D19F3"/>
    <w:rsid w:val="008D5335"/>
    <w:rsid w:val="008D5F85"/>
    <w:rsid w:val="008E0C40"/>
    <w:rsid w:val="008E295B"/>
    <w:rsid w:val="008F6891"/>
    <w:rsid w:val="00902123"/>
    <w:rsid w:val="00916782"/>
    <w:rsid w:val="00920FE2"/>
    <w:rsid w:val="0092528D"/>
    <w:rsid w:val="009267C7"/>
    <w:rsid w:val="00953E36"/>
    <w:rsid w:val="00965372"/>
    <w:rsid w:val="00971A91"/>
    <w:rsid w:val="00972105"/>
    <w:rsid w:val="00991FA8"/>
    <w:rsid w:val="009941FD"/>
    <w:rsid w:val="009957CA"/>
    <w:rsid w:val="009A3572"/>
    <w:rsid w:val="009A3901"/>
    <w:rsid w:val="009A5350"/>
    <w:rsid w:val="009C0A85"/>
    <w:rsid w:val="009C16E3"/>
    <w:rsid w:val="009C4B76"/>
    <w:rsid w:val="009C5840"/>
    <w:rsid w:val="009C59CA"/>
    <w:rsid w:val="009D76E2"/>
    <w:rsid w:val="009E6D89"/>
    <w:rsid w:val="009F0D25"/>
    <w:rsid w:val="009F1CB5"/>
    <w:rsid w:val="00A12304"/>
    <w:rsid w:val="00A25440"/>
    <w:rsid w:val="00A26988"/>
    <w:rsid w:val="00A33474"/>
    <w:rsid w:val="00A403DC"/>
    <w:rsid w:val="00A51A90"/>
    <w:rsid w:val="00A547BE"/>
    <w:rsid w:val="00A55E93"/>
    <w:rsid w:val="00A66F2B"/>
    <w:rsid w:val="00A705A2"/>
    <w:rsid w:val="00A71EF3"/>
    <w:rsid w:val="00A87692"/>
    <w:rsid w:val="00A87B04"/>
    <w:rsid w:val="00A87D42"/>
    <w:rsid w:val="00A93593"/>
    <w:rsid w:val="00A978E7"/>
    <w:rsid w:val="00AA7D8A"/>
    <w:rsid w:val="00AD7FE0"/>
    <w:rsid w:val="00AE13B1"/>
    <w:rsid w:val="00AE1B0B"/>
    <w:rsid w:val="00AF3F07"/>
    <w:rsid w:val="00B0003E"/>
    <w:rsid w:val="00B169E1"/>
    <w:rsid w:val="00B2620A"/>
    <w:rsid w:val="00B27136"/>
    <w:rsid w:val="00B27633"/>
    <w:rsid w:val="00B36EED"/>
    <w:rsid w:val="00B47C68"/>
    <w:rsid w:val="00B5695A"/>
    <w:rsid w:val="00B72B76"/>
    <w:rsid w:val="00B91ACC"/>
    <w:rsid w:val="00BA7546"/>
    <w:rsid w:val="00BA77A8"/>
    <w:rsid w:val="00BB4269"/>
    <w:rsid w:val="00BC4B7F"/>
    <w:rsid w:val="00BE076D"/>
    <w:rsid w:val="00BE1EBE"/>
    <w:rsid w:val="00BE4A47"/>
    <w:rsid w:val="00BE68E0"/>
    <w:rsid w:val="00BE7E09"/>
    <w:rsid w:val="00BF19EC"/>
    <w:rsid w:val="00BF3BE3"/>
    <w:rsid w:val="00C038A7"/>
    <w:rsid w:val="00C21069"/>
    <w:rsid w:val="00C33E4C"/>
    <w:rsid w:val="00C34069"/>
    <w:rsid w:val="00C61C44"/>
    <w:rsid w:val="00C83009"/>
    <w:rsid w:val="00C841D0"/>
    <w:rsid w:val="00C870A8"/>
    <w:rsid w:val="00CA25C5"/>
    <w:rsid w:val="00CC1EEF"/>
    <w:rsid w:val="00CD2B51"/>
    <w:rsid w:val="00CE4341"/>
    <w:rsid w:val="00CF1671"/>
    <w:rsid w:val="00CF69E2"/>
    <w:rsid w:val="00CF6CE2"/>
    <w:rsid w:val="00D04582"/>
    <w:rsid w:val="00D06C20"/>
    <w:rsid w:val="00D06F7A"/>
    <w:rsid w:val="00D31F9E"/>
    <w:rsid w:val="00D3392B"/>
    <w:rsid w:val="00D34745"/>
    <w:rsid w:val="00D543EA"/>
    <w:rsid w:val="00D65353"/>
    <w:rsid w:val="00D65F44"/>
    <w:rsid w:val="00D76E1C"/>
    <w:rsid w:val="00D87E03"/>
    <w:rsid w:val="00D919BF"/>
    <w:rsid w:val="00D94D71"/>
    <w:rsid w:val="00DA36BD"/>
    <w:rsid w:val="00DA511D"/>
    <w:rsid w:val="00DC3F67"/>
    <w:rsid w:val="00DC602D"/>
    <w:rsid w:val="00DE1921"/>
    <w:rsid w:val="00DE2987"/>
    <w:rsid w:val="00DE2BB4"/>
    <w:rsid w:val="00DF0967"/>
    <w:rsid w:val="00E31438"/>
    <w:rsid w:val="00E44569"/>
    <w:rsid w:val="00E46D53"/>
    <w:rsid w:val="00E64B82"/>
    <w:rsid w:val="00E816F5"/>
    <w:rsid w:val="00E879FF"/>
    <w:rsid w:val="00E95A0F"/>
    <w:rsid w:val="00EB07F6"/>
    <w:rsid w:val="00EB41B0"/>
    <w:rsid w:val="00EE1D7F"/>
    <w:rsid w:val="00EE7A2F"/>
    <w:rsid w:val="00EF50CA"/>
    <w:rsid w:val="00F1550F"/>
    <w:rsid w:val="00F15940"/>
    <w:rsid w:val="00F27999"/>
    <w:rsid w:val="00F36652"/>
    <w:rsid w:val="00F37C88"/>
    <w:rsid w:val="00F444A8"/>
    <w:rsid w:val="00F56D69"/>
    <w:rsid w:val="00F93D60"/>
    <w:rsid w:val="00F9415B"/>
    <w:rsid w:val="00F96177"/>
    <w:rsid w:val="00FB342E"/>
    <w:rsid w:val="00FB52C5"/>
    <w:rsid w:val="00FC1677"/>
    <w:rsid w:val="00FD2903"/>
    <w:rsid w:val="00FE1291"/>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0093D"/>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4C872CC"/>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A781954"/>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E517CFB"/>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96A49E3"/>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3C95497"/>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743727"/>
    <w:rsid w:val="5FF330F1"/>
    <w:rsid w:val="60B81339"/>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8892EA2"/>
    <w:rsid w:val="69205264"/>
    <w:rsid w:val="693C4411"/>
    <w:rsid w:val="695217DC"/>
    <w:rsid w:val="69C37032"/>
    <w:rsid w:val="6A6F13E3"/>
    <w:rsid w:val="6AF542A4"/>
    <w:rsid w:val="6B832B04"/>
    <w:rsid w:val="6BD916EE"/>
    <w:rsid w:val="6C194573"/>
    <w:rsid w:val="6CCA1A7F"/>
    <w:rsid w:val="6DD805CD"/>
    <w:rsid w:val="6DD86834"/>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2787</Words>
  <Characters>15888</Characters>
  <Lines>132</Lines>
  <Paragraphs>37</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2023-03-17T08:49:00Z</dcterms:created>
  <dc:creator>ylh</dc:creator>
  <cp:keywords>新版</cp:keywords>
  <cp:lastModifiedBy>马宁</cp:lastModifiedBy>
  <dcterms:modified xsi:type="dcterms:W3CDTF">2024-06-14T02:25:15Z</dcterms:modified>
  <dc:title>华夏理财龙盈固定收益类G款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