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GoBack"/>
      <w:bookmarkEnd w:id="0"/>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杭银理财幸福99月添益1801期理财合同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杭银理财幸福99</w:t>
      </w:r>
      <w:r>
        <w:rPr>
          <w:rFonts w:hint="eastAsia" w:ascii="宋体" w:hAnsi="宋体" w:cs="宋体"/>
          <w:bCs/>
          <w:szCs w:val="44"/>
        </w:rPr>
        <w:t>月添益1801期理财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杭银理财幸福99月添益1801期理财风险揭示书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杭银理财幸福99月添益1801期理财产品说明书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杭银理财幸福99月添益1801期理财风险揭示书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2" w:firstLineChars="200"/>
      </w:pPr>
      <w:r>
        <w:rPr>
          <w:rStyle w:val="21"/>
          <w:rFonts w:hint="eastAsia"/>
          <w:b/>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19"/>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18"/>
        <w:spacing w:line="360" w:lineRule="auto"/>
        <w:jc w:val="both"/>
        <w:rPr>
          <w:rFonts w:hint="eastAsia" w:ascii="宋体" w:hAnsi="宋体" w:cs="宋体"/>
          <w:b/>
          <w:color w:val="auto"/>
        </w:rPr>
      </w:pPr>
    </w:p>
    <w:p>
      <w:pPr>
        <w:pStyle w:val="18"/>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18"/>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8"/>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8"/>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rPr>
          <w:rFonts w:hint="eastAsia" w:ascii="宋体" w:hAnsi="宋体" w:cs="宋体"/>
          <w:b/>
          <w:bCs/>
          <w:color w:val="auto"/>
        </w:rPr>
      </w:pPr>
    </w:p>
    <w:p>
      <w:pPr>
        <w:pStyle w:val="18"/>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p>
    <w:p>
      <w:pPr>
        <w:pStyle w:val="18"/>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18"/>
        <w:spacing w:line="360" w:lineRule="auto"/>
        <w:ind w:firstLine="482" w:firstLineChars="200"/>
        <w:jc w:val="both"/>
        <w:rPr>
          <w:rFonts w:hint="eastAsia" w:ascii="宋体" w:hAnsi="宋体" w:cs="宋体"/>
          <w:b/>
          <w:bCs/>
          <w:color w:val="auto"/>
        </w:rPr>
      </w:pPr>
    </w:p>
    <w:p>
      <w:pPr>
        <w:pStyle w:val="18"/>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杭银理财幸福99月添益1801期理财产品说明书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Wingdings" w:cs="宋体"/>
          <w:color w:val="000000"/>
          <w:kern w:val="0"/>
        </w:rPr>
        <w:t>Z7002221000242</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月添益1801期理财产品说明书</w:t>
      </w:r>
      <w:r>
        <w:rPr>
          <w:rFonts w:hint="eastAsia" w:ascii="宋体" w:hAnsi="宋体" w:cs="宋体"/>
          <w:bCs/>
          <w:color w:val="auto"/>
          <w:kern w:val="2"/>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月添益1801期理财合同不可分割组成部分的风险揭示书，</w:t>
      </w:r>
      <w:r>
        <w:rPr>
          <w:rFonts w:hint="eastAsia" w:ascii="宋体" w:hAnsi="宋体" w:cs="宋体"/>
          <w:bCs/>
          <w:color w:val="auto"/>
          <w:kern w:val="2"/>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月添益1801期理财合同不可分割组成部分的投资者权益须知，</w:t>
      </w:r>
      <w:r>
        <w:rPr>
          <w:rFonts w:hint="eastAsia" w:ascii="宋体" w:hAnsi="宋体" w:cs="宋体"/>
          <w:bCs/>
          <w:color w:val="auto"/>
          <w:kern w:val="2"/>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月添益1801期理财合同不可分割组成部分的理财计划投资协议书，</w:t>
      </w:r>
      <w:r>
        <w:rPr>
          <w:rFonts w:hint="eastAsia" w:ascii="宋体" w:hAnsi="宋体" w:cs="宋体"/>
          <w:bCs/>
          <w:color w:val="auto"/>
          <w:kern w:val="2"/>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月添益1801期理财</w:t>
      </w:r>
      <w:r>
        <w:rPr>
          <w:rFonts w:hint="eastAsia" w:ascii="宋体" w:hAnsi="宋体" w:cs="宋体"/>
          <w:bCs/>
          <w:color w:val="auto"/>
          <w:kern w:val="2"/>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月添益1801期理财。</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指理财计划的申购和赎回开放期内，理财计划任一开放日净赎回申请份额超过上一工作日日终理财计划总份额的〖15%〗，即为发生巨额赎回行为。</w:t>
      </w:r>
    </w:p>
    <w:p>
      <w:pPr>
        <w:pStyle w:val="18"/>
        <w:adjustRightInd/>
        <w:spacing w:line="360" w:lineRule="auto"/>
        <w:rPr>
          <w:rFonts w:hint="eastAsia" w:ascii="宋体" w:hAnsi="宋体" w:cs="宋体"/>
          <w:b/>
          <w:color w:val="auto"/>
          <w:kern w:val="2"/>
        </w:rPr>
      </w:pPr>
    </w:p>
    <w:p>
      <w:pPr>
        <w:pStyle w:val="18"/>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noWrap w:val="0"/>
            <w:vAlign w:val="top"/>
          </w:tcPr>
          <w:p>
            <w:pPr>
              <w:pStyle w:val="18"/>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noWrap w:val="0"/>
            <w:vAlign w:val="top"/>
          </w:tcPr>
          <w:p>
            <w:pPr>
              <w:pStyle w:val="18"/>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noWrap w:val="0"/>
            <w:vAlign w:val="top"/>
          </w:tcPr>
          <w:p>
            <w:pPr>
              <w:pStyle w:val="18"/>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18"/>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18"/>
        <w:adjustRightInd/>
        <w:spacing w:line="360" w:lineRule="auto"/>
        <w:rPr>
          <w:rFonts w:hint="eastAsia" w:ascii="宋体" w:hAnsi="宋体" w:cs="宋体"/>
          <w:b/>
          <w:color w:val="auto"/>
          <w:kern w:val="2"/>
        </w:rPr>
      </w:pPr>
    </w:p>
    <w:p>
      <w:pPr>
        <w:pStyle w:val="18"/>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月添益1801期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noWrap w:val="0"/>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月添益1801期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kern w:val="0"/>
                <w:sz w:val="21"/>
                <w:szCs w:val="21"/>
              </w:rPr>
              <w:t>FRG1801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本理财计划在全国银行业理财信息登记系统的原登记编码是〖C1092018000940〗</w:t>
            </w:r>
            <w:r>
              <w:rPr>
                <w:rFonts w:hint="eastAsia" w:ascii="宋体" w:hAnsi="宋体" w:cs="宋体"/>
                <w:color w:val="000000"/>
                <w:kern w:val="0"/>
              </w:rPr>
              <w:t>，</w:t>
            </w:r>
            <w:r>
              <w:rPr>
                <w:rFonts w:hint="eastAsia" w:ascii="宋体" w:hAnsi="宋体" w:cs="宋体"/>
                <w:color w:val="000000"/>
                <w:sz w:val="21"/>
                <w:szCs w:val="21"/>
              </w:rPr>
              <w:t>变更登记后为〖</w:t>
            </w:r>
            <w:r>
              <w:rPr>
                <w:rFonts w:hint="eastAsia" w:ascii="宋体" w:hAnsi="宋体" w:cs="宋体"/>
                <w:sz w:val="21"/>
                <w:szCs w:val="21"/>
              </w:rPr>
              <w:t>Z7002221000242</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noWrap w:val="0"/>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kern w:val="0"/>
                <w:sz w:val="21"/>
                <w:szCs w:val="21"/>
              </w:rPr>
              <w:t>100</w:t>
            </w:r>
            <w:r>
              <w:rPr>
                <w:rFonts w:hint="eastAsia" w:ascii="宋体" w:hAnsi="宋体" w:cs="宋体"/>
                <w:color w:val="000000"/>
                <w:sz w:val="21"/>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〖2018〗年〖7〗月〖18〗日-〖2018〗年〖7〗月〖24〗日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〖2018〗年〖7〗月〖25〗日-〖2018〗年〖10〗月〖24〗日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noWrap w:val="0"/>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color w:val="000000"/>
                <w:sz w:val="21"/>
                <w:szCs w:val="21"/>
              </w:rPr>
              <w:t>〖开放期为产品确认日前5-7个工作日〗，</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15%</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单户最高存续份额为〖</w:t>
            </w:r>
            <w:r>
              <w:rPr>
                <w:rFonts w:hint="eastAsia" w:ascii="宋体" w:hAnsi="宋体" w:cs="宋体"/>
                <w:sz w:val="21"/>
                <w:szCs w:val="21"/>
                <w:lang w:val="en-US" w:eastAsia="zh-CN"/>
              </w:rPr>
              <w:t>1亿</w:t>
            </w:r>
            <w:r>
              <w:rPr>
                <w:rFonts w:hint="eastAsia" w:ascii="宋体" w:hAnsi="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noWrap w:val="0"/>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本理财计划业绩比较基准为〖2.</w:t>
            </w:r>
            <w:r>
              <w:rPr>
                <w:rFonts w:hint="eastAsia" w:ascii="宋体" w:hAnsi="宋体" w:cs="宋体"/>
                <w:sz w:val="21"/>
                <w:szCs w:val="21"/>
                <w:lang w:val="en-US" w:eastAsia="zh-CN"/>
              </w:rPr>
              <w:t>55</w:t>
            </w:r>
            <w:r>
              <w:rPr>
                <w:rFonts w:hint="eastAsia" w:ascii="宋体" w:hAnsi="宋体" w:cs="宋体"/>
                <w:sz w:val="21"/>
                <w:szCs w:val="21"/>
              </w:rPr>
              <w:t>%-4.00%〗（年化）。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1.销售服务费：收取年化</w:t>
            </w:r>
            <w:r>
              <w:rPr>
                <w:rFonts w:hint="eastAsia" w:ascii="宋体" w:hAnsi="宋体" w:cs="宋体"/>
                <w:sz w:val="21"/>
                <w:szCs w:val="21"/>
              </w:rPr>
              <w:t>〖0.20%〗</w:t>
            </w:r>
            <w:r>
              <w:rPr>
                <w:rFonts w:hint="eastAsia" w:ascii="宋体" w:hAnsi="宋体" w:cs="宋体"/>
                <w:color w:val="000000"/>
                <w:sz w:val="21"/>
                <w:szCs w:val="21"/>
              </w:rPr>
              <w:t>的销售服务费。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noWrap w:val="0"/>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noWrap w:val="0"/>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noWrap w:val="0"/>
            <w:vAlign w:val="top"/>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18"/>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18"/>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numPr>
          <w:ilvl w:val="0"/>
          <w:numId w:val="0"/>
        </w:numPr>
        <w:spacing w:line="360" w:lineRule="auto"/>
        <w:ind w:firstLine="480" w:firstLineChars="200"/>
        <w:jc w:val="left"/>
        <w:outlineLvl w:val="2"/>
        <w:rPr>
          <w:rFonts w:hint="eastAsia" w:ascii="宋体" w:hAnsi="宋体" w:cs="宋体"/>
          <w:b/>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rPr>
          <w:rFonts w:ascii="宋体" w:hAnsi="宋体" w:cs="宋体"/>
          <w:bCs/>
        </w:rPr>
        <w:fldChar w:fldCharType="begin"/>
      </w:r>
      <w:r>
        <w:rPr>
          <w:rFonts w:ascii="宋体" w:hAnsi="宋体" w:cs="宋体"/>
          <w:bCs/>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rPr>
        <w:fldChar w:fldCharType="begin"/>
      </w:r>
      <w:r>
        <w:rPr>
          <w:rFonts w:ascii="宋体" w:hAnsi="宋体" w:cs="宋体"/>
          <w:bCs/>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noWrap w:val="0"/>
            <w:vAlign w:val="top"/>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8"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431"/>
        <w:gridCol w:w="1689"/>
        <w:gridCol w:w="1305"/>
        <w:gridCol w:w="3840"/>
      </w:tblGrid>
      <w:tr>
        <w:tblPrEx>
          <w:tblLayout w:type="fixed"/>
          <w:tblCellMar>
            <w:top w:w="0" w:type="dxa"/>
            <w:left w:w="0" w:type="dxa"/>
            <w:bottom w:w="0" w:type="dxa"/>
            <w:right w:w="0" w:type="dxa"/>
          </w:tblCellMar>
        </w:tblPrEx>
        <w:trPr>
          <w:trHeight w:val="570" w:hRule="atLeast"/>
        </w:trPr>
        <w:tc>
          <w:tcPr>
            <w:tcW w:w="1431"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销售机构信息</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杭州市庆春路46号杭州银行大厦</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兴业银行股份有限公司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厦门国际银行股份有限公司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富邦华一银行有限公司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宁波鄞州农村商业银行股份有限公司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深圳前海微众银行股份有限公司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吉林亿联银行股份有限公司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bidi="ar"/>
              </w:rPr>
              <w:t>9</w:t>
            </w:r>
            <w:r>
              <w:rPr>
                <w:rFonts w:hint="eastAsia" w:ascii="宋体" w:hAnsi="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重庆富民银行股份有限公司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中信百信银行股份有限公司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956</w:t>
            </w: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江苏苏宁银行股份有限公司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95177</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石嘴山银行股份有限公司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齐鲁银行股份有限公司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日照银行股份有限公司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广东南粤银行股份有限公司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浙商银行股份有限公司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澳门国际银行股份有限公司广州分行</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杭银理财有限责任公司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中邮邮惠万家银行有限责任公司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40011-88888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四川天府银行股份有限公司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400-16-96869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江苏常熟农村商业银行股份有限公司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956020</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威海蓝海银行股份有限公司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400-0631-888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sz w:val="21"/>
                <w:szCs w:val="21"/>
              </w:rPr>
            </w:pPr>
            <w:r>
              <w:rPr>
                <w:rFonts w:hint="eastAsia"/>
                <w:sz w:val="21"/>
                <w:szCs w:val="21"/>
              </w:rPr>
              <w:t>温州银行股份有限公司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浙江省温州市鹿城区会展路1316号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top"/>
          </w:tcPr>
          <w:p>
            <w:pP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ascii="宋体" w:hAnsi="宋体"/>
                <w:sz w:val="21"/>
                <w:szCs w:val="21"/>
              </w:rPr>
            </w:pPr>
            <w:r>
              <w:rPr>
                <w:rFonts w:hint="eastAsia" w:ascii="宋体" w:hAnsi="宋体"/>
                <w:sz w:val="21"/>
                <w:szCs w:val="21"/>
              </w:rPr>
              <w:t>0577-96699</w:t>
            </w:r>
          </w:p>
        </w:tc>
      </w:tr>
      <w:tr>
        <w:tblPrEx>
          <w:tblLayout w:type="fixed"/>
          <w:tblCellMar>
            <w:top w:w="0" w:type="dxa"/>
            <w:left w:w="0" w:type="dxa"/>
            <w:bottom w:w="0" w:type="dxa"/>
            <w:right w:w="0" w:type="dxa"/>
          </w:tblCellMar>
        </w:tblPrEx>
        <w:trPr>
          <w:trHeight w:val="1320" w:hRule="atLeast"/>
        </w:trPr>
        <w:tc>
          <w:tcPr>
            <w:tcW w:w="143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销售机构职责</w:t>
            </w:r>
          </w:p>
        </w:tc>
        <w:tc>
          <w:tcPr>
            <w:tcW w:w="683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18"/>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18"/>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8"/>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理财计划财产的年化销售服务费率为</w:t>
      </w:r>
      <w:r>
        <w:rPr>
          <w:rFonts w:hint="eastAsia" w:ascii="宋体" w:hAnsi="宋体" w:cs="宋体"/>
          <w:szCs w:val="21"/>
        </w:rPr>
        <w:t>〖0.20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〖0.20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理财计划财产的年化固定管理费率为</w:t>
      </w:r>
      <w:r>
        <w:rPr>
          <w:rFonts w:hint="eastAsia" w:ascii="宋体" w:hAnsi="宋体" w:cs="宋体"/>
          <w:szCs w:val="21"/>
        </w:rPr>
        <w:t>〖</w:t>
      </w:r>
      <w:r>
        <w:rPr>
          <w:rFonts w:hint="eastAsia" w:ascii="宋体" w:hAnsi="宋体"/>
          <w:color w:val="000000"/>
        </w:rPr>
        <w:t>0.30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0.30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ascii="宋体" w:hAnsi="宋体" w:cs="宋体"/>
          <w:bCs/>
          <w:color w:val="000000"/>
        </w:rPr>
      </w:pPr>
      <w:r>
        <w:rPr>
          <w:rFonts w:hint="eastAsia" w:ascii="宋体" w:hAnsi="宋体" w:cs="宋体"/>
          <w:bCs/>
          <w:color w:val="000000"/>
        </w:rPr>
        <w:t>以某投资者投资10万元为例，假设购买时理财计划净值为1.00元，折算份额为100,000.00份,假设投资理财计划362天后，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以某投资者投资10万元为例，假设购买时理财计划净值为1.00元，折算份额为100,000.00份，假设投资理财计划362天，</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理财计划存续期内，若理财计划开放日净赎回申请份额超过上一日日终理财计划总份额〖15%〗时，即构成巨额赎回。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15%〗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在理财计划期限内，管理人根据投资情况有提前终止权，于本理财计划提前终止日前〖1〗个工作日通过管理人或销售机构发布提前终止公告，并于终止日后</w:t>
      </w:r>
      <w:r>
        <w:rPr>
          <w:rFonts w:hint="eastAsia" w:ascii="宋体" w:hAnsi="宋体" w:cs="宋体"/>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rPr>
          <w:rFonts w:hint="eastAsia" w:ascii="宋体" w:hAnsi="宋体" w:cs="宋体"/>
          <w:kern w:val="0"/>
        </w:rPr>
        <w:fldChar w:fldCharType="begin"/>
      </w:r>
      <w:r>
        <w:rPr>
          <w:rFonts w:hint="eastAsia" w:ascii="宋体" w:hAnsi="宋体" w:cs="宋体"/>
          <w:kern w:val="0"/>
        </w:rPr>
        <w:instrText xml:space="preserve"> HYPERLINK "http://www.hzbankwealth.cn" </w:instrText>
      </w:r>
      <w:r>
        <w:rPr>
          <w:rFonts w:hint="eastAsia" w:ascii="宋体" w:hAnsi="宋体" w:cs="宋体"/>
          <w:kern w:val="0"/>
        </w:rPr>
        <w:fldChar w:fldCharType="separate"/>
      </w:r>
      <w:r>
        <w:rPr>
          <w:rStyle w:val="14"/>
          <w:rFonts w:hint="eastAsia" w:ascii="宋体" w:hAnsi="宋体" w:cs="宋体"/>
          <w:color w:val="auto"/>
          <w:kern w:val="0"/>
          <w:u w:val="none"/>
        </w:rPr>
        <w:t>www.hzbank.com.cn</w:t>
      </w:r>
      <w:r>
        <w:rPr>
          <w:rFonts w:hint="eastAsia" w:ascii="宋体" w:hAnsi="宋体" w:cs="宋体"/>
          <w:kern w:val="0"/>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rPr>
          <w:rFonts w:ascii="宋体" w:hAnsi="宋体" w:cs="宋体"/>
          <w:bCs/>
          <w:color w:val="000000"/>
        </w:rPr>
      </w:pPr>
    </w:p>
    <w:p>
      <w:pPr>
        <w:spacing w:line="360" w:lineRule="auto"/>
        <w:rPr>
          <w:rFonts w:ascii="宋体" w:hAnsi="宋体" w:cs="宋体"/>
          <w:bCs/>
          <w:color w:val="000000"/>
        </w:rPr>
      </w:pPr>
    </w:p>
    <w:p>
      <w:pPr>
        <w:spacing w:line="360" w:lineRule="auto"/>
        <w:rPr>
          <w:rFonts w:ascii="宋体" w:hAnsi="宋体" w:cs="宋体"/>
          <w:bCs/>
          <w:color w:val="000000"/>
        </w:rPr>
      </w:pPr>
    </w:p>
    <w:p>
      <w:pPr>
        <w:jc w:val="center"/>
        <w:outlineLvl w:val="0"/>
        <w:rPr>
          <w:rFonts w:hint="eastAsia"/>
          <w:b/>
          <w:sz w:val="44"/>
          <w:szCs w:val="44"/>
        </w:rPr>
      </w:pPr>
    </w:p>
    <w:p>
      <w:pPr>
        <w:jc w:val="center"/>
        <w:outlineLvl w:val="0"/>
        <w:rPr>
          <w:rFonts w:hint="eastAsia"/>
          <w:b/>
          <w:sz w:val="44"/>
          <w:szCs w:val="44"/>
        </w:rPr>
      </w:pPr>
    </w:p>
    <w:p>
      <w:pPr>
        <w:jc w:val="center"/>
        <w:outlineLvl w:val="0"/>
        <w:rPr>
          <w:rFonts w:hint="eastAsia"/>
          <w:b/>
          <w:sz w:val="44"/>
          <w:szCs w:val="44"/>
        </w:rPr>
      </w:pP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807BBD"/>
    <w:rsid w:val="00CE609A"/>
    <w:rsid w:val="00D5498D"/>
    <w:rsid w:val="00FE0B1E"/>
    <w:rsid w:val="01364432"/>
    <w:rsid w:val="01523B8E"/>
    <w:rsid w:val="01E60817"/>
    <w:rsid w:val="01FD241C"/>
    <w:rsid w:val="046C4318"/>
    <w:rsid w:val="0486279B"/>
    <w:rsid w:val="05E05E4D"/>
    <w:rsid w:val="06420CFA"/>
    <w:rsid w:val="06503B59"/>
    <w:rsid w:val="06A7038C"/>
    <w:rsid w:val="06C426A7"/>
    <w:rsid w:val="06F301FD"/>
    <w:rsid w:val="0752555A"/>
    <w:rsid w:val="07E45984"/>
    <w:rsid w:val="0828699A"/>
    <w:rsid w:val="087D4021"/>
    <w:rsid w:val="08A24D34"/>
    <w:rsid w:val="08B45973"/>
    <w:rsid w:val="09155E8F"/>
    <w:rsid w:val="097E3F67"/>
    <w:rsid w:val="0A0C6349"/>
    <w:rsid w:val="0A1347F5"/>
    <w:rsid w:val="0A1F0090"/>
    <w:rsid w:val="0A1F3796"/>
    <w:rsid w:val="0A2A32B9"/>
    <w:rsid w:val="0B8E27E3"/>
    <w:rsid w:val="0BF71AE2"/>
    <w:rsid w:val="0C5F5960"/>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11115B"/>
    <w:rsid w:val="12B62B3B"/>
    <w:rsid w:val="12F57C75"/>
    <w:rsid w:val="12F96486"/>
    <w:rsid w:val="13031153"/>
    <w:rsid w:val="13181417"/>
    <w:rsid w:val="135A629F"/>
    <w:rsid w:val="13CF7B8E"/>
    <w:rsid w:val="14B80FF2"/>
    <w:rsid w:val="14C57FED"/>
    <w:rsid w:val="150C5665"/>
    <w:rsid w:val="15C56302"/>
    <w:rsid w:val="160940BB"/>
    <w:rsid w:val="1659752C"/>
    <w:rsid w:val="16E43A7F"/>
    <w:rsid w:val="175A52FF"/>
    <w:rsid w:val="175F7C56"/>
    <w:rsid w:val="185A3DA1"/>
    <w:rsid w:val="198C4B50"/>
    <w:rsid w:val="19DA4F78"/>
    <w:rsid w:val="19F13F4F"/>
    <w:rsid w:val="1A102675"/>
    <w:rsid w:val="1B280245"/>
    <w:rsid w:val="1B581220"/>
    <w:rsid w:val="1B843575"/>
    <w:rsid w:val="1BBE4697"/>
    <w:rsid w:val="1BCA76F9"/>
    <w:rsid w:val="1C331DC6"/>
    <w:rsid w:val="1D4D5B7F"/>
    <w:rsid w:val="1D552DD9"/>
    <w:rsid w:val="1DAB6D83"/>
    <w:rsid w:val="1E3173A3"/>
    <w:rsid w:val="1E792E51"/>
    <w:rsid w:val="1F0F5A19"/>
    <w:rsid w:val="1F1D6E1F"/>
    <w:rsid w:val="1F3E7F7D"/>
    <w:rsid w:val="1F51312D"/>
    <w:rsid w:val="1FC9553A"/>
    <w:rsid w:val="2034503A"/>
    <w:rsid w:val="204D3B12"/>
    <w:rsid w:val="205A2AB3"/>
    <w:rsid w:val="20B6224D"/>
    <w:rsid w:val="21025026"/>
    <w:rsid w:val="21036497"/>
    <w:rsid w:val="21C9316A"/>
    <w:rsid w:val="22A04AF7"/>
    <w:rsid w:val="22A73C8E"/>
    <w:rsid w:val="22B445F4"/>
    <w:rsid w:val="22D3594B"/>
    <w:rsid w:val="22F12819"/>
    <w:rsid w:val="234F46D7"/>
    <w:rsid w:val="23753F06"/>
    <w:rsid w:val="238E1AAE"/>
    <w:rsid w:val="24030B6D"/>
    <w:rsid w:val="241B4320"/>
    <w:rsid w:val="242E0FE9"/>
    <w:rsid w:val="24345B9A"/>
    <w:rsid w:val="245517BD"/>
    <w:rsid w:val="2483647E"/>
    <w:rsid w:val="256F076F"/>
    <w:rsid w:val="25AF7681"/>
    <w:rsid w:val="26820AF7"/>
    <w:rsid w:val="27947E62"/>
    <w:rsid w:val="27BF42BB"/>
    <w:rsid w:val="27EB2573"/>
    <w:rsid w:val="286E70E5"/>
    <w:rsid w:val="292668E3"/>
    <w:rsid w:val="29361BBD"/>
    <w:rsid w:val="298A1023"/>
    <w:rsid w:val="2A124404"/>
    <w:rsid w:val="2A1B5D68"/>
    <w:rsid w:val="2A2C294D"/>
    <w:rsid w:val="2A460C0A"/>
    <w:rsid w:val="2A5975B6"/>
    <w:rsid w:val="2A991D32"/>
    <w:rsid w:val="2AB618AE"/>
    <w:rsid w:val="2AB92324"/>
    <w:rsid w:val="2AD6555A"/>
    <w:rsid w:val="2B376BE0"/>
    <w:rsid w:val="2BFA3BD7"/>
    <w:rsid w:val="2C1B1E9D"/>
    <w:rsid w:val="2CAB68C5"/>
    <w:rsid w:val="2E354AE5"/>
    <w:rsid w:val="2E375159"/>
    <w:rsid w:val="2E91385D"/>
    <w:rsid w:val="2EBC6D03"/>
    <w:rsid w:val="2ED35539"/>
    <w:rsid w:val="2F196945"/>
    <w:rsid w:val="2F1F666C"/>
    <w:rsid w:val="2F346304"/>
    <w:rsid w:val="2FD32A37"/>
    <w:rsid w:val="30551FFC"/>
    <w:rsid w:val="30CB6CEC"/>
    <w:rsid w:val="311F702A"/>
    <w:rsid w:val="31A82883"/>
    <w:rsid w:val="320E3E15"/>
    <w:rsid w:val="32B15B31"/>
    <w:rsid w:val="32C937E9"/>
    <w:rsid w:val="333F6AA7"/>
    <w:rsid w:val="3480359E"/>
    <w:rsid w:val="34BE4ED5"/>
    <w:rsid w:val="35476F5E"/>
    <w:rsid w:val="354D3F58"/>
    <w:rsid w:val="359A216E"/>
    <w:rsid w:val="36631FD8"/>
    <w:rsid w:val="36C419F2"/>
    <w:rsid w:val="36E72D9B"/>
    <w:rsid w:val="36FD7080"/>
    <w:rsid w:val="379F2ED6"/>
    <w:rsid w:val="37CA172C"/>
    <w:rsid w:val="37DC2068"/>
    <w:rsid w:val="38071350"/>
    <w:rsid w:val="38224FD0"/>
    <w:rsid w:val="38C43569"/>
    <w:rsid w:val="39775E90"/>
    <w:rsid w:val="39AC0F1B"/>
    <w:rsid w:val="3A3E2041"/>
    <w:rsid w:val="3B131EF6"/>
    <w:rsid w:val="3B490D86"/>
    <w:rsid w:val="3BD74075"/>
    <w:rsid w:val="3C2F2290"/>
    <w:rsid w:val="3E32033E"/>
    <w:rsid w:val="3E6E3802"/>
    <w:rsid w:val="3EA67C14"/>
    <w:rsid w:val="3EAD1B36"/>
    <w:rsid w:val="3ECC5047"/>
    <w:rsid w:val="3F056B9E"/>
    <w:rsid w:val="3F354A62"/>
    <w:rsid w:val="3FB01289"/>
    <w:rsid w:val="3FBB06A4"/>
    <w:rsid w:val="3FE233B8"/>
    <w:rsid w:val="3FF54C55"/>
    <w:rsid w:val="40181F9C"/>
    <w:rsid w:val="40463495"/>
    <w:rsid w:val="406370BC"/>
    <w:rsid w:val="40FB7670"/>
    <w:rsid w:val="41B60000"/>
    <w:rsid w:val="423C06E2"/>
    <w:rsid w:val="4271642C"/>
    <w:rsid w:val="42815397"/>
    <w:rsid w:val="42C94634"/>
    <w:rsid w:val="435E04F8"/>
    <w:rsid w:val="437C10A3"/>
    <w:rsid w:val="43900C29"/>
    <w:rsid w:val="43B7021F"/>
    <w:rsid w:val="45540446"/>
    <w:rsid w:val="4565640C"/>
    <w:rsid w:val="458F3937"/>
    <w:rsid w:val="459F641E"/>
    <w:rsid w:val="45A93DC9"/>
    <w:rsid w:val="45BB5620"/>
    <w:rsid w:val="45F127ED"/>
    <w:rsid w:val="46263D02"/>
    <w:rsid w:val="46A80839"/>
    <w:rsid w:val="46CD66A0"/>
    <w:rsid w:val="46FF31D3"/>
    <w:rsid w:val="472803B7"/>
    <w:rsid w:val="478411E4"/>
    <w:rsid w:val="486E1F78"/>
    <w:rsid w:val="4871336C"/>
    <w:rsid w:val="488B59A4"/>
    <w:rsid w:val="48CC5267"/>
    <w:rsid w:val="494502E1"/>
    <w:rsid w:val="4A010AC9"/>
    <w:rsid w:val="4A7F0ADF"/>
    <w:rsid w:val="4AA612F0"/>
    <w:rsid w:val="4B0D3113"/>
    <w:rsid w:val="4B7523C9"/>
    <w:rsid w:val="4C6B0DDA"/>
    <w:rsid w:val="4C6E1306"/>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F765EC"/>
    <w:rsid w:val="542B7170"/>
    <w:rsid w:val="54E91D9C"/>
    <w:rsid w:val="55A47BB4"/>
    <w:rsid w:val="56B44788"/>
    <w:rsid w:val="57BB6218"/>
    <w:rsid w:val="57FF3AAA"/>
    <w:rsid w:val="580A65D5"/>
    <w:rsid w:val="58DD2EEE"/>
    <w:rsid w:val="58E96C7A"/>
    <w:rsid w:val="59263C31"/>
    <w:rsid w:val="59AD3C67"/>
    <w:rsid w:val="5A4B183F"/>
    <w:rsid w:val="5B0D630F"/>
    <w:rsid w:val="5B602150"/>
    <w:rsid w:val="5B9919B4"/>
    <w:rsid w:val="5BA475F9"/>
    <w:rsid w:val="5BB70148"/>
    <w:rsid w:val="5C3C3DDC"/>
    <w:rsid w:val="5D160516"/>
    <w:rsid w:val="5D713BC5"/>
    <w:rsid w:val="5D7D0F36"/>
    <w:rsid w:val="5DB61BFF"/>
    <w:rsid w:val="5DEF454B"/>
    <w:rsid w:val="5E5A6C63"/>
    <w:rsid w:val="5F3C6712"/>
    <w:rsid w:val="5F4B58F3"/>
    <w:rsid w:val="604A333E"/>
    <w:rsid w:val="6053481F"/>
    <w:rsid w:val="60553A8D"/>
    <w:rsid w:val="606E0DED"/>
    <w:rsid w:val="60AB2000"/>
    <w:rsid w:val="61C97391"/>
    <w:rsid w:val="61D85325"/>
    <w:rsid w:val="62860AAA"/>
    <w:rsid w:val="628B7CEE"/>
    <w:rsid w:val="629D5796"/>
    <w:rsid w:val="63FA4C5C"/>
    <w:rsid w:val="640906AA"/>
    <w:rsid w:val="64102A52"/>
    <w:rsid w:val="64BC6713"/>
    <w:rsid w:val="659455AE"/>
    <w:rsid w:val="662D3E06"/>
    <w:rsid w:val="66A72F3A"/>
    <w:rsid w:val="66F54088"/>
    <w:rsid w:val="671E2162"/>
    <w:rsid w:val="67C2281F"/>
    <w:rsid w:val="67DC43BB"/>
    <w:rsid w:val="680C1A56"/>
    <w:rsid w:val="68D8721E"/>
    <w:rsid w:val="6AE12B3F"/>
    <w:rsid w:val="6B610D05"/>
    <w:rsid w:val="6BAC21D5"/>
    <w:rsid w:val="6CED1CB3"/>
    <w:rsid w:val="6D3B42C3"/>
    <w:rsid w:val="6D5A3D63"/>
    <w:rsid w:val="6D9A4080"/>
    <w:rsid w:val="6E7E575F"/>
    <w:rsid w:val="6EBE26DA"/>
    <w:rsid w:val="6EF15941"/>
    <w:rsid w:val="6F926461"/>
    <w:rsid w:val="6F9921A1"/>
    <w:rsid w:val="6FA538B5"/>
    <w:rsid w:val="720B7A64"/>
    <w:rsid w:val="720F6016"/>
    <w:rsid w:val="73407EBD"/>
    <w:rsid w:val="73932176"/>
    <w:rsid w:val="73EF4563"/>
    <w:rsid w:val="74175679"/>
    <w:rsid w:val="744124AA"/>
    <w:rsid w:val="74664F47"/>
    <w:rsid w:val="756E538F"/>
    <w:rsid w:val="758C1972"/>
    <w:rsid w:val="76BF0019"/>
    <w:rsid w:val="76C7589D"/>
    <w:rsid w:val="76F41323"/>
    <w:rsid w:val="774C246A"/>
    <w:rsid w:val="778222EA"/>
    <w:rsid w:val="77A30DC4"/>
    <w:rsid w:val="77E0572E"/>
    <w:rsid w:val="77ED4104"/>
    <w:rsid w:val="78B52C2B"/>
    <w:rsid w:val="78EF4372"/>
    <w:rsid w:val="79667E22"/>
    <w:rsid w:val="79771B00"/>
    <w:rsid w:val="7980282D"/>
    <w:rsid w:val="798F6426"/>
    <w:rsid w:val="79B94653"/>
    <w:rsid w:val="7A327037"/>
    <w:rsid w:val="7ACA272A"/>
    <w:rsid w:val="7B0E7C70"/>
    <w:rsid w:val="7B2E004A"/>
    <w:rsid w:val="7B76641B"/>
    <w:rsid w:val="7BBF1397"/>
    <w:rsid w:val="7E0B216F"/>
    <w:rsid w:val="7E5F1CAF"/>
    <w:rsid w:val="7E6F339A"/>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19"/>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3"/>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标题 3 字符"/>
    <w:link w:val="4"/>
    <w:uiPriority w:val="0"/>
    <w:rPr>
      <w:rFonts w:hAnsi="Calibri" w:eastAsia="宋体"/>
      <w:b/>
      <w:sz w:val="24"/>
    </w:rPr>
  </w:style>
  <w:style w:type="character" w:customStyle="1" w:styleId="20">
    <w:name w:val="批注框文本 字符"/>
    <w:link w:val="6"/>
    <w:uiPriority w:val="0"/>
    <w:rPr>
      <w:rFonts w:ascii="Calibri" w:hAnsi="Calibri" w:cs="黑体"/>
      <w:kern w:val="2"/>
      <w:sz w:val="18"/>
      <w:szCs w:val="18"/>
    </w:rPr>
  </w:style>
  <w:style w:type="character" w:customStyle="1" w:styleId="21">
    <w:name w:val="标题 2 字符"/>
    <w:link w:val="3"/>
    <w:uiPriority w:val="0"/>
    <w:rPr>
      <w:rFonts w:ascii="Arial" w:hAnsi="Arial" w:eastAsia="宋体"/>
      <w:b/>
      <w:sz w:val="24"/>
    </w:rPr>
  </w:style>
  <w:style w:type="character" w:customStyle="1" w:styleId="22">
    <w:name w:val="批注文字 字符"/>
    <w:link w:val="5"/>
    <w:uiPriority w:val="0"/>
    <w:rPr>
      <w:rFonts w:ascii="Calibri" w:hAnsi="Calibri" w:cs="黑体"/>
      <w:kern w:val="2"/>
      <w:sz w:val="21"/>
      <w:szCs w:val="24"/>
    </w:rPr>
  </w:style>
  <w:style w:type="character" w:customStyle="1" w:styleId="23">
    <w:name w:val="批注主题 字符"/>
    <w:link w:val="10"/>
    <w:uiPriority w:val="0"/>
    <w:rPr>
      <w:rFonts w:ascii="Calibri" w:hAnsi="Calibri" w:cs="黑体"/>
      <w:b/>
      <w:bCs/>
      <w:kern w:val="2"/>
      <w:sz w:val="21"/>
      <w:szCs w:val="24"/>
    </w:rPr>
  </w:style>
  <w:style w:type="character" w:customStyle="1" w:styleId="24">
    <w:name w:val="标题 1 字符"/>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5633</Words>
  <Characters>32109</Characters>
  <Lines>267</Lines>
  <Paragraphs>75</Paragraphs>
  <TotalTime>0</TotalTime>
  <ScaleCrop>false</ScaleCrop>
  <LinksUpToDate>false</LinksUpToDate>
  <CharactersWithSpaces>37667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2023-11-24T06:03:37Z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