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5.8.0.0 -->
  <w:body>
    <w:p w:rsidR="00CE5B30">
      <w:pPr>
        <w:jc w:val="center"/>
        <w:rPr>
          <w:rFonts w:ascii="宋体" w:eastAsia="宋体" w:hAnsi="宋体"/>
          <w:b/>
          <w:sz w:val="32"/>
          <w:szCs w:val="20"/>
        </w:rPr>
      </w:pPr>
    </w:p>
    <w:p w:rsidR="00CE5B30">
      <w:pPr>
        <w:adjustRightInd w:val="0"/>
        <w:snapToGrid w:val="0"/>
        <w:spacing w:line="460" w:lineRule="exact"/>
        <w:jc w:val="center"/>
        <w:rPr>
          <w:rFonts w:ascii="Times New Roman" w:eastAsia="方正楷体简体" w:hAnsi="Times New Roman"/>
          <w:sz w:val="24"/>
        </w:rPr>
      </w:pPr>
    </w:p>
    <w:p w:rsidR="00CE5B30"/>
    <w:p w:rsidR="00CE5B30">
      <w:pPr>
        <w:autoSpaceDE w:val="0"/>
        <w:autoSpaceDN w:val="0"/>
        <w:spacing w:before="220"/>
        <w:jc w:val="center"/>
        <w:rPr>
          <w:rFonts w:ascii="仿宋_GB2312" w:eastAsia="仿宋_GB2312" w:hAnsi="仿宋_GB2312" w:cs="仿宋_GB2312"/>
          <w:b/>
          <w:kern w:val="0"/>
          <w:sz w:val="52"/>
          <w:szCs w:val="52"/>
          <w:lang w:bidi="zh-CN"/>
        </w:rPr>
      </w:pPr>
      <w:r>
        <w:rPr>
          <w:rFonts w:ascii="仿宋_GB2312" w:eastAsia="仿宋_GB2312" w:hAnsi="仿宋_GB2312" w:cs="仿宋_GB2312" w:hint="eastAsia"/>
          <w:b/>
          <w:kern w:val="0"/>
          <w:sz w:val="52"/>
          <w:szCs w:val="52"/>
          <w:lang w:bidi="zh-CN"/>
        </w:rPr>
        <w:t>丰裕固收23022期</w:t>
      </w:r>
    </w:p>
    <w:p w:rsidR="00CE5B30">
      <w:pPr>
        <w:autoSpaceDE w:val="0"/>
        <w:autoSpaceDN w:val="0"/>
        <w:spacing w:line="360" w:lineRule="auto"/>
        <w:jc w:val="center"/>
        <w:rPr>
          <w:rFonts w:ascii="仿宋_GB2312" w:eastAsia="仿宋_GB2312" w:hAnsi="仿宋_GB2312" w:cs="仿宋_GB2312"/>
          <w:b/>
          <w:bCs/>
          <w:kern w:val="0"/>
          <w:sz w:val="44"/>
          <w:szCs w:val="44"/>
          <w:lang w:bidi="zh-CN"/>
        </w:rPr>
      </w:pPr>
      <w:r>
        <w:rPr>
          <w:rFonts w:ascii="仿宋_GB2312" w:eastAsia="仿宋_GB2312" w:hAnsi="仿宋_GB2312" w:cs="仿宋_GB2312" w:hint="eastAsia"/>
          <w:b/>
          <w:bCs/>
          <w:kern w:val="0"/>
          <w:sz w:val="44"/>
          <w:szCs w:val="44"/>
          <w:lang w:bidi="zh-CN"/>
        </w:rPr>
        <w:t>2023</w:t>
      </w:r>
      <w:r>
        <w:rPr>
          <w:rFonts w:ascii="仿宋_GB2312" w:eastAsia="仿宋_GB2312" w:hAnsi="仿宋_GB2312" w:cs="仿宋_GB2312"/>
          <w:b/>
          <w:sz w:val="44"/>
        </w:rPr>
        <w:t>年</w:t>
      </w:r>
      <w:r>
        <w:rPr>
          <w:rFonts w:ascii="仿宋_GB2312" w:eastAsia="仿宋_GB2312" w:hAnsi="仿宋_GB2312" w:cs="仿宋_GB2312"/>
          <w:b/>
          <w:sz w:val="44"/>
        </w:rPr>
        <w:t>第3季度报告</w:t>
      </w:r>
    </w:p>
    <w:p w:rsidR="00CE5B30">
      <w:pPr>
        <w:jc w:val="center"/>
        <w:rPr>
          <w:rFonts w:ascii="宋体" w:eastAsia="宋体" w:hAnsi="宋体" w:cs="Times New Roman"/>
          <w:color w:val="0000FF"/>
          <w:kern w:val="0"/>
          <w:sz w:val="18"/>
          <w:szCs w:val="20"/>
        </w:rPr>
      </w:pPr>
    </w:p>
    <w:p w:rsidR="00CE5B30">
      <w:pPr>
        <w:jc w:val="center"/>
        <w:rPr>
          <w:rFonts w:eastAsia="宋体"/>
          <w:sz w:val="24"/>
        </w:rPr>
      </w:pPr>
    </w:p>
    <w:p w:rsidR="00CE5B30">
      <w:pPr>
        <w:jc w:val="center"/>
        <w:rPr>
          <w:rFonts w:eastAsia="宋体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产品管理人：</w:t>
      </w:r>
      <w:r>
        <w:rPr>
          <w:rFonts w:ascii="仿宋" w:eastAsia="仿宋" w:hAnsi="仿宋" w:cs="仿宋"/>
          <w:sz w:val="24"/>
        </w:rPr>
        <w:t>杭银理财有限责任公司</w:t>
      </w:r>
    </w:p>
    <w:p w:rsidR="00CE5B30">
      <w:pPr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产品托管人：</w:t>
      </w:r>
      <w:r>
        <w:rPr>
          <w:rFonts w:ascii="仿宋" w:eastAsia="仿宋" w:hAnsi="仿宋" w:cs="仿宋"/>
          <w:sz w:val="24"/>
        </w:rPr>
        <w:t>杭州银行股份有限公司</w:t>
      </w:r>
    </w:p>
    <w:p w:rsidR="00CE5B30">
      <w:pPr>
        <w:jc w:val="center"/>
        <w:rPr>
          <w:rFonts w:ascii="仿宋" w:eastAsia="仿宋" w:hAnsi="仿宋" w:cs="仿宋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2023年10月18日</w:t>
      </w:r>
    </w:p>
    <w:p w:rsidR="00CE5B30">
      <w:pPr>
        <w:rPr>
          <w:rFonts w:ascii="宋体" w:eastAsia="宋体" w:hAnsi="宋体"/>
        </w:rPr>
      </w:pPr>
    </w:p>
    <w:p w:rsidR="00CE5B30">
      <w:pPr>
        <w:jc w:val="center"/>
        <w:rPr>
          <w:rFonts w:ascii="宋体" w:eastAsia="宋体" w:hAnsi="宋体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0" w:name="_Toc379618105"/>
      <w:r>
        <w:rPr>
          <w:rFonts w:ascii="仿宋" w:eastAsia="仿宋" w:hAnsi="仿宋" w:cs="仿宋" w:hint="eastAsia"/>
          <w:sz w:val="24"/>
        </w:rPr>
        <w:t>§1  重要提示</w:t>
      </w:r>
      <w:bookmarkEnd w:id="0"/>
    </w:p>
    <w:tbl>
      <w:tblPr>
        <w:tblW w:w="9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20"/>
      </w:tblGrid>
      <w:tr>
        <w:tblPrEx>
          <w:tblW w:w="91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41"/>
        </w:trPr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color w:val="40404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产品管理人承诺以诚实信用、勤勉尽责的原则管理和运用产品资产，并如实反映产品财务指标及投资组合情况，但不保证产品一定盈利。</w:t>
            </w:r>
          </w:p>
          <w:p w:rsidR="00CE5B30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color w:val="40404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产品托管人根据本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产品</w:t>
            </w: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合同规定，于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2023年9月30日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复核了本报告中的财务指标、净值表现和投资组合报告等内容，保证复核内容不存在虚假记载、误导性陈述或者重大遗漏。</w:t>
            </w:r>
          </w:p>
          <w:p w:rsidR="00CE5B30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color w:val="40404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产品的过往业绩并不代表其未来表现。投资有风险，投资者在作出投资决策前应仔细阅读本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产品</w:t>
            </w: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的产品说明书。</w:t>
            </w:r>
          </w:p>
          <w:p w:rsidR="00CE5B30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color w:val="40404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本报告中财务资料未经审计。</w:t>
            </w:r>
          </w:p>
          <w:p w:rsidR="00CE5B30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本报告期自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2023年7月1日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起至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2023年9月30日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止。</w:t>
            </w:r>
          </w:p>
        </w:tc>
      </w:tr>
    </w:tbl>
    <w:p w:rsidR="00CE5B30">
      <w:pPr>
        <w:rPr>
          <w:rStyle w:val="a"/>
          <w:rFonts w:ascii="仿宋" w:eastAsia="仿宋" w:hAnsi="仿宋" w:cs="仿宋"/>
          <w:color w:val="0000FF"/>
          <w:sz w:val="24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1" w:name="_Toc67575498"/>
      <w:r>
        <w:rPr>
          <w:rFonts w:ascii="仿宋" w:eastAsia="仿宋" w:hAnsi="仿宋" w:cs="仿宋" w:hint="eastAsia"/>
          <w:sz w:val="24"/>
        </w:rPr>
        <w:t>§2  产品概况</w:t>
      </w:r>
      <w:bookmarkEnd w:id="1"/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2" w:name="_Toc1870029270"/>
      <w:bookmarkStart w:id="3" w:name="_Toc354129567"/>
      <w:r>
        <w:rPr>
          <w:rFonts w:ascii="仿宋" w:eastAsia="仿宋" w:hAnsi="仿宋" w:cs="仿宋" w:hint="eastAsia"/>
          <w:b/>
          <w:sz w:val="24"/>
        </w:rPr>
        <w:t>2.1 产品基本情况</w:t>
      </w:r>
      <w:bookmarkEnd w:id="2"/>
      <w:bookmarkEnd w:id="3"/>
    </w:p>
    <w:tbl>
      <w:tblPr>
        <w:tblW w:w="9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55"/>
        <w:gridCol w:w="5784"/>
      </w:tblGrid>
      <w:tr>
        <w:tblPrEx>
          <w:tblW w:w="913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产品名称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丰裕固收23022期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产品代码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FYG23022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理财信息登记系统登记编码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Z7002223000024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产品成立日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2023年1月31日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产品到期日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2025年2月6日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产品募集方式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公募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产品运作模式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封闭式净值型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产品投资性质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固定收益类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业绩比较基准（%）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4.60%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报告期末产品规模（元）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1,142,762,491.83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杠杆水平（%）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145.44%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风险等级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中低风险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产品管理人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杭银理财有限责任公司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产品托管人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杭州银行股份有限公司</w:t>
            </w:r>
          </w:p>
        </w:tc>
      </w:tr>
    </w:tbl>
    <w:p w:rsidR="00CE5B30">
      <w:pPr>
        <w:adjustRightInd w:val="0"/>
        <w:snapToGrid w:val="0"/>
        <w:spacing w:line="36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*杠杆水平=总资产/理财产品净资产，理财产品净资产=总资产-总负债</w:t>
      </w:r>
    </w:p>
    <w:p w:rsidR="00CE5B30">
      <w:pPr>
        <w:adjustRightInd w:val="0"/>
        <w:snapToGrid w:val="0"/>
        <w:spacing w:line="360" w:lineRule="exact"/>
        <w:rPr>
          <w:rFonts w:ascii="仿宋" w:eastAsia="仿宋" w:hAnsi="仿宋" w:cs="仿宋"/>
          <w:color w:val="000000"/>
          <w:sz w:val="24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4" w:name="_Toc1158767045"/>
      <w:r>
        <w:rPr>
          <w:rFonts w:ascii="仿宋" w:eastAsia="仿宋" w:hAnsi="仿宋" w:cs="仿宋" w:hint="eastAsia"/>
          <w:sz w:val="24"/>
        </w:rPr>
        <w:t>§3  主要财务指标和产品净值表现</w:t>
      </w:r>
      <w:bookmarkEnd w:id="4"/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5" w:name="_Toc2016014319"/>
      <w:r>
        <w:rPr>
          <w:rFonts w:ascii="仿宋" w:eastAsia="仿宋" w:hAnsi="仿宋" w:cs="仿宋" w:hint="eastAsia"/>
          <w:b/>
          <w:sz w:val="24"/>
        </w:rPr>
        <w:t>3.1 主要财务指标和产品净值表现</w:t>
      </w:r>
      <w:bookmarkEnd w:id="5"/>
    </w:p>
    <w:p w:rsidR="00CE5B30">
      <w:pPr>
        <w:adjustRightInd w:val="0"/>
        <w:snapToGrid w:val="0"/>
        <w:spacing w:line="440" w:lineRule="exact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单位：元、份、元/份</w:t>
      </w:r>
    </w:p>
    <w:tbl>
      <w:tblPr>
        <w:tblW w:w="9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05"/>
        <w:gridCol w:w="1418"/>
        <w:gridCol w:w="585"/>
        <w:gridCol w:w="407"/>
        <w:gridCol w:w="992"/>
        <w:gridCol w:w="3321"/>
      </w:tblGrid>
      <w:tr>
        <w:tblPrEx>
          <w:tblW w:w="912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主要财务指标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报告期</w:t>
            </w:r>
          </w:p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（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2023年7月1日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-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2023年9月30日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）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1.期末产品资产净值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1,142,762,491.83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2.期末产品总份额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righ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1,107,655,973.00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3.期末产品份额单位净值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1.0317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4.期末产品份额累计净值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1.0317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91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FF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报告期末下属子产品相关信息披露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/>
                <w:color w:val="000000"/>
              </w:rPr>
              <w:t>子产品名称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子产品代码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份额</w:t>
            </w:r>
          </w:p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净值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份额累计净值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资产净值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丰裕固收23022期A款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FYG23022A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1.0306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1.0306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193,011,190.88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丰裕固收23022期D款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FYG23022D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1.0319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1.0319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949,751,300.95</w:t>
            </w:r>
          </w:p>
        </w:tc>
      </w:tr>
    </w:tbl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6" w:name="_Toc155677067"/>
      <w:r>
        <w:rPr>
          <w:rFonts w:ascii="仿宋" w:eastAsia="仿宋" w:hAnsi="仿宋" w:cs="仿宋" w:hint="eastAsia"/>
          <w:b/>
          <w:sz w:val="24"/>
        </w:rPr>
        <w:t>3.</w:t>
      </w:r>
      <w:r>
        <w:rPr>
          <w:rFonts w:ascii="仿宋" w:eastAsia="仿宋" w:hAnsi="仿宋" w:cs="仿宋"/>
          <w:b/>
          <w:sz w:val="24"/>
        </w:rPr>
        <w:t>2</w:t>
      </w:r>
      <w:r>
        <w:rPr>
          <w:rFonts w:ascii="仿宋" w:eastAsia="仿宋" w:hAnsi="仿宋" w:cs="仿宋" w:hint="eastAsia"/>
          <w:b/>
          <w:sz w:val="24"/>
        </w:rPr>
        <w:t xml:space="preserve"> 产品收益表现</w:t>
      </w:r>
      <w:bookmarkEnd w:id="6"/>
    </w:p>
    <w:tbl>
      <w:tblPr>
        <w:tblW w:w="9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07"/>
        <w:gridCol w:w="3321"/>
      </w:tblGrid>
      <w:tr>
        <w:tblPrEx>
          <w:tblW w:w="912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产品名称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成立以来年化收益率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Style w:val="a"/>
                <w:rFonts w:ascii="仿宋" w:eastAsia="仿宋" w:hAnsi="仿宋" w:cs="仿宋" w:hint="eastAsia"/>
                <w:sz w:val="24"/>
              </w:rPr>
              <w:t>丰裕固收23022期A款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4.61</w:t>
            </w:r>
            <w:r>
              <w:rPr>
                <w:rFonts w:ascii="仿宋" w:eastAsia="仿宋" w:hAnsi="仿宋" w:cs="仿宋"/>
                <w:sz w:val="24"/>
              </w:rPr>
              <w:t>%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Style w:val="a"/>
                <w:rFonts w:ascii="仿宋" w:eastAsia="仿宋" w:hAnsi="仿宋" w:cs="仿宋" w:hint="eastAsia"/>
                <w:sz w:val="24"/>
              </w:rPr>
              <w:t>丰裕固收23022期D款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4.81</w:t>
            </w:r>
            <w:r>
              <w:rPr>
                <w:rFonts w:ascii="仿宋" w:eastAsia="仿宋" w:hAnsi="仿宋" w:cs="仿宋"/>
                <w:sz w:val="24"/>
              </w:rPr>
              <w:t>%</w:t>
            </w:r>
          </w:p>
        </w:tc>
      </w:tr>
    </w:tbl>
    <w:p w:rsidR="00CE5B30">
      <w:pPr>
        <w:adjustRightInd w:val="0"/>
        <w:snapToGrid w:val="0"/>
        <w:rPr>
          <w:rFonts w:ascii="仿宋" w:eastAsia="仿宋" w:hAnsi="仿宋" w:cs="仿宋"/>
          <w:color w:val="404040"/>
          <w:kern w:val="0"/>
          <w:sz w:val="24"/>
        </w:rPr>
      </w:pPr>
    </w:p>
    <w:p w:rsidR="00CE5B30">
      <w:pPr>
        <w:adjustRightInd w:val="0"/>
        <w:snapToGrid w:val="0"/>
        <w:rPr>
          <w:rFonts w:ascii="仿宋" w:eastAsia="仿宋" w:hAnsi="仿宋" w:cs="仿宋"/>
          <w:color w:val="404040"/>
          <w:kern w:val="0"/>
          <w:sz w:val="24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7" w:name="_Toc829383023"/>
      <w:r>
        <w:rPr>
          <w:rFonts w:ascii="仿宋" w:eastAsia="仿宋" w:hAnsi="仿宋" w:cs="仿宋" w:hint="eastAsia"/>
          <w:sz w:val="24"/>
        </w:rPr>
        <w:t>§4  投资组合报告</w:t>
      </w:r>
      <w:bookmarkEnd w:id="7"/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8" w:name="_Toc124114884"/>
      <w:r>
        <w:rPr>
          <w:rFonts w:ascii="仿宋" w:eastAsia="仿宋" w:hAnsi="仿宋" w:cs="仿宋" w:hint="eastAsia"/>
          <w:b/>
          <w:sz w:val="24"/>
        </w:rPr>
        <w:t>4.1 报告期内产品投资策略回顾</w:t>
      </w:r>
      <w:bookmarkEnd w:id="8"/>
    </w:p>
    <w:p w:rsidR="00CE5B30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2023年3季度以来，债券收益率整体震荡， 1、2季度地产销售疲弱，出口增速下移，消费增速未有起色，通胀数据疲软，市场预期偏弱，货币、财政、房地产等政策相继出台，但经济刺激政策整体温和，投资者信心和社会总需求仍有待提振。在此背景下，3季度货币政策保持相对宽松，房地产方面，对房地产信贷、首付比例上有更积极的政策，需求在短期也有脉冲式的回升，但难以持续，债券收益率收此影响在短时间有小幅反弹，但后续仍然维持下行趋势。伴随着银行相继调降存款利率，存款向理财搬家的现象重现，理财规模重回扩张，一定程度上仍存在资产荒。从收益率来看，当前10年国债收益率2.67%，较3季度初上4bp，当前3年期AA+城投债收益率3.08%，较3季度初上行4bp，当前3年期AAA二级资本债收益率3.02%，较3季度初上行6bp，三季度利率震荡为主，相对信用债、二级资本债波动高于利率债，市场更加偏好高流动性债券，并且对市场行情更加敏感。本产品主要配置固收类资产，债券部分以信用债为主，三季度总体信用债维持震荡，相对低评级债券收益率略有下行，通过杠杆策略和久期策略，产品净值收益表现较好。非标资产信用稳定，收益良好，对产品净值稳定起到预期作用</w:t>
      </w:r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9" w:name="_Toc792234151"/>
      <w:r>
        <w:rPr>
          <w:rFonts w:ascii="仿宋" w:eastAsia="仿宋" w:hAnsi="仿宋" w:cs="仿宋" w:hint="eastAsia"/>
          <w:b/>
          <w:sz w:val="24"/>
        </w:rPr>
        <w:t>4.2产品未来展望</w:t>
      </w:r>
      <w:bookmarkEnd w:id="9"/>
    </w:p>
    <w:p w:rsidR="00CE5B30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展望2023年4季度，从基本面来看，无论从经济高频数据还是前瞻性数据来看，经济仍处于弱复苏态势，从30城地产销售面积看地产销售处于偏低水平，消费仍处于修复过程中，在没有经济强刺激政策出台前，收益率难以出现大幅上行；从政策面来看，后续市场利率大概率围绕或低于政策利率波动，当前存单、资金价格较高，后续或有下行的空间，短期债券配置价值较高。整体来说，经济复苏还需要时间，货币政策预计保持相对宽松，债市流动性环境相对友好，我们预期4季度债券收益率难以大幅上行。策略上，保持一定杠杆比例，配置短久期或流动性较好的债券。非标投资继续维持稳定，保持跟踪与做好投后工作</w:t>
      </w:r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10" w:name="_Toc680764457"/>
      <w:r>
        <w:rPr>
          <w:rFonts w:ascii="仿宋" w:eastAsia="仿宋" w:hAnsi="仿宋" w:cs="仿宋" w:hint="eastAsia"/>
          <w:b/>
          <w:sz w:val="24"/>
        </w:rPr>
        <w:t>4.3投资组合的流动性风险分析</w:t>
      </w:r>
      <w:bookmarkEnd w:id="10"/>
    </w:p>
    <w:p w:rsidR="00CE5B30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本产品通过合理安排投资品种和期限结构、限制资产持仓集中度、监控组合资金头寸等方式管理产品的流动性风险，确保资产的变现能力与投资者赎回需求的匹配；报告期内，本产品未发生重大流动性风险事件。</w:t>
      </w:r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11" w:name="_Toc1962841230"/>
      <w:r>
        <w:rPr>
          <w:rFonts w:ascii="仿宋" w:eastAsia="仿宋" w:hAnsi="仿宋" w:cs="仿宋" w:hint="eastAsia"/>
          <w:b/>
          <w:sz w:val="24"/>
        </w:rPr>
        <w:t>4.4 报告期末投资组合分类</w:t>
      </w:r>
      <w:bookmarkEnd w:id="11"/>
    </w:p>
    <w:tbl>
      <w:tblPr>
        <w:tblW w:w="9024" w:type="dxa"/>
        <w:tblInd w:w="-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06"/>
        <w:gridCol w:w="4082"/>
        <w:gridCol w:w="2268"/>
        <w:gridCol w:w="2268"/>
      </w:tblGrid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415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序号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期末穿透前占总资产比例（％）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期末穿透后占总资产比例（％）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现金及银行存款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0.08%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0.08%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同业存单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拆放同业及债券买入返售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债券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83.55%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83.55%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非标准化债权类资产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16.37%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16.37%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权益类投资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金融衍生品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代客境外理财投资QDII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商品类资产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另类资产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11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公募基金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12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私募基金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13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资产管理产品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14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委外投资——协议方式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15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合计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100.00%</w:t>
            </w:r>
          </w:p>
        </w:tc>
      </w:tr>
    </w:tbl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12" w:name="_Toc1258005047"/>
      <w:r>
        <w:rPr>
          <w:rFonts w:ascii="仿宋" w:eastAsia="仿宋" w:hAnsi="仿宋" w:cs="仿宋" w:hint="eastAsia"/>
          <w:b/>
          <w:sz w:val="24"/>
        </w:rPr>
        <w:t>4.</w:t>
      </w:r>
      <w:r w:rsidR="00761119">
        <w:rPr>
          <w:rFonts w:ascii="仿宋" w:eastAsia="仿宋" w:hAnsi="仿宋" w:cs="仿宋"/>
          <w:b/>
          <w:sz w:val="24"/>
        </w:rPr>
        <w:t>5</w:t>
      </w:r>
      <w:r>
        <w:rPr>
          <w:rFonts w:ascii="仿宋" w:eastAsia="仿宋" w:hAnsi="仿宋" w:cs="仿宋" w:hint="eastAsia"/>
          <w:b/>
          <w:sz w:val="24"/>
        </w:rPr>
        <w:t>报告期末投资前十名资产明细</w:t>
      </w:r>
      <w:bookmarkEnd w:id="12"/>
    </w:p>
    <w:p w:rsidR="00CE5B30">
      <w:pPr>
        <w:adjustRightInd w:val="0"/>
        <w:snapToGrid w:val="0"/>
        <w:spacing w:line="440" w:lineRule="exact"/>
        <w:ind w:firstLine="5460" w:firstLineChars="2600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单位：人民币元</w:t>
      </w:r>
    </w:p>
    <w:tbl>
      <w:tblPr>
        <w:tblW w:w="9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62"/>
        <w:gridCol w:w="3772"/>
        <w:gridCol w:w="2340"/>
        <w:gridCol w:w="2356"/>
      </w:tblGrid>
      <w:tr>
        <w:tblPrEx>
          <w:tblW w:w="903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序号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资产名称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金额（元）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占资产净值比例（％）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23嵊州城南01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221,425,943.56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19.38%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22滨江投资PPN001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101,960,087.74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8.92%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22青岛北发MTN001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101,885,029.54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8.92%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22盐城城资PPN002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101,688,798.03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8.90%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22袍江工业MTN001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101,534,320.16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8.88%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22嘉湘01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101,107,864.22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8.85%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22春秋淹城PPN001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91,184,008.80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7.98%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22南京浦口PPN001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81,489,957.90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7.13%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22嵊州02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71,353,329.97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6.24%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22德达01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61,241,459.24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5.36%</w:t>
            </w:r>
          </w:p>
        </w:tc>
      </w:tr>
    </w:tbl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13" w:name="_Toc1314320214"/>
      <w:r>
        <w:rPr>
          <w:rFonts w:ascii="仿宋" w:eastAsia="仿宋" w:hAnsi="仿宋" w:cs="仿宋" w:hint="eastAsia"/>
          <w:b/>
          <w:sz w:val="24"/>
        </w:rPr>
        <w:t>4.</w:t>
      </w:r>
      <w:r w:rsidR="00761119">
        <w:rPr>
          <w:rFonts w:ascii="仿宋" w:eastAsia="仿宋" w:hAnsi="仿宋" w:cs="仿宋"/>
          <w:b/>
          <w:sz w:val="24"/>
        </w:rPr>
        <w:t>6</w:t>
      </w:r>
      <w:r>
        <w:rPr>
          <w:rFonts w:ascii="仿宋" w:eastAsia="仿宋" w:hAnsi="仿宋" w:cs="仿宋" w:hint="eastAsia"/>
          <w:b/>
          <w:sz w:val="24"/>
        </w:rPr>
        <w:t>报告期融资情况</w:t>
      </w:r>
      <w:bookmarkEnd w:id="13"/>
    </w:p>
    <w:p w:rsidR="00CE5B30">
      <w:pPr>
        <w:adjustRightInd w:val="0"/>
        <w:snapToGrid w:val="0"/>
        <w:spacing w:line="440" w:lineRule="exact"/>
        <w:ind w:firstLine="5460" w:firstLineChars="2600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单位：人民币元</w:t>
      </w:r>
    </w:p>
    <w:tbl>
      <w:tblPr>
        <w:tblW w:w="8999" w:type="dxa"/>
        <w:tblInd w:w="-5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632"/>
        <w:gridCol w:w="3167"/>
        <w:gridCol w:w="2433"/>
        <w:gridCol w:w="2767"/>
      </w:tblGrid>
      <w:tr>
        <w:tblPrEx>
          <w:tblW w:w="8999" w:type="dxa"/>
          <w:tblInd w:w="-5" w:type="dxa"/>
          <w:tblLayout w:type="fixed"/>
          <w:tblCellMar>
            <w:left w:w="30" w:type="dxa"/>
            <w:right w:w="30" w:type="dxa"/>
          </w:tblCellMar>
          <w:tblLook w:val="04A0"/>
        </w:tblPrEx>
        <w:trPr>
          <w:trHeight w:val="37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序号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金额（元）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占资产净值比例（％）</w:t>
            </w:r>
          </w:p>
        </w:tc>
      </w:tr>
      <w:tr>
        <w:tblPrEx>
          <w:tblW w:w="8999" w:type="dxa"/>
          <w:tblInd w:w="-5" w:type="dxa"/>
          <w:tblLayout w:type="fixed"/>
          <w:tblCellMar>
            <w:left w:w="30" w:type="dxa"/>
            <w:right w:w="30" w:type="dxa"/>
          </w:tblCellMar>
          <w:tblLook w:val="04A0"/>
        </w:tblPrEx>
        <w:trPr>
          <w:trHeight w:val="29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报告期末质押式回购余额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514,457,846.56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45.02%</w:t>
            </w:r>
          </w:p>
        </w:tc>
      </w:tr>
      <w:tr>
        <w:tblPrEx>
          <w:tblW w:w="8999" w:type="dxa"/>
          <w:tblInd w:w="-5" w:type="dxa"/>
          <w:tblLayout w:type="fixed"/>
          <w:tblCellMar>
            <w:left w:w="30" w:type="dxa"/>
            <w:right w:w="30" w:type="dxa"/>
          </w:tblCellMar>
          <w:tblLook w:val="04A0"/>
        </w:tblPrEx>
        <w:trPr>
          <w:trHeight w:val="29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报告期末同业拆入余额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0.00%</w:t>
            </w:r>
          </w:p>
        </w:tc>
      </w:tr>
      <w:tr>
        <w:tblPrEx>
          <w:tblW w:w="8999" w:type="dxa"/>
          <w:tblInd w:w="-5" w:type="dxa"/>
          <w:tblLayout w:type="fixed"/>
          <w:tblCellMar>
            <w:left w:w="30" w:type="dxa"/>
            <w:right w:w="30" w:type="dxa"/>
          </w:tblCellMar>
          <w:tblLook w:val="04A0"/>
        </w:tblPrEx>
        <w:trPr>
          <w:trHeight w:val="29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其他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0.00%</w:t>
            </w:r>
          </w:p>
        </w:tc>
      </w:tr>
    </w:tbl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14" w:name="_Toc481074947"/>
      <w:bookmarkStart w:id="15" w:name="_Toc763043656"/>
      <w:r>
        <w:rPr>
          <w:rFonts w:ascii="仿宋" w:eastAsia="仿宋" w:hAnsi="仿宋" w:cs="仿宋" w:hint="eastAsia"/>
          <w:b/>
          <w:sz w:val="24"/>
        </w:rPr>
        <w:t>4.</w:t>
      </w:r>
      <w:r w:rsidR="00761119">
        <w:rPr>
          <w:rFonts w:ascii="仿宋" w:eastAsia="仿宋" w:hAnsi="仿宋" w:cs="仿宋"/>
          <w:b/>
          <w:sz w:val="24"/>
        </w:rPr>
        <w:t>7</w:t>
      </w:r>
      <w:bookmarkStart w:id="16" w:name="_GoBack"/>
      <w:bookmarkEnd w:id="16"/>
      <w:r>
        <w:rPr>
          <w:rFonts w:ascii="仿宋" w:eastAsia="仿宋" w:hAnsi="仿宋" w:cs="仿宋" w:hint="eastAsia"/>
          <w:b/>
          <w:sz w:val="24"/>
        </w:rPr>
        <w:t>报告期末投资非标准化债权资产</w:t>
      </w:r>
      <w:bookmarkEnd w:id="14"/>
      <w:r>
        <w:rPr>
          <w:rFonts w:ascii="仿宋" w:eastAsia="仿宋" w:hAnsi="仿宋" w:cs="仿宋" w:hint="eastAsia"/>
          <w:b/>
          <w:sz w:val="24"/>
        </w:rPr>
        <w:t>情况</w:t>
      </w:r>
      <w:bookmarkEnd w:id="15"/>
    </w:p>
    <w:p w:rsidR="00CE5B30">
      <w:pPr>
        <w:adjustRightInd w:val="0"/>
        <w:snapToGrid w:val="0"/>
        <w:spacing w:line="380" w:lineRule="exact"/>
        <w:ind w:firstLine="5880" w:firstLineChars="28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单位：人民币元</w:t>
      </w:r>
    </w:p>
    <w:tbl>
      <w:tblPr>
        <w:tblW w:w="8994" w:type="dxa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4"/>
        <w:gridCol w:w="1330"/>
        <w:gridCol w:w="1569"/>
        <w:gridCol w:w="1041"/>
        <w:gridCol w:w="1833"/>
        <w:gridCol w:w="802"/>
        <w:gridCol w:w="970"/>
        <w:gridCol w:w="815"/>
      </w:tblGrid>
      <w:tr>
        <w:tblPrEx>
          <w:tblW w:w="8994" w:type="dxa"/>
          <w:tblInd w:w="7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 xml:space="preserve">序号 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融资客户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项目名称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资产到期日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资产价值（元）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交易结构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FF000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收益分配方式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风险状况</w:t>
            </w:r>
          </w:p>
        </w:tc>
      </w:tr>
      <w:tr>
        <w:tblPrEx>
          <w:tblW w:w="8994" w:type="dxa"/>
          <w:tblInd w:w="79" w:type="dxa"/>
          <w:tblLayout w:type="fixed"/>
          <w:tblLook w:val="04A0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嵊州市城南建设投资有限公司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23嵊州城南01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20250205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221,425,943.56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理财直接融资工具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每半年付息，到期一次还本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正常</w:t>
            </w:r>
          </w:p>
        </w:tc>
      </w:tr>
      <w:tr>
        <w:tblPrEx>
          <w:tblW w:w="8994" w:type="dxa"/>
          <w:tblInd w:w="79" w:type="dxa"/>
          <w:tblLayout w:type="fixed"/>
          <w:tblLook w:val="04A0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平湖市城市发展投资(集团)有限公司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23平湖城投03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20231212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50,657,686.61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理财直接融资工具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利随本清，到期一次还本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正常</w:t>
            </w:r>
          </w:p>
        </w:tc>
      </w:tr>
    </w:tbl>
    <w:p w:rsidR="00CE5B30">
      <w:pPr>
        <w:adjustRightInd w:val="0"/>
        <w:snapToGrid w:val="0"/>
        <w:spacing w:line="380" w:lineRule="exact"/>
        <w:rPr>
          <w:rFonts w:ascii="仿宋" w:eastAsia="仿宋" w:hAnsi="仿宋" w:cs="仿宋"/>
          <w:color w:val="0000FF"/>
          <w:kern w:val="0"/>
          <w:sz w:val="24"/>
          <w:highlight w:val="yellow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17" w:name="_Toc1849870155"/>
      <w:r>
        <w:rPr>
          <w:rFonts w:ascii="仿宋" w:eastAsia="仿宋" w:hAnsi="仿宋" w:cs="仿宋" w:hint="eastAsia"/>
          <w:sz w:val="24"/>
        </w:rPr>
        <w:t>§5 产品份额变动</w:t>
      </w:r>
      <w:bookmarkEnd w:id="17"/>
    </w:p>
    <w:p w:rsidR="00CE5B30">
      <w:pPr>
        <w:adjustRightInd w:val="0"/>
        <w:snapToGrid w:val="0"/>
        <w:spacing w:line="440" w:lineRule="exact"/>
        <w:ind w:firstLine="5460" w:firstLineChars="2600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单位：份</w:t>
      </w:r>
    </w:p>
    <w:tbl>
      <w:tblPr>
        <w:tblW w:w="8987" w:type="dxa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91"/>
        <w:gridCol w:w="4596"/>
      </w:tblGrid>
      <w:tr>
        <w:tblPrEx>
          <w:tblW w:w="8987" w:type="dxa"/>
          <w:tblInd w:w="7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报告期期初产品份额总额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righ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1,107,655,973.00</w:t>
            </w:r>
          </w:p>
        </w:tc>
      </w:tr>
      <w:tr>
        <w:tblPrEx>
          <w:tblW w:w="8987" w:type="dxa"/>
          <w:tblInd w:w="79" w:type="dxa"/>
          <w:tblLayout w:type="fixed"/>
          <w:tblLook w:val="04A0"/>
        </w:tblPrEx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报告期期末产品份额总额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righ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1,107,655,973.00</w:t>
            </w:r>
          </w:p>
        </w:tc>
      </w:tr>
    </w:tbl>
    <w:p w:rsidR="00CE5B30">
      <w:pPr>
        <w:widowControl/>
        <w:adjustRightInd w:val="0"/>
        <w:snapToGrid w:val="0"/>
        <w:jc w:val="left"/>
        <w:rPr>
          <w:rFonts w:ascii="仿宋" w:eastAsia="仿宋" w:hAnsi="仿宋" w:cs="仿宋"/>
          <w:color w:val="404040"/>
          <w:kern w:val="0"/>
          <w:sz w:val="24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18" w:name="_Toc1646937466"/>
      <w:r>
        <w:rPr>
          <w:rFonts w:ascii="仿宋" w:eastAsia="仿宋" w:hAnsi="仿宋" w:cs="仿宋" w:hint="eastAsia"/>
          <w:sz w:val="24"/>
        </w:rPr>
        <w:t>§6 托管人报告</w:t>
      </w:r>
      <w:bookmarkEnd w:id="18"/>
    </w:p>
    <w:p w:rsidR="00CE5B30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本报告期内，杭州银行股份有限公司（以下简称“本托管人”）在对本产品的托管过程中，严格遵守了《关于规范金融机构资产管理业务的指导意见》《商业银行理财业务监督管理办法》《商业银行理财子公司管理办法》等相关法律法规、托管协议的规定，依法安全保管了本产品的全部资产，对本产品的投资运作进行了认真、独立的会计核算和必要的投资监督，没有从事任何损害产品份额持有人利益的行为，诚实信用、勤勉尽责地履行了托管人应尽的义务。</w:t>
      </w:r>
    </w:p>
    <w:p w:rsidR="00CE5B30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本托管人复核了本产品报告中的财务指标、净值表现和投资组合报告等内容。</w:t>
      </w:r>
      <w:r>
        <w:rPr>
          <w:rFonts w:ascii="仿宋" w:eastAsia="仿宋" w:hAnsi="仿宋" w:cs="仿宋" w:hint="eastAsia"/>
          <w:sz w:val="24"/>
        </w:rPr>
        <w:t>经复核，本产品报告中披露的理财产品财务数据核对一致。</w:t>
      </w:r>
    </w:p>
    <w:p w:rsidR="00CE5B30">
      <w:pPr>
        <w:adjustRightInd w:val="0"/>
        <w:snapToGrid w:val="0"/>
        <w:rPr>
          <w:rFonts w:ascii="仿宋" w:eastAsia="仿宋" w:hAnsi="仿宋" w:cs="仿宋"/>
          <w:bCs/>
          <w:sz w:val="24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19" w:name="_Toc1161264879"/>
      <w:r>
        <w:rPr>
          <w:rFonts w:ascii="仿宋" w:eastAsia="仿宋" w:hAnsi="仿宋" w:cs="仿宋" w:hint="eastAsia"/>
          <w:sz w:val="24"/>
        </w:rPr>
        <w:t>§7 报告期内关联交易情况</w:t>
      </w:r>
      <w:bookmarkEnd w:id="19"/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20" w:name="_Toc1047437417"/>
      <w:r>
        <w:rPr>
          <w:rFonts w:ascii="仿宋" w:eastAsia="仿宋" w:hAnsi="仿宋" w:cs="仿宋" w:hint="eastAsia"/>
          <w:b/>
          <w:sz w:val="24"/>
        </w:rPr>
        <w:t>7.1 产品投资于关联方发行或承销的证券、资产管理产品，或其他关联交易</w:t>
      </w:r>
      <w:bookmarkEnd w:id="20"/>
    </w:p>
    <w:p w:rsidR="00CE5B30">
      <w:pPr>
        <w:adjustRightInd w:val="0"/>
        <w:snapToGrid w:val="0"/>
        <w:spacing w:line="440" w:lineRule="exact"/>
        <w:ind w:firstLine="5460" w:firstLineChars="2600"/>
        <w:jc w:val="right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sz w:val="24"/>
        </w:rPr>
        <w:t>单位：元、份</w:t>
      </w:r>
    </w:p>
    <w:tbl>
      <w:tblPr>
        <w:tblStyle w:val="TableGrid"/>
        <w:tblW w:w="8994" w:type="dxa"/>
        <w:tblInd w:w="67" w:type="dxa"/>
        <w:tblLayout w:type="fixed"/>
        <w:tblLook w:val="04A0"/>
      </w:tblPr>
      <w:tblGrid>
        <w:gridCol w:w="634"/>
        <w:gridCol w:w="1605"/>
        <w:gridCol w:w="1401"/>
        <w:gridCol w:w="791"/>
        <w:gridCol w:w="754"/>
        <w:gridCol w:w="1904"/>
        <w:gridCol w:w="1905"/>
      </w:tblGrid>
      <w:tr>
        <w:tblPrEx>
          <w:tblW w:w="8994" w:type="dxa"/>
          <w:tblInd w:w="67" w:type="dxa"/>
          <w:tblLayout w:type="fixed"/>
          <w:tblLook w:val="04A0"/>
        </w:tblPrEx>
        <w:trPr>
          <w:trHeight w:val="90"/>
        </w:trPr>
        <w:tc>
          <w:tcPr>
            <w:tcW w:w="634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/>
                <w:color w:val="000000"/>
                <w:sz w:val="24"/>
              </w:rPr>
              <w:t>序号</w:t>
            </w:r>
          </w:p>
        </w:tc>
        <w:tc>
          <w:tcPr>
            <w:tcW w:w="1605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关联方</w:t>
            </w:r>
          </w:p>
        </w:tc>
        <w:tc>
          <w:tcPr>
            <w:tcW w:w="1401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资产名称</w:t>
            </w:r>
          </w:p>
        </w:tc>
        <w:tc>
          <w:tcPr>
            <w:tcW w:w="791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资产类型</w:t>
            </w:r>
          </w:p>
        </w:tc>
        <w:tc>
          <w:tcPr>
            <w:tcW w:w="754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交易类型</w:t>
            </w:r>
          </w:p>
        </w:tc>
        <w:tc>
          <w:tcPr>
            <w:tcW w:w="1904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交易金额（元）</w:t>
            </w:r>
          </w:p>
        </w:tc>
        <w:tc>
          <w:tcPr>
            <w:tcW w:w="1905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份额</w:t>
            </w:r>
          </w:p>
        </w:tc>
      </w:tr>
    </w:tbl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21" w:name="_Toc1357213060"/>
      <w:r>
        <w:rPr>
          <w:rFonts w:ascii="仿宋" w:eastAsia="仿宋" w:hAnsi="仿宋" w:cs="仿宋" w:hint="eastAsia"/>
          <w:b/>
          <w:sz w:val="24"/>
        </w:rPr>
        <w:t>7.2 产品向关联方支付的费用</w:t>
      </w:r>
      <w:bookmarkEnd w:id="21"/>
    </w:p>
    <w:tbl>
      <w:tblPr>
        <w:tblStyle w:val="TableGrid"/>
        <w:tblW w:w="8994" w:type="dxa"/>
        <w:tblInd w:w="67" w:type="dxa"/>
        <w:tblLayout w:type="fixed"/>
        <w:tblLook w:val="04A0"/>
      </w:tblPr>
      <w:tblGrid>
        <w:gridCol w:w="694"/>
        <w:gridCol w:w="2958"/>
        <w:gridCol w:w="2202"/>
        <w:gridCol w:w="3140"/>
      </w:tblGrid>
      <w:tr>
        <w:tblPrEx>
          <w:tblW w:w="8994" w:type="dxa"/>
          <w:tblInd w:w="67" w:type="dxa"/>
          <w:tblLayout w:type="fixed"/>
          <w:tblLook w:val="04A0"/>
        </w:tblPrEx>
        <w:tc>
          <w:tcPr>
            <w:tcW w:w="694" w:type="dxa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958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关联方</w:t>
            </w:r>
          </w:p>
        </w:tc>
        <w:tc>
          <w:tcPr>
            <w:tcW w:w="2202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费用类型</w:t>
            </w:r>
          </w:p>
        </w:tc>
        <w:tc>
          <w:tcPr>
            <w:tcW w:w="3140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交易金额（元）</w:t>
            </w:r>
          </w:p>
        </w:tc>
      </w:tr>
    </w:tbl>
    <w:p w:rsidR="00CE5B30">
      <w:pPr>
        <w:widowControl/>
        <w:adjustRightInd w:val="0"/>
        <w:snapToGrid w:val="0"/>
        <w:ind w:firstLine="420" w:firstLineChars="200"/>
        <w:jc w:val="left"/>
        <w:rPr>
          <w:rFonts w:ascii="仿宋" w:eastAsia="仿宋" w:hAnsi="仿宋" w:cs="仿宋"/>
          <w:color w:val="404040"/>
          <w:kern w:val="0"/>
          <w:sz w:val="24"/>
        </w:rPr>
      </w:pPr>
    </w:p>
    <w:p w:rsidR="00CE5B30">
      <w:pPr>
        <w:pStyle w:val="Heading2"/>
        <w:adjustRightInd w:val="0"/>
        <w:snapToGrid w:val="0"/>
        <w:spacing w:line="560" w:lineRule="atLeast"/>
        <w:jc w:val="center"/>
        <w:rPr>
          <w:rFonts w:ascii="仿宋" w:eastAsia="仿宋" w:hAnsi="仿宋" w:cs="仿宋"/>
          <w:bCs/>
          <w:sz w:val="24"/>
        </w:rPr>
      </w:pPr>
      <w:bookmarkStart w:id="22" w:name="_Toc108600986"/>
      <w:r>
        <w:rPr>
          <w:rFonts w:ascii="仿宋" w:eastAsia="仿宋" w:hAnsi="仿宋" w:cs="仿宋" w:hint="eastAsia"/>
          <w:bCs/>
          <w:sz w:val="24"/>
        </w:rPr>
        <w:t>§</w:t>
      </w:r>
      <w:r>
        <w:rPr>
          <w:rFonts w:ascii="仿宋" w:eastAsia="仿宋" w:hAnsi="仿宋" w:cs="仿宋"/>
          <w:bCs/>
          <w:sz w:val="24"/>
        </w:rPr>
        <w:t>8</w:t>
      </w:r>
      <w:r>
        <w:rPr>
          <w:rFonts w:ascii="仿宋" w:eastAsia="仿宋" w:hAnsi="仿宋" w:cs="仿宋" w:hint="eastAsia"/>
          <w:bCs/>
          <w:sz w:val="24"/>
        </w:rPr>
        <w:t xml:space="preserve"> 投资账户信息</w:t>
      </w:r>
      <w:bookmarkEnd w:id="22"/>
    </w:p>
    <w:p w:rsidR="00CE5B30"/>
    <w:tbl>
      <w:tblPr>
        <w:tblStyle w:val="TableGrid"/>
        <w:tblW w:w="8983" w:type="dxa"/>
        <w:tblInd w:w="65" w:type="dxa"/>
        <w:tblLayout w:type="fixed"/>
        <w:tblLook w:val="04A0"/>
      </w:tblPr>
      <w:tblGrid>
        <w:gridCol w:w="2487"/>
        <w:gridCol w:w="6496"/>
      </w:tblGrid>
      <w:tr>
        <w:tblPrEx>
          <w:tblW w:w="8983" w:type="dxa"/>
          <w:tblInd w:w="65" w:type="dxa"/>
          <w:tblLayout w:type="fixed"/>
          <w:tblLook w:val="04A0"/>
        </w:tblPrEx>
        <w:trPr>
          <w:trHeight w:val="216"/>
        </w:trPr>
        <w:tc>
          <w:tcPr>
            <w:tcW w:w="2487" w:type="dxa"/>
          </w:tcPr>
          <w:p w:rsidR="00CE5B3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户名</w:t>
            </w:r>
          </w:p>
        </w:tc>
        <w:tc>
          <w:tcPr>
            <w:tcW w:w="6496" w:type="dxa"/>
          </w:tcPr>
          <w:p w:rsidR="00CE5B3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杭银理财幸福99丰裕固收23022期理财</w:t>
            </w:r>
          </w:p>
        </w:tc>
      </w:tr>
      <w:tr>
        <w:tblPrEx>
          <w:tblW w:w="8983" w:type="dxa"/>
          <w:tblInd w:w="65" w:type="dxa"/>
          <w:tblLayout w:type="fixed"/>
          <w:tblLook w:val="04A0"/>
        </w:tblPrEx>
        <w:trPr>
          <w:trHeight w:val="179"/>
        </w:trPr>
        <w:tc>
          <w:tcPr>
            <w:tcW w:w="2487" w:type="dxa"/>
          </w:tcPr>
          <w:p w:rsidR="00CE5B3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账号</w:t>
            </w:r>
          </w:p>
        </w:tc>
        <w:tc>
          <w:tcPr>
            <w:tcW w:w="6496" w:type="dxa"/>
          </w:tcPr>
          <w:p w:rsidR="00CE5B3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3301040160015309811-5123022</w:t>
            </w:r>
          </w:p>
        </w:tc>
      </w:tr>
      <w:tr>
        <w:tblPrEx>
          <w:tblW w:w="8983" w:type="dxa"/>
          <w:tblInd w:w="65" w:type="dxa"/>
          <w:tblLayout w:type="fixed"/>
          <w:tblLook w:val="04A0"/>
        </w:tblPrEx>
        <w:trPr>
          <w:trHeight w:val="163"/>
        </w:trPr>
        <w:tc>
          <w:tcPr>
            <w:tcW w:w="2487" w:type="dxa"/>
          </w:tcPr>
          <w:p w:rsidR="00CE5B3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开户行</w:t>
            </w:r>
          </w:p>
        </w:tc>
        <w:tc>
          <w:tcPr>
            <w:tcW w:w="6496" w:type="dxa"/>
          </w:tcPr>
          <w:p w:rsidR="00CE5B3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杭州银行总行营业部</w:t>
            </w:r>
          </w:p>
        </w:tc>
      </w:tr>
    </w:tbl>
    <w:p w:rsidR="00CE5B30">
      <w:pPr>
        <w:widowControl/>
        <w:adjustRightInd w:val="0"/>
        <w:snapToGrid w:val="0"/>
        <w:ind w:firstLine="420" w:firstLineChars="200"/>
        <w:jc w:val="left"/>
        <w:rPr>
          <w:rFonts w:ascii="仿宋" w:eastAsia="仿宋" w:hAnsi="仿宋" w:cs="仿宋"/>
          <w:color w:val="404040"/>
          <w:kern w:val="0"/>
          <w:sz w:val="24"/>
        </w:rPr>
      </w:pPr>
    </w:p>
    <w:p w:rsidR="00CE5B30">
      <w:pPr>
        <w:ind w:left="360"/>
        <w:jc w:val="right"/>
        <w:rPr>
          <w:rFonts w:ascii="仿宋" w:eastAsia="仿宋" w:hAnsi="仿宋" w:cs="仿宋"/>
          <w:sz w:val="24"/>
        </w:rPr>
      </w:pPr>
    </w:p>
    <w:p w:rsidR="00CE5B30">
      <w:pPr>
        <w:ind w:left="360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杭银理财有限责任公司</w:t>
      </w:r>
    </w:p>
    <w:p w:rsidR="00CE5B30">
      <w:pPr>
        <w:jc w:val="right"/>
        <w:rPr>
          <w:sz w:val="24"/>
        </w:rPr>
      </w:pPr>
      <w:r>
        <w:rPr>
          <w:rFonts w:ascii="仿宋" w:eastAsia="仿宋" w:hAnsi="仿宋" w:cs="仿宋" w:hint="eastAsia"/>
          <w:sz w:val="24"/>
        </w:rPr>
        <w:t>2023年10月18日</w:t>
      </w:r>
    </w:p>
    <w:p w:rsidR="00CE5B30"/>
    <w:p w:rsidR="00CE5B30"/>
    <w:sectPr>
      <w:headerReference w:type="default" r:id="rId5"/>
      <w:pgSz w:w="11906" w:h="16838"/>
      <w:pgMar w:top="2551" w:right="1803" w:bottom="2551" w:left="1803" w:header="851" w:footer="992" w:gutter="0"/>
      <w:cols w:space="0"/>
      <w:docGrid w:type="lines" w:linePitch="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仿宋简体">
    <w:altName w:val="微软雅黑"/>
    <w:charset w:val="86"/>
    <w:family w:val="roman"/>
    <w:pitch w:val="default"/>
    <w:sig w:usb0="00000000" w:usb1="00000000" w:usb2="00000000" w:usb3="00000000" w:csb0="00040000" w:csb1="00000000"/>
  </w:font>
  <w:font w:name="方正楷体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E5B30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5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unhideWhenUsed="1" w:qFormat="1"/>
    <w:lsdException w:name="heading 3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Heading2">
    <w:name w:val="heading 2"/>
    <w:basedOn w:val="Normal"/>
    <w:next w:val="Normal"/>
    <w:link w:val="2"/>
    <w:unhideWhenUsed/>
    <w:qFormat/>
    <w:pPr>
      <w:keepNext/>
      <w:keepLines/>
      <w:spacing w:line="400" w:lineRule="exact"/>
      <w:jc w:val="left"/>
      <w:outlineLvl w:val="1"/>
    </w:pPr>
    <w:rPr>
      <w:rFonts w:ascii="Arial" w:eastAsia="宋体" w:hAnsi="Arial"/>
      <w:b/>
    </w:rPr>
  </w:style>
  <w:style w:type="paragraph" w:styleId="Heading3">
    <w:name w:val="heading 3"/>
    <w:basedOn w:val="Normal"/>
    <w:next w:val="Normal"/>
    <w:link w:val="3"/>
    <w:unhideWhenUsed/>
    <w:qFormat/>
    <w:pPr>
      <w:keepNext/>
      <w:keepLines/>
      <w:spacing w:line="400" w:lineRule="exact"/>
      <w:jc w:val="left"/>
      <w:outlineLvl w:val="2"/>
    </w:pPr>
    <w:rPr>
      <w:rFonts w:ascii="Times New Roman" w:eastAsia="宋体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qFormat/>
    <w:pPr>
      <w:spacing w:after="120"/>
    </w:pPr>
    <w:rPr>
      <w:rFonts w:ascii="Times New Roman" w:eastAsia="方正仿宋简体" w:hAnsi="Times New Roman" w:cs="Times New Roman"/>
      <w:sz w:val="32"/>
      <w:szCs w:val="20"/>
    </w:rPr>
  </w:style>
  <w:style w:type="paragraph" w:styleId="TOC3">
    <w:name w:val="toc 3"/>
    <w:basedOn w:val="Normal"/>
    <w:next w:val="Normal"/>
    <w:uiPriority w:val="39"/>
    <w:semiHidden/>
    <w:unhideWhenUsed/>
    <w:pPr>
      <w:ind w:left="840" w:leftChars="400"/>
    </w:pPr>
  </w:style>
  <w:style w:type="paragraph" w:styleId="BalloonText">
    <w:name w:val="Balloon Text"/>
    <w:basedOn w:val="Normal"/>
    <w:link w:val="a2"/>
    <w:uiPriority w:val="99"/>
    <w:semiHidden/>
    <w:unhideWhenUsed/>
    <w:rPr>
      <w:sz w:val="18"/>
      <w:szCs w:val="18"/>
    </w:rPr>
  </w:style>
  <w:style w:type="paragraph" w:styleId="Footer">
    <w:name w:val="footer"/>
    <w:basedOn w:val="Normal"/>
    <w:link w:val="a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TOC2">
    <w:name w:val="toc 2"/>
    <w:basedOn w:val="Normal"/>
    <w:next w:val="Normal"/>
    <w:uiPriority w:val="39"/>
    <w:semiHidden/>
    <w:unhideWhenUsed/>
    <w:pPr>
      <w:ind w:left="420" w:leftChars="200"/>
    </w:pPr>
  </w:style>
  <w:style w:type="paragraph" w:styleId="NormalWeb">
    <w:name w:val="Normal (Web)"/>
    <w:basedOn w:val="Normal"/>
    <w:unhideWhenUsed/>
    <w:qFormat/>
    <w:pPr>
      <w:widowControl/>
      <w:spacing w:before="100" w:beforeAutospacing="1" w:after="100" w:afterAutospacing="1"/>
    </w:pPr>
    <w:rPr>
      <w:rFonts w:ascii="宋体" w:eastAsia="宋体" w:hAnsi="宋体" w:cs="Times New Roman"/>
      <w:kern w:val="0"/>
      <w:sz w:val="24"/>
      <w:szCs w:val="20"/>
    </w:rPr>
  </w:style>
  <w:style w:type="table" w:styleId="TableGrid">
    <w:name w:val="Table Grid"/>
    <w:basedOn w:val="TableNormal"/>
    <w:unhideWhenUsed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">
    <w:name w:val="标题 2 字符"/>
    <w:basedOn w:val="DefaultParagraphFont"/>
    <w:link w:val="Heading2"/>
    <w:rPr>
      <w:rFonts w:ascii="Arial" w:eastAsia="宋体" w:hAnsi="Arial"/>
      <w:b/>
    </w:rPr>
  </w:style>
  <w:style w:type="character" w:customStyle="1" w:styleId="3">
    <w:name w:val="标题 3 字符"/>
    <w:basedOn w:val="DefaultParagraphFont"/>
    <w:link w:val="Heading3"/>
    <w:rPr>
      <w:rFonts w:ascii="Times New Roman" w:eastAsia="宋体" w:hAnsi="Times New Roman"/>
      <w:b/>
    </w:rPr>
  </w:style>
  <w:style w:type="character" w:customStyle="1" w:styleId="a">
    <w:name w:val="正文文本 字符"/>
    <w:basedOn w:val="DefaultParagraphFont"/>
    <w:link w:val="BodyText"/>
    <w:qFormat/>
    <w:rPr>
      <w:rFonts w:ascii="Times New Roman" w:eastAsia="方正仿宋简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rPr>
      <w:sz w:val="18"/>
    </w:rPr>
  </w:style>
  <w:style w:type="character" w:customStyle="1" w:styleId="a1">
    <w:name w:val="页脚 字符"/>
    <w:basedOn w:val="DefaultParagraphFont"/>
    <w:link w:val="Footer"/>
    <w:uiPriority w:val="99"/>
    <w:rPr>
      <w:kern w:val="2"/>
      <w:sz w:val="18"/>
      <w:szCs w:val="18"/>
    </w:rPr>
  </w:style>
  <w:style w:type="character" w:customStyle="1" w:styleId="a2">
    <w:name w:val="批注框文本 字符"/>
    <w:basedOn w:val="DefaultParagraphFont"/>
    <w:link w:val="BalloonText"/>
    <w:uiPriority w:val="99"/>
    <w:semiHidden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365</Words>
  <Characters>2086</Characters>
  <Application>Microsoft Office Word</Application>
  <DocSecurity>0</DocSecurity>
  <Lines>17</Lines>
  <Paragraphs>4</Paragraphs>
  <ScaleCrop>false</ScaleCrop>
  <Company/>
  <LinksUpToDate>false</LinksUpToDate>
  <CharactersWithSpaces>2447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 c</dc:creator>
  <cp:lastModifiedBy>wong surge</cp:lastModifiedBy>
  <cp:revision>20</cp:revision>
  <dcterms:created xsi:type="dcterms:W3CDTF">2023-04-14T06:44:00Z</dcterms:created>
  <dcterms:modified xsi:type="dcterms:W3CDTF">2023-07-05T08:37:00Z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48CAE58F88821DFB686F3364065ABE78_42</vt:lpwstr>
  </property>
  <property fmtid="{D5CDD505-2E9C-101B-9397-08002B2CF9AE}" pid="3" name="KSOProductBuildVer">
    <vt:lpwstr>2052-11.8.2.8053</vt:lpwstr>
  </property>
</Properties>
</file>