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丰裕固收增强22012期(稳健严选FOF)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丰裕固收增强22012期(稳健严选FOF)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FYGZ22012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Z7002222000051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2022年6月16日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2024年6月27日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4.40%-6.40%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377,973,124.01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100.77%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377,973,124.01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362,924,020.00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1.0415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1.0415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丰裕固收增强22012期(稳健严选FOF)A款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FYGZ22012A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1.0415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377,973,103.36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丰裕固收增强22012期(稳健严选FOF)D款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FYGZ22012D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20.65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丰裕固收增强22012期(稳健严选FOF)A款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丰裕固收增强22012期(稳健严选FOF)D款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为固收增强类产品，具有一定权益仓位。产品策略采用自上而下和自下而上相结合的模式，通过SAA/TAA制定大类资产配置策略，定期调整权益和固收投资比例。在配置比例范围通过定性+定量相结合策略精选各类底层标的。因8月底以来，股债市场均表现不佳，我们为保护产品净值，选择暂时降低权益和债券仓位，静待市场机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宏观经济方面，8月国内宏观景气度明显回升，多数经济数据都超过市场预期；美国8月通胀基本符合预期，CPI通胀增速因能源价格而上行，但核心通胀增速下行，预计随着超额储蓄的消耗美国经济景气度将持续下行，失业率面临拐点。股票市场方面，站在当下时点，我们认为A股阶段性的胜率将出现边际改善：一是由于A股历史上在四季度上涨概率较高，主要由于对第二年基本面的乐观展望和提前出现的春季躁动；二是考虑到美债利率在供给高峰过后，市场对降息的博弈可能升温，带来美债利率的下降并利好A股成长板块。债券市场方面，受8月底以来地产放松政策影响，9月债券收益率普遍上行。本轮债市调整和去年底的调整有一定相似性，都是在机构多头仓位较为集中的时候出现政策的变化，导致机构集中卖出债券。由于今年以来理财市场的结构持续出现优化调整，信用债已经基本企稳，整体市场抛售幅度远不及去年底调整时期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21.75%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21.75%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13.11%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13.11%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47.76%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47.76%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17.37%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17.37%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22诸暨新城01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181,913,593.50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质押式逆回购(423042)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44,138,169.80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11.68%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易方达裕惠回报A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35,075,636.84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质押式逆回购(420968)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30,716,956.48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21北创01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30,657,550.69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8.11%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博时富瑞纯债A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20,089,125.94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19台州银行永续债01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19,266,312.33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质押式逆回购(423783)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8,003,300.81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前海开源金银珠宝C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3,916,945.32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1.04%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前海开源沪港深核心资源C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2,555,550.30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0.68%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诸暨市新城投资开发集团有限公司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22诸暨新城01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20240605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181,913,593.50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362,924,020.00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362,924,020.00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杭银理财有限责任公司幸福99杭银理财丰裕固收增强第22012期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3301040160015309811-5722012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