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丰裕固收增强22013期(稳健严选FOF)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第3季度报告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丰裕固收增强22013期(稳健严选FOF)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FYGZ22013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Z7002222000060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2022年7月21日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2024年8月1日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4.40%-6.40%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356,288,975.80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100.63%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中低风险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2023年7月1日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2023年9月30日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356,288,975.80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345,304,000.00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1.0318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丰裕固收增强22013期(稳健严选FOF)A款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FYGZ22013A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1.0318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356,288,975.80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丰裕固收增强22013期(稳健严选FOF)A款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2.66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为固收增强类产品，具有一定权益仓位。产品策略采用自上而下和自下而上相结合的模式，通过SAA/TAA制定大类资产配置策略，定期调整权益和固收投资比例。在配置比例范围通过定性+定量相结合策略精选各类底层标的。今年三季度以来，中国经济基本面在多重因素的交织下，呈现出复杂复苏的现象，二季度很多重要数据低于预期，但国内各项政策不断出台，累积效果正在不断积累，市场在弱基本面和强政策预期中不断博弈，短期权益市场底部震荡，流动性短期收紧的情况下，债券市场利率上行。在此背景下，2季度降低了权益比例，同时降低了债券久期，从策略上，股和债同时进入防御型策略。短期一定程度的规避了权益和债券的回调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为固收增强类产品，权益和债券配置比例相对合理，追求风险和收益的最优解。四季度，经济基本面修复将渐入佳境，9月我国制造业PMI抬升至荣枯线上方，年末经济或将良好收官+开门红的预期增强，后续恢复的斜率取决于地产。流动性阶段性紧张可能会缓解，一方面四季度本轮欧美央行加息大概率将迎来谢幕，另一方面国内发债高峰已过，人民币汇率在四季度将呈现稳中有升的格局。四季度是重要的宏观政策观察窗口期，基调仍聚焦经济修复，其中财政政策重点关注一揽子化债方案出台，货币政策降准降息仍可期，地产政策有望在供需两端继续加力。风险偏好上，重点关注“一带一路”峰会、APEC会议，以及12月召开的中央经济工作会议。整体上权益逐步乐观，债券以票息收入为主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0.76%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1.26%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10.71%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42.59%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39.43%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39.43%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3.37%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9.53%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11.02%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39.01%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22宁南开投02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141,396,174.10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易方达裕惠回报A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31,560,918.45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8.86%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PR润企债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26,319,915.89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7.39%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19金华融盛MTN002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12,335,016.39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3.46%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20津投04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5,629,009.71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1.58%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21兴业银行二级02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5,136,617.57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1.44%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质押式逆回购(422673)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4,512,000.00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21中国银行二级02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3,345,871.42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0.94%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20宏泰01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3,132,844.00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易方达永旭添利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3,094,730.85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0.87%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宁波宁南新城开发投资有限公司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22宁南开投02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20240721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141,396,174.10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345,304,000.00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345,304,000.00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杭银理财有限责任公司幸福99杭银理财丰裕固收增强第22013期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3301040160015309811-5722013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杭州银行股份有限公司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2023年10月18日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