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季添益1911期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季添益1911期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TYG3M1911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Z7002221000282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2019年8月7日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2.80%-3.80%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1,407,409,427.16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102.94%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1,407,409,427.16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1,216,811,933.49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1.1566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1.1566</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季添益1911期</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1.1559</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1.1559</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848,370,212.32</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季添益1911期B款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TYG3M1911B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1.1574</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1.1574</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370,540,812.70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季添益1911期C款</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TYG3M1911C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1.1578</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1.1578</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188,498,402.14</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季添益1911期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3.75</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季添益1911期B款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3.79</w:t>
            </w:r>
            <w:r>
              <w:rPr>
                <w:rFonts w:ascii="仿宋" w:eastAsia="仿宋" w:hAnsi="仿宋" w:cs="仿宋"/>
                <w:sz w:val="24"/>
              </w:rPr>
              <w:t>%</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季添益1911期C款</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3.80</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三季度呈现了先下后上的趋势，前期在经济数据不及预期以及降准降息的刺激下，10年国债最低见2.53后，随着地产政策频出以及政府债发行加速的背景下，债券收益率反弹至季初水平以上，当前10年国债收益率2.67%，较3季度初上4bp，当前3年期AA+城投债收益率3.08%，较3季度初上行4bp，当前3年期AAA二级资本债收益率3.02%，较3季度初上行6bp，三季度利率震荡为主，二级资本债及商业银行债等高流动性债券波动较大，对市场行情更加敏感。本产品主要配置固收类资产，债券部分以信用债为主，三季度总体信用债维持震荡，中短端利率上行更明显，高流动性债券上行幅度和波动幅度较大，产品适度降低久期以防范市场大幅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但是，伴随着刺激政策的出台和债券发行的情况，资金利率和债券利率或受到扰动，整体上，我们对于4季度债市表现持中性观点，策略上，适度调整久期和杠杆以应对市场波动。</w:t>
        <w:cr/>
        <w:cr/>
        <w:t>本产品通过合理安排投资品种和期限结构、限制资产持仓集中度、监控组合资金头寸等方式管理产品的流动性风险，确保资产的变现能力与投资者赎回需求的匹配；报告期内，本产品未发生重大流动性风险事件。</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0.35%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0.35%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6.77%</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6.77%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79.01%</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79.01%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13.87%</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13.87%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23海曙广聚06</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200,918,914.75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14.28%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19农业银行二级02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113,335,224.04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8.05%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18中国银行二级02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104,767,397.26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7.44%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18建设银行二级02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104,509,452.05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7.43%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23中信银行CD161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98,086,515.30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6.97%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21淮安城资MTN003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41,772,427.40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2.97%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19农业银行二级04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41,153,005.46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2.92%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22汇盛02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39,646,909.59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2.82%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19蓉经开PPN001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37,363,509.84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21章丘集PPN001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31,020,904.11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2.20%</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40,021,041.08</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2.84%</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宁波市海曙广聚资产经营有限公司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23海曙广聚06</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20231121</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200,918,914.75</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1,082,226,087.31</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1,216,811,933.49</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23海曙广聚06</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200,000,000.00</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77,520.32</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杭银理财有限责任公司幸福99季添益开放式第1911期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3301040160015309811-351911</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