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丰裕固收23062期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丰裕固收23062期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FYG23062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Z7002223000070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2023年3月30日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2025年5月29日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4.40%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1,144,750,745.59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148.48%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1,144,750,745.59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1,120,090,585.00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1.0220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1.0220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丰裕固收23062期A款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FYG23062A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982,497,409.14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丰裕固收23062期D款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FYG23062D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162,253,336.45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丰裕固收23062期A款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丰裕固收23062期D款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部分债券期限匹配采用摊余成本法估值，可平滑产品净值。三季度总体信用债维持震荡，相对低评级债券收益率略有下行，通过杠杆策略和久期策略，产品净值收益表现较好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继续“维持期限匹配+骑乘”的基本思路，保持一定杠杆比例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75.28%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75.28%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24.67%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24.67%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23宁波象港05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133,125,634.75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11.63%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23扬州经开04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112,451,429.34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9.82%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22金华金开PPN001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91,191,017.36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7.97%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20成都开投PPN001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81,594,199.65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7.13%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20成都兴锦PPN001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72,442,855.79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6.33%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23河源润业02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71,580,575.14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6.25%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22镜湖建投PPN001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70,580,698.95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22江宁交通PPN001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60,778,057.38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22空港城发PPN001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60,455,132.57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5.28%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20舟海02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51,834,964.21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4.53%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550,515,872.73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48.09%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宁波象港开发控股集团有限公司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23宁波象港05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20250417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133,125,634.75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宿州市高新建设投资有限责任公司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23宿州高新01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20250419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51,378,863.93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扬州经济技术开发区开发(集团)有限公司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23扬州经开04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20250319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112,451,429.34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河源市润业投资有限公司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23河源润业02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20250512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71,580,575.14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四会市国有资产经营有限公司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23四会国资01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20250521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50,839,801.64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1,120,090,585.00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1,120,090,585.00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杭银理财幸福99丰裕固收23062期（稳利低波款）理财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3301040160015309811-5123062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