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5.8.0.0 -->
  <w:body>
    <w:p w:rsidR="00CE5B30">
      <w:pPr>
        <w:jc w:val="center"/>
        <w:rPr>
          <w:rFonts w:ascii="宋体" w:eastAsia="宋体" w:hAnsi="宋体"/>
          <w:b/>
          <w:sz w:val="32"/>
          <w:szCs w:val="20"/>
        </w:rPr>
      </w:pPr>
    </w:p>
    <w:p w:rsidR="00CE5B30">
      <w:pPr>
        <w:adjustRightInd w:val="0"/>
        <w:snapToGrid w:val="0"/>
        <w:spacing w:line="460" w:lineRule="exact"/>
        <w:jc w:val="center"/>
        <w:rPr>
          <w:rFonts w:ascii="Times New Roman" w:eastAsia="方正楷体简体" w:hAnsi="Times New Roman"/>
          <w:sz w:val="24"/>
        </w:rPr>
      </w:pPr>
    </w:p>
    <w:p w:rsidR="00CE5B30"/>
    <w:p w:rsidR="00CE5B30">
      <w:pPr>
        <w:autoSpaceDE w:val="0"/>
        <w:autoSpaceDN w:val="0"/>
        <w:spacing w:before="220"/>
        <w:jc w:val="center"/>
        <w:rPr>
          <w:rFonts w:ascii="仿宋_GB2312" w:eastAsia="仿宋_GB2312" w:hAnsi="仿宋_GB2312" w:cs="仿宋_GB2312"/>
          <w:b/>
          <w:kern w:val="0"/>
          <w:sz w:val="52"/>
          <w:szCs w:val="52"/>
          <w:lang w:bidi="zh-CN"/>
        </w:rPr>
      </w:pPr>
      <w:r>
        <w:rPr>
          <w:rFonts w:ascii="仿宋_GB2312" w:eastAsia="仿宋_GB2312" w:hAnsi="仿宋_GB2312" w:cs="仿宋_GB2312" w:hint="eastAsia"/>
          <w:b/>
          <w:kern w:val="0"/>
          <w:sz w:val="52"/>
          <w:szCs w:val="52"/>
          <w:lang w:bidi="zh-CN"/>
        </w:rPr>
        <w:t>季添益1913期</w:t>
      </w:r>
    </w:p>
    <w:p w:rsidR="00CE5B30">
      <w:pPr>
        <w:autoSpaceDE w:val="0"/>
        <w:autoSpaceDN w:val="0"/>
        <w:spacing w:line="360" w:lineRule="auto"/>
        <w:jc w:val="center"/>
        <w:rPr>
          <w:rFonts w:ascii="仿宋_GB2312" w:eastAsia="仿宋_GB2312" w:hAnsi="仿宋_GB2312" w:cs="仿宋_GB2312"/>
          <w:b/>
          <w:bCs/>
          <w:kern w:val="0"/>
          <w:sz w:val="44"/>
          <w:szCs w:val="44"/>
          <w:lang w:bidi="zh-CN"/>
        </w:rPr>
      </w:pPr>
      <w:r>
        <w:rPr>
          <w:rFonts w:ascii="仿宋_GB2312" w:eastAsia="仿宋_GB2312" w:hAnsi="仿宋_GB2312" w:cs="仿宋_GB2312" w:hint="eastAsia"/>
          <w:b/>
          <w:bCs/>
          <w:kern w:val="0"/>
          <w:sz w:val="44"/>
          <w:szCs w:val="44"/>
          <w:lang w:bidi="zh-CN"/>
        </w:rPr>
        <w:t>2023</w:t>
      </w:r>
      <w:r>
        <w:rPr>
          <w:rFonts w:ascii="仿宋_GB2312" w:eastAsia="仿宋_GB2312" w:hAnsi="仿宋_GB2312" w:cs="仿宋_GB2312"/>
          <w:b/>
          <w:sz w:val="44"/>
        </w:rPr>
        <w:t>年</w:t>
      </w:r>
      <w:r>
        <w:rPr>
          <w:rFonts w:ascii="仿宋_GB2312" w:eastAsia="仿宋_GB2312" w:hAnsi="仿宋_GB2312" w:cs="仿宋_GB2312"/>
          <w:b/>
          <w:sz w:val="44"/>
        </w:rPr>
        <w:t>第3季度报告</w:t>
      </w:r>
    </w:p>
    <w:p w:rsidR="00CE5B30">
      <w:pPr>
        <w:jc w:val="center"/>
        <w:rPr>
          <w:rFonts w:ascii="宋体" w:eastAsia="宋体" w:hAnsi="宋体" w:cs="Times New Roman"/>
          <w:color w:val="0000FF"/>
          <w:kern w:val="0"/>
          <w:sz w:val="18"/>
          <w:szCs w:val="20"/>
        </w:rPr>
      </w:pPr>
    </w:p>
    <w:p w:rsidR="00CE5B30">
      <w:pPr>
        <w:jc w:val="center"/>
        <w:rPr>
          <w:rFonts w:eastAsia="宋体"/>
          <w:sz w:val="24"/>
        </w:rPr>
      </w:pPr>
    </w:p>
    <w:p w:rsidR="00CE5B30">
      <w:pPr>
        <w:jc w:val="center"/>
        <w:rPr>
          <w:rFonts w:eastAsia="宋体"/>
          <w:sz w:val="24"/>
        </w:rPr>
      </w:pPr>
    </w:p>
    <w:p w:rsidR="00CE5B30">
      <w:pPr>
        <w:jc w:val="center"/>
        <w:rPr>
          <w:rFonts w:ascii="仿宋" w:eastAsia="仿宋" w:hAnsi="仿宋" w:cs="仿宋"/>
          <w:sz w:val="24"/>
        </w:rPr>
      </w:pPr>
    </w:p>
    <w:p w:rsidR="00CE5B30">
      <w:pPr>
        <w:jc w:val="center"/>
        <w:rPr>
          <w:rFonts w:ascii="仿宋" w:eastAsia="仿宋" w:hAnsi="仿宋" w:cs="仿宋"/>
          <w:sz w:val="24"/>
        </w:rPr>
      </w:pPr>
    </w:p>
    <w:p w:rsidR="00CE5B30">
      <w:pPr>
        <w:jc w:val="center"/>
        <w:rPr>
          <w:rFonts w:ascii="仿宋" w:eastAsia="仿宋" w:hAnsi="仿宋" w:cs="仿宋"/>
          <w:sz w:val="24"/>
        </w:rPr>
      </w:pPr>
    </w:p>
    <w:p w:rsidR="00CE5B30">
      <w:pPr>
        <w:jc w:val="center"/>
        <w:rPr>
          <w:rFonts w:ascii="仿宋" w:eastAsia="仿宋" w:hAnsi="仿宋" w:cs="仿宋"/>
          <w:sz w:val="24"/>
        </w:rPr>
      </w:pPr>
      <w:r>
        <w:rPr>
          <w:rFonts w:ascii="仿宋" w:eastAsia="仿宋" w:hAnsi="仿宋" w:cs="仿宋" w:hint="eastAsia"/>
          <w:sz w:val="24"/>
        </w:rPr>
        <w:t>产品管理人：</w:t>
      </w:r>
      <w:r>
        <w:rPr>
          <w:rFonts w:ascii="仿宋" w:eastAsia="仿宋" w:hAnsi="仿宋" w:cs="仿宋"/>
          <w:sz w:val="24"/>
        </w:rPr>
        <w:t>杭银理财有限责任公司</w:t>
      </w:r>
    </w:p>
    <w:p w:rsidR="00CE5B30">
      <w:pPr>
        <w:jc w:val="center"/>
        <w:rPr>
          <w:rFonts w:ascii="仿宋" w:eastAsia="仿宋" w:hAnsi="仿宋" w:cs="仿宋"/>
          <w:sz w:val="24"/>
        </w:rPr>
      </w:pPr>
      <w:r>
        <w:rPr>
          <w:rFonts w:ascii="仿宋" w:eastAsia="仿宋" w:hAnsi="仿宋" w:cs="仿宋" w:hint="eastAsia"/>
          <w:sz w:val="24"/>
        </w:rPr>
        <w:t>产品托管人：</w:t>
      </w:r>
      <w:r>
        <w:rPr>
          <w:rFonts w:ascii="仿宋" w:eastAsia="仿宋" w:hAnsi="仿宋" w:cs="仿宋"/>
          <w:sz w:val="24"/>
        </w:rPr>
        <w:t>杭州银行股份有限公司</w:t>
      </w:r>
    </w:p>
    <w:p w:rsidR="00CE5B30">
      <w:pPr>
        <w:jc w:val="center"/>
        <w:rPr>
          <w:rFonts w:ascii="仿宋" w:eastAsia="仿宋" w:hAnsi="仿宋" w:cs="仿宋"/>
          <w:sz w:val="24"/>
        </w:rPr>
      </w:pPr>
    </w:p>
    <w:p w:rsidR="00CE5B30">
      <w:pPr>
        <w:jc w:val="center"/>
        <w:rPr>
          <w:rFonts w:ascii="仿宋" w:eastAsia="仿宋" w:hAnsi="仿宋" w:cs="仿宋"/>
          <w:sz w:val="24"/>
        </w:rPr>
      </w:pPr>
    </w:p>
    <w:p w:rsidR="00CE5B30">
      <w:pPr>
        <w:jc w:val="center"/>
        <w:rPr>
          <w:rFonts w:ascii="仿宋" w:eastAsia="仿宋" w:hAnsi="仿宋" w:cs="仿宋"/>
          <w:sz w:val="24"/>
        </w:rPr>
      </w:pPr>
    </w:p>
    <w:p w:rsidR="00CE5B30">
      <w:pPr>
        <w:jc w:val="center"/>
        <w:rPr>
          <w:rFonts w:ascii="仿宋" w:eastAsia="仿宋" w:hAnsi="仿宋" w:cs="仿宋"/>
          <w:sz w:val="24"/>
        </w:rPr>
      </w:pPr>
      <w:r>
        <w:rPr>
          <w:rFonts w:ascii="仿宋" w:eastAsia="仿宋" w:hAnsi="仿宋" w:cs="仿宋" w:hint="eastAsia"/>
          <w:sz w:val="24"/>
        </w:rPr>
        <w:t>2023年10月18日</w:t>
      </w:r>
    </w:p>
    <w:p w:rsidR="00CE5B30">
      <w:pPr>
        <w:rPr>
          <w:rFonts w:ascii="宋体" w:eastAsia="宋体" w:hAnsi="宋体"/>
        </w:rPr>
      </w:pPr>
    </w:p>
    <w:p w:rsidR="00CE5B30">
      <w:pPr>
        <w:jc w:val="center"/>
        <w:rPr>
          <w:rFonts w:ascii="宋体" w:eastAsia="宋体" w:hAnsi="宋体"/>
        </w:rPr>
      </w:pPr>
    </w:p>
    <w:p w:rsidR="00CE5B30">
      <w:pPr>
        <w:pStyle w:val="Heading2"/>
        <w:adjustRightInd w:val="0"/>
        <w:snapToGrid w:val="0"/>
        <w:spacing w:line="560" w:lineRule="exact"/>
        <w:jc w:val="center"/>
        <w:rPr>
          <w:rFonts w:ascii="仿宋" w:eastAsia="仿宋" w:hAnsi="仿宋" w:cs="仿宋"/>
          <w:sz w:val="24"/>
        </w:rPr>
      </w:pPr>
      <w:bookmarkStart w:id="0" w:name="_Toc379618105"/>
      <w:r>
        <w:rPr>
          <w:rFonts w:ascii="仿宋" w:eastAsia="仿宋" w:hAnsi="仿宋" w:cs="仿宋" w:hint="eastAsia"/>
          <w:sz w:val="24"/>
        </w:rPr>
        <w:t>§1  重要提示</w:t>
      </w:r>
      <w:bookmarkEnd w:id="0"/>
    </w:p>
    <w:tbl>
      <w:tblPr>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20"/>
      </w:tblGrid>
      <w:tr>
        <w:tblPrEx>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41"/>
        </w:trPr>
        <w:tc>
          <w:tcPr>
            <w:tcW w:w="9120" w:type="dxa"/>
            <w:tcBorders>
              <w:top w:val="single" w:sz="4" w:space="0" w:color="auto"/>
              <w:left w:val="single" w:sz="4" w:space="0" w:color="auto"/>
              <w:bottom w:val="single" w:sz="4" w:space="0" w:color="auto"/>
              <w:right w:val="single" w:sz="4" w:space="0" w:color="auto"/>
            </w:tcBorders>
          </w:tcPr>
          <w:p w:rsidR="00CE5B30">
            <w:pPr>
              <w:widowControl/>
              <w:adjustRightInd w:val="0"/>
              <w:snapToGrid w:val="0"/>
              <w:spacing w:line="420" w:lineRule="exact"/>
              <w:ind w:firstLine="42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产品管理人承诺以诚实信用、勤勉尽责的原则管理和运用产品资产，并如实反映产品财务指标及投资组合情况，但不保证产品一定盈利。</w:t>
            </w:r>
          </w:p>
          <w:p w:rsidR="00CE5B30">
            <w:pPr>
              <w:widowControl/>
              <w:adjustRightInd w:val="0"/>
              <w:snapToGrid w:val="0"/>
              <w:spacing w:line="420" w:lineRule="exact"/>
              <w:ind w:firstLine="42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产品托管人根据本</w:t>
            </w:r>
            <w:r>
              <w:rPr>
                <w:rFonts w:ascii="仿宋" w:eastAsia="仿宋" w:hAnsi="仿宋" w:cs="仿宋" w:hint="eastAsia"/>
                <w:color w:val="000000"/>
                <w:sz w:val="24"/>
              </w:rPr>
              <w:t>产品</w:t>
            </w:r>
            <w:r>
              <w:rPr>
                <w:rFonts w:ascii="仿宋" w:eastAsia="仿宋" w:hAnsi="仿宋" w:cs="仿宋" w:hint="eastAsia"/>
                <w:color w:val="404040"/>
                <w:kern w:val="0"/>
                <w:sz w:val="24"/>
              </w:rPr>
              <w:t>合同规定，于</w:t>
            </w:r>
            <w:r>
              <w:rPr>
                <w:rFonts w:ascii="仿宋" w:eastAsia="仿宋" w:hAnsi="仿宋" w:cs="仿宋"/>
                <w:color w:val="404040"/>
                <w:sz w:val="24"/>
              </w:rPr>
              <w:t>2023年9月30日</w:t>
            </w:r>
            <w:r>
              <w:rPr>
                <w:rFonts w:ascii="仿宋" w:eastAsia="仿宋" w:hAnsi="仿宋" w:cs="仿宋"/>
                <w:color w:val="404040"/>
                <w:sz w:val="24"/>
              </w:rPr>
              <w:t>复核了本报告中的财务指标、净值表现和投资组合报告等内容，保证复核内容不存在虚假记载、误导性陈述或者重大遗漏。</w:t>
            </w:r>
          </w:p>
          <w:p w:rsidR="00CE5B30">
            <w:pPr>
              <w:widowControl/>
              <w:adjustRightInd w:val="0"/>
              <w:snapToGrid w:val="0"/>
              <w:spacing w:line="420" w:lineRule="exact"/>
              <w:ind w:firstLine="42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产品的过往业绩并不代表其未来表现。投资有风险，投资者在作出投资决策前应仔细阅读本</w:t>
            </w:r>
            <w:r>
              <w:rPr>
                <w:rFonts w:ascii="仿宋" w:eastAsia="仿宋" w:hAnsi="仿宋" w:cs="仿宋" w:hint="eastAsia"/>
                <w:color w:val="000000"/>
                <w:sz w:val="24"/>
              </w:rPr>
              <w:t>产品</w:t>
            </w:r>
            <w:r>
              <w:rPr>
                <w:rFonts w:ascii="仿宋" w:eastAsia="仿宋" w:hAnsi="仿宋" w:cs="仿宋" w:hint="eastAsia"/>
                <w:color w:val="404040"/>
                <w:kern w:val="0"/>
                <w:sz w:val="24"/>
              </w:rPr>
              <w:t>的产品说明书。</w:t>
            </w:r>
          </w:p>
          <w:p w:rsidR="00CE5B30">
            <w:pPr>
              <w:widowControl/>
              <w:adjustRightInd w:val="0"/>
              <w:snapToGrid w:val="0"/>
              <w:spacing w:line="420" w:lineRule="exact"/>
              <w:ind w:firstLine="42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本报告中财务资料未经审计。</w:t>
            </w:r>
          </w:p>
          <w:p w:rsidR="00CE5B30">
            <w:pPr>
              <w:widowControl/>
              <w:adjustRightInd w:val="0"/>
              <w:snapToGrid w:val="0"/>
              <w:spacing w:line="420" w:lineRule="exact"/>
              <w:ind w:firstLine="420" w:firstLineChars="200"/>
              <w:jc w:val="left"/>
              <w:rPr>
                <w:rFonts w:ascii="仿宋" w:eastAsia="仿宋" w:hAnsi="仿宋" w:cs="仿宋"/>
                <w:sz w:val="24"/>
              </w:rPr>
            </w:pPr>
            <w:r>
              <w:rPr>
                <w:rFonts w:ascii="仿宋" w:eastAsia="仿宋" w:hAnsi="仿宋" w:cs="仿宋" w:hint="eastAsia"/>
                <w:color w:val="404040"/>
                <w:kern w:val="0"/>
                <w:sz w:val="24"/>
              </w:rPr>
              <w:t>本报告期自</w:t>
            </w:r>
            <w:r>
              <w:rPr>
                <w:rFonts w:ascii="仿宋" w:eastAsia="仿宋" w:hAnsi="仿宋" w:cs="仿宋"/>
                <w:color w:val="404040"/>
                <w:sz w:val="24"/>
              </w:rPr>
              <w:t>2023年7月1日</w:t>
            </w:r>
            <w:r>
              <w:rPr>
                <w:rFonts w:ascii="仿宋" w:eastAsia="仿宋" w:hAnsi="仿宋" w:cs="仿宋"/>
                <w:color w:val="404040"/>
                <w:sz w:val="24"/>
              </w:rPr>
              <w:t>起至</w:t>
            </w:r>
            <w:r>
              <w:rPr>
                <w:rFonts w:ascii="仿宋" w:eastAsia="仿宋" w:hAnsi="仿宋" w:cs="仿宋"/>
                <w:color w:val="404040"/>
                <w:sz w:val="24"/>
              </w:rPr>
              <w:t>2023年9月30日</w:t>
            </w:r>
            <w:r>
              <w:rPr>
                <w:rFonts w:ascii="仿宋" w:eastAsia="仿宋" w:hAnsi="仿宋" w:cs="仿宋"/>
                <w:color w:val="404040"/>
                <w:sz w:val="24"/>
              </w:rPr>
              <w:t>止。</w:t>
            </w:r>
          </w:p>
        </w:tc>
      </w:tr>
    </w:tbl>
    <w:p w:rsidR="00CE5B30">
      <w:pPr>
        <w:rPr>
          <w:rStyle w:val="a"/>
          <w:rFonts w:ascii="仿宋" w:eastAsia="仿宋" w:hAnsi="仿宋" w:cs="仿宋"/>
          <w:color w:val="0000FF"/>
          <w:sz w:val="24"/>
        </w:rPr>
      </w:pPr>
    </w:p>
    <w:p w:rsidR="00CE5B30">
      <w:pPr>
        <w:pStyle w:val="Heading2"/>
        <w:adjustRightInd w:val="0"/>
        <w:snapToGrid w:val="0"/>
        <w:spacing w:line="560" w:lineRule="exact"/>
        <w:jc w:val="center"/>
        <w:rPr>
          <w:rFonts w:ascii="仿宋" w:eastAsia="仿宋" w:hAnsi="仿宋" w:cs="仿宋"/>
          <w:sz w:val="24"/>
        </w:rPr>
      </w:pPr>
      <w:bookmarkStart w:id="1" w:name="_Toc67575498"/>
      <w:r>
        <w:rPr>
          <w:rFonts w:ascii="仿宋" w:eastAsia="仿宋" w:hAnsi="仿宋" w:cs="仿宋" w:hint="eastAsia"/>
          <w:sz w:val="24"/>
        </w:rPr>
        <w:t>§2  产品概况</w:t>
      </w:r>
      <w:bookmarkEnd w:id="1"/>
    </w:p>
    <w:p w:rsidR="00CE5B30">
      <w:pPr>
        <w:adjustRightInd w:val="0"/>
        <w:snapToGrid w:val="0"/>
        <w:spacing w:line="440" w:lineRule="exact"/>
        <w:outlineLvl w:val="2"/>
        <w:rPr>
          <w:rFonts w:ascii="仿宋" w:eastAsia="仿宋" w:hAnsi="仿宋" w:cs="仿宋"/>
          <w:b/>
          <w:sz w:val="24"/>
        </w:rPr>
      </w:pPr>
      <w:bookmarkStart w:id="2" w:name="_Toc1870029270"/>
      <w:bookmarkStart w:id="3" w:name="_Toc354129567"/>
      <w:r>
        <w:rPr>
          <w:rFonts w:ascii="仿宋" w:eastAsia="仿宋" w:hAnsi="仿宋" w:cs="仿宋" w:hint="eastAsia"/>
          <w:b/>
          <w:sz w:val="24"/>
        </w:rPr>
        <w:t>2.1 产品基本情况</w:t>
      </w:r>
      <w:bookmarkEnd w:id="2"/>
      <w:bookmarkEnd w:id="3"/>
    </w:p>
    <w:tbl>
      <w:tblPr>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55"/>
        <w:gridCol w:w="5784"/>
      </w:tblGrid>
      <w:tr>
        <w:tblPrEx>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产品名称</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季添益1913期</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产品代码</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TYG3M1913</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理财信息登记系统登记编码</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Z7002221000284</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sz w:val="24"/>
              </w:rPr>
            </w:pPr>
            <w:r>
              <w:rPr>
                <w:rFonts w:ascii="仿宋" w:eastAsia="仿宋" w:hAnsi="仿宋" w:cs="仿宋" w:hint="eastAsia"/>
                <w:kern w:val="0"/>
                <w:sz w:val="24"/>
              </w:rPr>
              <w:t>产品成立日</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2019年8月21日</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产品到期日</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产品募集方式</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公募</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产品运作模式</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开放式净值型</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产品投资性质</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固定收益类</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业绩比较基准（%）</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2.80%-3.80%</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sz w:val="24"/>
              </w:rPr>
            </w:pPr>
            <w:r>
              <w:rPr>
                <w:rFonts w:ascii="仿宋" w:eastAsia="仿宋" w:hAnsi="仿宋" w:cs="仿宋" w:hint="eastAsia"/>
                <w:kern w:val="0"/>
                <w:sz w:val="24"/>
              </w:rPr>
              <w:t>报告期末产品规模（元）</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1,177,188,668.11</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sz w:val="24"/>
              </w:rPr>
            </w:pPr>
            <w:r>
              <w:rPr>
                <w:rFonts w:ascii="仿宋" w:eastAsia="仿宋" w:hAnsi="仿宋" w:cs="仿宋" w:hint="eastAsia"/>
                <w:kern w:val="0"/>
                <w:sz w:val="24"/>
              </w:rPr>
              <w:t>杠杆水平（%）</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100.06%</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风险等级</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中低风险</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sz w:val="24"/>
              </w:rPr>
            </w:pPr>
            <w:r>
              <w:rPr>
                <w:rFonts w:ascii="仿宋" w:eastAsia="仿宋" w:hAnsi="仿宋" w:cs="仿宋" w:hint="eastAsia"/>
                <w:kern w:val="0"/>
                <w:sz w:val="24"/>
              </w:rPr>
              <w:t>产品管理人</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杭银理财有限责任公司</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sz w:val="24"/>
              </w:rPr>
            </w:pPr>
            <w:r>
              <w:rPr>
                <w:rFonts w:ascii="仿宋" w:eastAsia="仿宋" w:hAnsi="仿宋" w:cs="仿宋" w:hint="eastAsia"/>
                <w:kern w:val="0"/>
                <w:sz w:val="24"/>
              </w:rPr>
              <w:t>产品托管人</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杭州银行股份有限公司</w:t>
            </w:r>
          </w:p>
        </w:tc>
      </w:tr>
    </w:tbl>
    <w:p w:rsidR="00CE5B30">
      <w:pPr>
        <w:adjustRightInd w:val="0"/>
        <w:snapToGrid w:val="0"/>
        <w:spacing w:line="360" w:lineRule="exact"/>
        <w:rPr>
          <w:rFonts w:ascii="仿宋" w:eastAsia="仿宋" w:hAnsi="仿宋" w:cs="仿宋"/>
          <w:sz w:val="24"/>
        </w:rPr>
      </w:pPr>
      <w:r>
        <w:rPr>
          <w:rFonts w:ascii="仿宋" w:eastAsia="仿宋" w:hAnsi="仿宋" w:cs="仿宋" w:hint="eastAsia"/>
          <w:sz w:val="24"/>
        </w:rPr>
        <w:t>*杠杆水平=总资产/理财产品净资产，理财产品净资产=总资产-总负债</w:t>
      </w:r>
    </w:p>
    <w:p w:rsidR="00CE5B30">
      <w:pPr>
        <w:adjustRightInd w:val="0"/>
        <w:snapToGrid w:val="0"/>
        <w:spacing w:line="360" w:lineRule="exact"/>
        <w:rPr>
          <w:rFonts w:ascii="仿宋" w:eastAsia="仿宋" w:hAnsi="仿宋" w:cs="仿宋"/>
          <w:color w:val="000000"/>
          <w:sz w:val="24"/>
        </w:rPr>
      </w:pPr>
    </w:p>
    <w:p w:rsidR="00CE5B30">
      <w:pPr>
        <w:pStyle w:val="Heading2"/>
        <w:adjustRightInd w:val="0"/>
        <w:snapToGrid w:val="0"/>
        <w:spacing w:line="560" w:lineRule="exact"/>
        <w:jc w:val="center"/>
        <w:rPr>
          <w:rFonts w:ascii="仿宋" w:eastAsia="仿宋" w:hAnsi="仿宋" w:cs="仿宋"/>
          <w:sz w:val="24"/>
        </w:rPr>
      </w:pPr>
      <w:bookmarkStart w:id="4" w:name="_Toc1158767045"/>
      <w:r>
        <w:rPr>
          <w:rFonts w:ascii="仿宋" w:eastAsia="仿宋" w:hAnsi="仿宋" w:cs="仿宋" w:hint="eastAsia"/>
          <w:sz w:val="24"/>
        </w:rPr>
        <w:t>§3  主要财务指标和产品净值表现</w:t>
      </w:r>
      <w:bookmarkEnd w:id="4"/>
    </w:p>
    <w:p w:rsidR="00CE5B30">
      <w:pPr>
        <w:adjustRightInd w:val="0"/>
        <w:snapToGrid w:val="0"/>
        <w:spacing w:line="440" w:lineRule="exact"/>
        <w:outlineLvl w:val="2"/>
        <w:rPr>
          <w:rFonts w:ascii="仿宋" w:eastAsia="仿宋" w:hAnsi="仿宋" w:cs="仿宋"/>
          <w:b/>
          <w:sz w:val="24"/>
        </w:rPr>
      </w:pPr>
      <w:bookmarkStart w:id="5" w:name="_Toc2016014319"/>
      <w:r>
        <w:rPr>
          <w:rFonts w:ascii="仿宋" w:eastAsia="仿宋" w:hAnsi="仿宋" w:cs="仿宋" w:hint="eastAsia"/>
          <w:b/>
          <w:sz w:val="24"/>
        </w:rPr>
        <w:t>3.1 主要财务指标和产品净值表现</w:t>
      </w:r>
      <w:bookmarkEnd w:id="5"/>
    </w:p>
    <w:p w:rsidR="00CE5B30">
      <w:pPr>
        <w:adjustRightInd w:val="0"/>
        <w:snapToGrid w:val="0"/>
        <w:spacing w:line="440" w:lineRule="exact"/>
        <w:jc w:val="right"/>
        <w:rPr>
          <w:rFonts w:ascii="仿宋" w:eastAsia="仿宋" w:hAnsi="仿宋" w:cs="仿宋"/>
          <w:sz w:val="24"/>
        </w:rPr>
      </w:pPr>
      <w:r>
        <w:rPr>
          <w:rFonts w:ascii="仿宋" w:eastAsia="仿宋" w:hAnsi="仿宋" w:cs="仿宋" w:hint="eastAsia"/>
          <w:sz w:val="24"/>
        </w:rPr>
        <w:t>单位：元、份、元/份</w:t>
      </w: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5"/>
        <w:gridCol w:w="1418"/>
        <w:gridCol w:w="585"/>
        <w:gridCol w:w="407"/>
        <w:gridCol w:w="992"/>
        <w:gridCol w:w="3321"/>
      </w:tblGrid>
      <w:tr>
        <w:tblPrEx>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color w:val="000000"/>
                <w:kern w:val="0"/>
                <w:sz w:val="24"/>
              </w:rPr>
            </w:pPr>
            <w:r>
              <w:rPr>
                <w:rFonts w:ascii="仿宋" w:eastAsia="仿宋" w:hAnsi="仿宋" w:cs="仿宋" w:hint="eastAsia"/>
                <w:sz w:val="24"/>
              </w:rPr>
              <w:t>主要财务指标</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报告期</w:t>
            </w:r>
          </w:p>
          <w:p w:rsidR="00CE5B30">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w:t>
            </w:r>
            <w:r>
              <w:rPr>
                <w:rFonts w:ascii="仿宋" w:eastAsia="仿宋" w:hAnsi="仿宋" w:cs="仿宋"/>
                <w:color w:val="000000"/>
                <w:sz w:val="24"/>
              </w:rPr>
              <w:t>2023年7月1日</w:t>
            </w:r>
            <w:r>
              <w:rPr>
                <w:rFonts w:ascii="仿宋" w:eastAsia="仿宋" w:hAnsi="仿宋" w:cs="仿宋"/>
                <w:color w:val="000000"/>
                <w:sz w:val="24"/>
              </w:rPr>
              <w:t>-</w:t>
            </w:r>
            <w:r>
              <w:rPr>
                <w:rFonts w:ascii="仿宋" w:eastAsia="仿宋" w:hAnsi="仿宋" w:cs="仿宋"/>
                <w:color w:val="000000"/>
                <w:sz w:val="24"/>
              </w:rPr>
              <w:t>2023年9月30日</w:t>
            </w:r>
            <w:r>
              <w:rPr>
                <w:rFonts w:ascii="仿宋" w:eastAsia="仿宋" w:hAnsi="仿宋" w:cs="仿宋"/>
                <w:color w:val="000000"/>
                <w:sz w:val="24"/>
              </w:rPr>
              <w:t>）</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rPr>
                <w:rStyle w:val="a"/>
                <w:rFonts w:ascii="仿宋" w:eastAsia="仿宋" w:hAnsi="仿宋" w:cs="仿宋"/>
                <w:sz w:val="24"/>
              </w:rPr>
            </w:pPr>
            <w:r>
              <w:rPr>
                <w:rFonts w:ascii="仿宋" w:eastAsia="仿宋" w:hAnsi="仿宋" w:cs="仿宋" w:hint="eastAsia"/>
                <w:sz w:val="24"/>
              </w:rPr>
              <w:t>1.期末产品资产净值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right"/>
              <w:rPr>
                <w:rFonts w:ascii="仿宋" w:eastAsia="仿宋" w:hAnsi="仿宋" w:cs="仿宋"/>
                <w:sz w:val="24"/>
              </w:rPr>
            </w:pPr>
            <w:r>
              <w:rPr>
                <w:rFonts w:ascii="仿宋" w:eastAsia="仿宋" w:hAnsi="仿宋" w:cs="仿宋" w:hint="eastAsia"/>
                <w:kern w:val="0"/>
                <w:sz w:val="24"/>
              </w:rPr>
              <w:t>1,177,188,668.11</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rPr>
                <w:rFonts w:ascii="仿宋" w:eastAsia="仿宋" w:hAnsi="仿宋" w:cs="仿宋"/>
                <w:sz w:val="24"/>
              </w:rPr>
            </w:pPr>
            <w:r>
              <w:rPr>
                <w:rFonts w:ascii="仿宋" w:eastAsia="仿宋" w:hAnsi="仿宋" w:cs="仿宋" w:hint="eastAsia"/>
                <w:sz w:val="24"/>
              </w:rPr>
              <w:t>2.期末产品总份额</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right"/>
              <w:rPr>
                <w:rFonts w:ascii="仿宋" w:eastAsia="仿宋" w:hAnsi="仿宋" w:cs="仿宋"/>
                <w:kern w:val="0"/>
                <w:sz w:val="24"/>
              </w:rPr>
            </w:pPr>
            <w:r>
              <w:rPr>
                <w:rFonts w:ascii="仿宋" w:eastAsia="仿宋" w:hAnsi="仿宋" w:cs="仿宋" w:hint="eastAsia"/>
                <w:kern w:val="0"/>
                <w:sz w:val="24"/>
              </w:rPr>
              <w:t>1,014,157,399.94</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rPr>
                <w:rStyle w:val="a"/>
                <w:rFonts w:ascii="仿宋" w:eastAsia="仿宋" w:hAnsi="仿宋" w:cs="仿宋"/>
                <w:sz w:val="24"/>
              </w:rPr>
            </w:pPr>
            <w:r>
              <w:rPr>
                <w:rFonts w:ascii="仿宋" w:eastAsia="仿宋" w:hAnsi="仿宋" w:cs="仿宋" w:hint="eastAsia"/>
                <w:sz w:val="24"/>
              </w:rPr>
              <w:t>3.期末产品份额单位净值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right"/>
              <w:rPr>
                <w:rFonts w:ascii="仿宋" w:eastAsia="仿宋" w:hAnsi="仿宋" w:cs="仿宋"/>
                <w:sz w:val="24"/>
              </w:rPr>
            </w:pPr>
            <w:r>
              <w:rPr>
                <w:rFonts w:ascii="仿宋" w:eastAsia="仿宋" w:hAnsi="仿宋" w:cs="仿宋" w:hint="eastAsia"/>
                <w:kern w:val="0"/>
                <w:sz w:val="24"/>
              </w:rPr>
              <w:t>1.1607</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rPr>
                <w:rStyle w:val="a"/>
                <w:rFonts w:ascii="仿宋" w:eastAsia="仿宋" w:hAnsi="仿宋" w:cs="仿宋"/>
                <w:sz w:val="24"/>
              </w:rPr>
            </w:pPr>
            <w:r>
              <w:rPr>
                <w:rFonts w:ascii="仿宋" w:eastAsia="仿宋" w:hAnsi="仿宋" w:cs="仿宋" w:hint="eastAsia"/>
                <w:sz w:val="24"/>
              </w:rPr>
              <w:t>4.期末产品份额累计净值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right"/>
              <w:rPr>
                <w:rFonts w:ascii="仿宋" w:eastAsia="仿宋" w:hAnsi="仿宋" w:cs="仿宋"/>
                <w:sz w:val="24"/>
              </w:rPr>
            </w:pPr>
            <w:r>
              <w:rPr>
                <w:rFonts w:ascii="仿宋" w:eastAsia="仿宋" w:hAnsi="仿宋" w:cs="仿宋" w:hint="eastAsia"/>
                <w:kern w:val="0"/>
                <w:sz w:val="24"/>
              </w:rPr>
              <w:t>1.1607</w:t>
            </w:r>
          </w:p>
        </w:tc>
      </w:tr>
      <w:tr>
        <w:tblPrEx>
          <w:tblW w:w="9128" w:type="dxa"/>
          <w:tblLayout w:type="fixed"/>
          <w:tblLook w:val="04A0"/>
        </w:tblPrEx>
        <w:trPr>
          <w:trHeight w:val="23"/>
        </w:trPr>
        <w:tc>
          <w:tcPr>
            <w:tcW w:w="9128" w:type="dxa"/>
            <w:gridSpan w:val="6"/>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color w:val="0000FF"/>
                <w:sz w:val="24"/>
              </w:rPr>
            </w:pPr>
            <w:r>
              <w:rPr>
                <w:rFonts w:ascii="仿宋" w:eastAsia="仿宋" w:hAnsi="仿宋" w:cs="仿宋" w:hint="eastAsia"/>
                <w:kern w:val="0"/>
                <w:sz w:val="24"/>
              </w:rPr>
              <w:t>报告期末下属子产品相关信息披露</w:t>
            </w:r>
          </w:p>
        </w:tc>
      </w:tr>
      <w:tr>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color w:val="000000"/>
              </w:rPr>
              <w:t>子产品名称</w:t>
            </w:r>
          </w:p>
        </w:tc>
        <w:tc>
          <w:tcPr>
            <w:tcW w:w="1418" w:type="dxa"/>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子产品代码</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份额</w:t>
            </w:r>
          </w:p>
          <w:p w:rsidR="00CE5B3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净值</w:t>
            </w:r>
          </w:p>
        </w:tc>
        <w:tc>
          <w:tcPr>
            <w:tcW w:w="992" w:type="dxa"/>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份额累计净值</w:t>
            </w:r>
          </w:p>
        </w:tc>
        <w:tc>
          <w:tcPr>
            <w:tcW w:w="3321" w:type="dxa"/>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资产净值</w:t>
            </w:r>
          </w:p>
        </w:tc>
      </w:tr>
      <w:tr>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季添益1913期</w:t>
            </w:r>
          </w:p>
        </w:tc>
        <w:tc>
          <w:tcPr>
            <w:tcW w:w="1418" w:type="dxa"/>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TYG3M1913</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1.1602</w:t>
            </w:r>
          </w:p>
        </w:tc>
        <w:tc>
          <w:tcPr>
            <w:tcW w:w="992" w:type="dxa"/>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1.1602</w:t>
            </w:r>
          </w:p>
        </w:tc>
        <w:tc>
          <w:tcPr>
            <w:tcW w:w="3321" w:type="dxa"/>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799,269,615.91</w:t>
            </w:r>
          </w:p>
        </w:tc>
      </w:tr>
      <w:tr>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季添益1913期B款</w:t>
            </w:r>
          </w:p>
        </w:tc>
        <w:tc>
          <w:tcPr>
            <w:tcW w:w="1418" w:type="dxa"/>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TYG3M1913B</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1.1617</w:t>
            </w:r>
          </w:p>
        </w:tc>
        <w:tc>
          <w:tcPr>
            <w:tcW w:w="992" w:type="dxa"/>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1.1617</w:t>
            </w:r>
          </w:p>
        </w:tc>
        <w:tc>
          <w:tcPr>
            <w:tcW w:w="3321" w:type="dxa"/>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216,975,101.04</w:t>
            </w:r>
          </w:p>
        </w:tc>
      </w:tr>
      <w:tr>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季添益1913期C款</w:t>
            </w:r>
          </w:p>
        </w:tc>
        <w:tc>
          <w:tcPr>
            <w:tcW w:w="1418" w:type="dxa"/>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TYG3M1913C</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1.1619</w:t>
            </w:r>
          </w:p>
        </w:tc>
        <w:tc>
          <w:tcPr>
            <w:tcW w:w="992" w:type="dxa"/>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1.1619</w:t>
            </w:r>
          </w:p>
        </w:tc>
        <w:tc>
          <w:tcPr>
            <w:tcW w:w="3321" w:type="dxa"/>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160,943,951.16</w:t>
            </w:r>
          </w:p>
        </w:tc>
      </w:tr>
    </w:tbl>
    <w:p w:rsidR="00CE5B30">
      <w:pPr>
        <w:adjustRightInd w:val="0"/>
        <w:snapToGrid w:val="0"/>
        <w:spacing w:line="440" w:lineRule="exact"/>
        <w:outlineLvl w:val="2"/>
        <w:rPr>
          <w:rFonts w:ascii="仿宋" w:eastAsia="仿宋" w:hAnsi="仿宋" w:cs="仿宋"/>
          <w:b/>
          <w:sz w:val="24"/>
        </w:rPr>
      </w:pPr>
      <w:bookmarkStart w:id="6" w:name="_Toc155677067"/>
      <w:r>
        <w:rPr>
          <w:rFonts w:ascii="仿宋" w:eastAsia="仿宋" w:hAnsi="仿宋" w:cs="仿宋" w:hint="eastAsia"/>
          <w:b/>
          <w:sz w:val="24"/>
        </w:rPr>
        <w:t>3.</w:t>
      </w:r>
      <w:r>
        <w:rPr>
          <w:rFonts w:ascii="仿宋" w:eastAsia="仿宋" w:hAnsi="仿宋" w:cs="仿宋"/>
          <w:b/>
          <w:sz w:val="24"/>
        </w:rPr>
        <w:t>2</w:t>
      </w:r>
      <w:r>
        <w:rPr>
          <w:rFonts w:ascii="仿宋" w:eastAsia="仿宋" w:hAnsi="仿宋" w:cs="仿宋" w:hint="eastAsia"/>
          <w:b/>
          <w:sz w:val="24"/>
        </w:rPr>
        <w:t xml:space="preserve"> 产品收益表现</w:t>
      </w:r>
      <w:bookmarkEnd w:id="6"/>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07"/>
        <w:gridCol w:w="3321"/>
      </w:tblGrid>
      <w:tr>
        <w:tblPrEx>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
        </w:trPr>
        <w:tc>
          <w:tcPr>
            <w:tcW w:w="5807" w:type="dxa"/>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产品名称</w:t>
            </w:r>
          </w:p>
        </w:tc>
        <w:tc>
          <w:tcPr>
            <w:tcW w:w="3321" w:type="dxa"/>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成立以来年化收益率</w:t>
            </w:r>
          </w:p>
        </w:tc>
      </w:tr>
      <w:tr>
        <w:tblPrEx>
          <w:tblW w:w="9128" w:type="dxa"/>
          <w:tblLayout w:type="fixed"/>
          <w:tblLook w:val="04A0"/>
        </w:tblPrEx>
        <w:trPr>
          <w:trHeight w:val="23"/>
        </w:trPr>
        <w:tc>
          <w:tcPr>
            <w:tcW w:w="5807" w:type="dxa"/>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Style w:val="a"/>
                <w:rFonts w:ascii="仿宋" w:eastAsia="仿宋" w:hAnsi="仿宋" w:cs="仿宋"/>
                <w:sz w:val="24"/>
              </w:rPr>
            </w:pPr>
            <w:r>
              <w:rPr>
                <w:rStyle w:val="a"/>
                <w:rFonts w:ascii="仿宋" w:eastAsia="仿宋" w:hAnsi="仿宋" w:cs="仿宋" w:hint="eastAsia"/>
                <w:sz w:val="24"/>
              </w:rPr>
              <w:t>季添益1913期</w:t>
            </w:r>
          </w:p>
        </w:tc>
        <w:tc>
          <w:tcPr>
            <w:tcW w:w="3321" w:type="dxa"/>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sz w:val="24"/>
              </w:rPr>
            </w:pPr>
            <w:r>
              <w:rPr>
                <w:rFonts w:ascii="仿宋" w:eastAsia="仿宋" w:hAnsi="仿宋" w:cs="仿宋" w:hint="eastAsia"/>
                <w:sz w:val="24"/>
              </w:rPr>
              <w:t>3.89</w:t>
            </w:r>
            <w:r>
              <w:rPr>
                <w:rFonts w:ascii="仿宋" w:eastAsia="仿宋" w:hAnsi="仿宋" w:cs="仿宋"/>
                <w:sz w:val="24"/>
              </w:rPr>
              <w:t>%</w:t>
            </w:r>
          </w:p>
        </w:tc>
      </w:tr>
      <w:tr>
        <w:tblPrEx>
          <w:tblW w:w="9128" w:type="dxa"/>
          <w:tblLayout w:type="fixed"/>
          <w:tblLook w:val="04A0"/>
        </w:tblPrEx>
        <w:trPr>
          <w:trHeight w:val="23"/>
        </w:trPr>
        <w:tc>
          <w:tcPr>
            <w:tcW w:w="5807" w:type="dxa"/>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Style w:val="a"/>
                <w:rFonts w:ascii="仿宋" w:eastAsia="仿宋" w:hAnsi="仿宋" w:cs="仿宋"/>
                <w:sz w:val="24"/>
              </w:rPr>
            </w:pPr>
            <w:r>
              <w:rPr>
                <w:rStyle w:val="a"/>
                <w:rFonts w:ascii="仿宋" w:eastAsia="仿宋" w:hAnsi="仿宋" w:cs="仿宋" w:hint="eastAsia"/>
                <w:sz w:val="24"/>
              </w:rPr>
              <w:t>季添益1913期B款</w:t>
            </w:r>
          </w:p>
        </w:tc>
        <w:tc>
          <w:tcPr>
            <w:tcW w:w="3321" w:type="dxa"/>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sz w:val="24"/>
              </w:rPr>
            </w:pPr>
            <w:r>
              <w:rPr>
                <w:rFonts w:ascii="仿宋" w:eastAsia="仿宋" w:hAnsi="仿宋" w:cs="仿宋" w:hint="eastAsia"/>
                <w:sz w:val="24"/>
              </w:rPr>
              <w:t>3.93</w:t>
            </w:r>
            <w:r>
              <w:rPr>
                <w:rFonts w:ascii="仿宋" w:eastAsia="仿宋" w:hAnsi="仿宋" w:cs="仿宋"/>
                <w:sz w:val="24"/>
              </w:rPr>
              <w:t>%</w:t>
            </w:r>
          </w:p>
        </w:tc>
      </w:tr>
      <w:tr>
        <w:tblPrEx>
          <w:tblW w:w="9128" w:type="dxa"/>
          <w:tblLayout w:type="fixed"/>
          <w:tblLook w:val="04A0"/>
        </w:tblPrEx>
        <w:trPr>
          <w:trHeight w:val="23"/>
        </w:trPr>
        <w:tc>
          <w:tcPr>
            <w:tcW w:w="5807" w:type="dxa"/>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Style w:val="a"/>
                <w:rFonts w:ascii="仿宋" w:eastAsia="仿宋" w:hAnsi="仿宋" w:cs="仿宋"/>
                <w:sz w:val="24"/>
              </w:rPr>
            </w:pPr>
            <w:r>
              <w:rPr>
                <w:rStyle w:val="a"/>
                <w:rFonts w:ascii="仿宋" w:eastAsia="仿宋" w:hAnsi="仿宋" w:cs="仿宋" w:hint="eastAsia"/>
                <w:sz w:val="24"/>
              </w:rPr>
              <w:t>季添益1913期C款</w:t>
            </w:r>
          </w:p>
        </w:tc>
        <w:tc>
          <w:tcPr>
            <w:tcW w:w="3321" w:type="dxa"/>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sz w:val="24"/>
              </w:rPr>
            </w:pPr>
            <w:r>
              <w:rPr>
                <w:rFonts w:ascii="仿宋" w:eastAsia="仿宋" w:hAnsi="仿宋" w:cs="仿宋" w:hint="eastAsia"/>
                <w:sz w:val="24"/>
              </w:rPr>
              <w:t>3.93</w:t>
            </w:r>
            <w:r>
              <w:rPr>
                <w:rFonts w:ascii="仿宋" w:eastAsia="仿宋" w:hAnsi="仿宋" w:cs="仿宋"/>
                <w:sz w:val="24"/>
              </w:rPr>
              <w:t>%</w:t>
            </w:r>
          </w:p>
        </w:tc>
      </w:tr>
    </w:tbl>
    <w:p w:rsidR="00CE5B30">
      <w:pPr>
        <w:adjustRightInd w:val="0"/>
        <w:snapToGrid w:val="0"/>
        <w:rPr>
          <w:rFonts w:ascii="仿宋" w:eastAsia="仿宋" w:hAnsi="仿宋" w:cs="仿宋"/>
          <w:color w:val="404040"/>
          <w:kern w:val="0"/>
          <w:sz w:val="24"/>
        </w:rPr>
      </w:pPr>
    </w:p>
    <w:p w:rsidR="00CE5B30">
      <w:pPr>
        <w:adjustRightInd w:val="0"/>
        <w:snapToGrid w:val="0"/>
        <w:rPr>
          <w:rFonts w:ascii="仿宋" w:eastAsia="仿宋" w:hAnsi="仿宋" w:cs="仿宋"/>
          <w:color w:val="404040"/>
          <w:kern w:val="0"/>
          <w:sz w:val="24"/>
        </w:rPr>
      </w:pPr>
    </w:p>
    <w:p w:rsidR="00CE5B30">
      <w:pPr>
        <w:pStyle w:val="Heading2"/>
        <w:adjustRightInd w:val="0"/>
        <w:snapToGrid w:val="0"/>
        <w:spacing w:line="560" w:lineRule="exact"/>
        <w:jc w:val="center"/>
        <w:rPr>
          <w:rFonts w:ascii="仿宋" w:eastAsia="仿宋" w:hAnsi="仿宋" w:cs="仿宋"/>
          <w:sz w:val="24"/>
        </w:rPr>
      </w:pPr>
      <w:bookmarkStart w:id="7" w:name="_Toc829383023"/>
      <w:r>
        <w:rPr>
          <w:rFonts w:ascii="仿宋" w:eastAsia="仿宋" w:hAnsi="仿宋" w:cs="仿宋" w:hint="eastAsia"/>
          <w:sz w:val="24"/>
        </w:rPr>
        <w:t>§4  投资组合报告</w:t>
      </w:r>
      <w:bookmarkEnd w:id="7"/>
    </w:p>
    <w:p w:rsidR="00CE5B30">
      <w:pPr>
        <w:adjustRightInd w:val="0"/>
        <w:snapToGrid w:val="0"/>
        <w:spacing w:line="440" w:lineRule="exact"/>
        <w:outlineLvl w:val="2"/>
        <w:rPr>
          <w:rFonts w:ascii="仿宋" w:eastAsia="仿宋" w:hAnsi="仿宋" w:cs="仿宋"/>
          <w:b/>
          <w:sz w:val="24"/>
        </w:rPr>
      </w:pPr>
      <w:bookmarkStart w:id="8" w:name="_Toc124114884"/>
      <w:r>
        <w:rPr>
          <w:rFonts w:ascii="仿宋" w:eastAsia="仿宋" w:hAnsi="仿宋" w:cs="仿宋" w:hint="eastAsia"/>
          <w:b/>
          <w:sz w:val="24"/>
        </w:rPr>
        <w:t>4.1 报告期内产品投资策略回顾</w:t>
      </w:r>
      <w:bookmarkEnd w:id="8"/>
    </w:p>
    <w:p w:rsidR="00CE5B30">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2023年3季度以来，债券收益率整体震荡， 1、2季度地产销售疲弱，出口增速下移，消费增速未有起色，通胀数据疲软，市场预期偏弱，货币、财政、房地产等政策相继出台，但经济刺激政策整体温和，投资者信心和社会总需求仍有待提振。在此背景下，3季度货币政策保持相对宽松，房地产方面，对房地产信贷、首付比例上有更积极的政策，需求在短期也有脉冲式的回升，但难以持续，债券收益率收此影响在短时间有小幅反弹，但后续仍然维持下行趋势。伴随着银行相继调降存款利率，存款向理财搬家的现象重现，理财规模重回扩张，一定程度上仍存在资产荒。从收益率来看，三季度呈现了先下后上的趋势，前期在经济数据不及预期以及降准降息的刺激下，10年国债最低见2.53后，随着地产政策频出以及政府债发行加速的背景下，债券收益率反弹至季初水平以上，当前10年国债收益率2.67%，较3季度初上4bp，当前3年期AA+城投债收益率3.08%，较3季度初上行4bp，当前3年期AAA二级资本债收益率3.02%，较3季度初上行6bp，三季度利率震荡为主，二级资本债及商业银行债等高流动性债券波动较大，对市场行情更加敏感。本产品主要配置固收类资产，债券部分以信用债为主，三季度总体信用债维持震荡，中短端利率上行更明显，高流动性债券上行幅度和波动幅度较大，产品适度降低久期以防范市场大幅波动。</w:t>
        <w:cr/>
        <w:cr/>
        <w:t>本产品通过合理安排投资品种和期限结构、限制资产持仓集中度、监控组合资金头寸等方式管理产品的流动性风险，确保资产的变现能力与投资者赎回需求的匹配；报告期内，本产品未发生重大流动性风险事件。</w:t>
      </w:r>
    </w:p>
    <w:p w:rsidR="00CE5B30">
      <w:pPr>
        <w:adjustRightInd w:val="0"/>
        <w:snapToGrid w:val="0"/>
        <w:spacing w:line="440" w:lineRule="exact"/>
        <w:outlineLvl w:val="2"/>
        <w:rPr>
          <w:rFonts w:ascii="仿宋" w:eastAsia="仿宋" w:hAnsi="仿宋" w:cs="仿宋"/>
          <w:b/>
          <w:sz w:val="24"/>
        </w:rPr>
      </w:pPr>
      <w:bookmarkStart w:id="9" w:name="_Toc792234151"/>
      <w:r>
        <w:rPr>
          <w:rFonts w:ascii="仿宋" w:eastAsia="仿宋" w:hAnsi="仿宋" w:cs="仿宋" w:hint="eastAsia"/>
          <w:b/>
          <w:sz w:val="24"/>
        </w:rPr>
        <w:t>4.2产品未来展望</w:t>
      </w:r>
      <w:bookmarkEnd w:id="9"/>
    </w:p>
    <w:p w:rsidR="00CE5B30">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展望2023年4季度，从基本面来看，无论从经济高频数据还是前瞻性数据来看，经济仍处于弱复苏态势，从30城地产销售面积看地产销售处于偏低水平，消费仍处于修复过程中，在没有经济强刺激政策出台前，收益率难以出现大幅上行；从政策面来看，后续市场利率大概率围绕政策利率波动。但是，伴随着刺激政策的出台和债券发行的情况，资金利率和债券利率或受到扰动，整体上，我们对于4季度债市表现持中性观点，策略上，适度调整久期和杠杆以应对市场波动。</w:t>
        <w:cr/>
        <w:cr/>
        <w:t>本产品通过合理安排投资品种和期限结构、限制资产持仓集中度、监控组合资金头寸等方式管理产品的流动性风险，确保资产的变现能力与投资者赎回需求的匹配；报告期内，本产品未发生重大流动性风险事件。</w:t>
      </w:r>
    </w:p>
    <w:p w:rsidR="00CE5B30">
      <w:pPr>
        <w:adjustRightInd w:val="0"/>
        <w:snapToGrid w:val="0"/>
        <w:spacing w:line="440" w:lineRule="exact"/>
        <w:outlineLvl w:val="2"/>
        <w:rPr>
          <w:rFonts w:ascii="仿宋" w:eastAsia="仿宋" w:hAnsi="仿宋" w:cs="仿宋"/>
          <w:b/>
          <w:sz w:val="24"/>
        </w:rPr>
      </w:pPr>
      <w:bookmarkStart w:id="10" w:name="_Toc680764457"/>
      <w:r>
        <w:rPr>
          <w:rFonts w:ascii="仿宋" w:eastAsia="仿宋" w:hAnsi="仿宋" w:cs="仿宋" w:hint="eastAsia"/>
          <w:b/>
          <w:sz w:val="24"/>
        </w:rPr>
        <w:t>4.3投资组合的流动性风险分析</w:t>
      </w:r>
      <w:bookmarkEnd w:id="10"/>
    </w:p>
    <w:p w:rsidR="00CE5B30">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流动性风险是指理财产品无法通过变现资产等途径以合理成本及时获得充足资金，用于满足该理财产品的投资者赎回需求、履行其他支付义务的风险。本产品主要直接或者间接投资于债券类资产，投资的债券资产流动性状况良好，正常情况下能够及时变现资产，筹集资金，满足本产品的投资者赎回需求或其他支付要求。报告期内，本产品组合资产的流动性与产品的申赎安排相匹配，未发生重大流动性风险事件。管理人将继续密切关注市场变化，做好产品端现金流的跟踪与研判，通过合理安排投资品种和期限结构、监控组合资金头寸等方式，确保产品的流动性风险得到有效管理。</w:t>
      </w:r>
    </w:p>
    <w:p w:rsidR="00CE5B30">
      <w:pPr>
        <w:adjustRightInd w:val="0"/>
        <w:snapToGrid w:val="0"/>
        <w:spacing w:line="440" w:lineRule="exact"/>
        <w:outlineLvl w:val="2"/>
        <w:rPr>
          <w:rFonts w:ascii="仿宋" w:eastAsia="仿宋" w:hAnsi="仿宋" w:cs="仿宋"/>
          <w:b/>
          <w:sz w:val="24"/>
        </w:rPr>
      </w:pPr>
      <w:bookmarkStart w:id="11" w:name="_Toc1962841230"/>
      <w:r>
        <w:rPr>
          <w:rFonts w:ascii="仿宋" w:eastAsia="仿宋" w:hAnsi="仿宋" w:cs="仿宋" w:hint="eastAsia"/>
          <w:b/>
          <w:sz w:val="24"/>
        </w:rPr>
        <w:t>4.4 报告期末投资组合分类</w:t>
      </w:r>
      <w:bookmarkEnd w:id="11"/>
    </w:p>
    <w:tbl>
      <w:tblPr>
        <w:tblW w:w="9024" w:type="dxa"/>
        <w:tblInd w:w="-5" w:type="dxa"/>
        <w:tblLayout w:type="fixed"/>
        <w:tblCellMar>
          <w:left w:w="0" w:type="dxa"/>
          <w:right w:w="0" w:type="dxa"/>
        </w:tblCellMar>
        <w:tblLook w:val="04A0"/>
      </w:tblPr>
      <w:tblGrid>
        <w:gridCol w:w="406"/>
        <w:gridCol w:w="4082"/>
        <w:gridCol w:w="2268"/>
        <w:gridCol w:w="2268"/>
      </w:tblGrid>
      <w:tr>
        <w:tblPrEx>
          <w:tblW w:w="9024" w:type="dxa"/>
          <w:tblInd w:w="-5" w:type="dxa"/>
          <w:tblLayout w:type="fixed"/>
          <w:tblCellMar>
            <w:left w:w="0" w:type="dxa"/>
            <w:right w:w="0" w:type="dxa"/>
          </w:tblCellMar>
          <w:tblLook w:val="04A0"/>
        </w:tblPrEx>
        <w:trPr>
          <w:trHeight w:val="415"/>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序号</w:t>
            </w:r>
          </w:p>
        </w:tc>
        <w:tc>
          <w:tcPr>
            <w:tcW w:w="4082" w:type="dxa"/>
            <w:tcBorders>
              <w:top w:val="single" w:sz="4" w:space="0" w:color="auto"/>
              <w:left w:val="nil"/>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项目</w:t>
            </w:r>
          </w:p>
        </w:tc>
        <w:tc>
          <w:tcPr>
            <w:tcW w:w="2268" w:type="dxa"/>
            <w:tcBorders>
              <w:top w:val="single" w:sz="4" w:space="0" w:color="auto"/>
              <w:left w:val="nil"/>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期末穿透前占总资产比例（％）</w:t>
            </w:r>
          </w:p>
        </w:tc>
        <w:tc>
          <w:tcPr>
            <w:tcW w:w="2268" w:type="dxa"/>
            <w:tcBorders>
              <w:top w:val="single" w:sz="4" w:space="0" w:color="auto"/>
              <w:left w:val="nil"/>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期末穿透后占总资产比例（％）</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1</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现金及银行存款</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0.04%</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0.41%</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2</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同业存单</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3</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拆放同业及债券买入返售</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0.03%</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4</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债券</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57.36%</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88.73%</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5</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非标准化债权类资产</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6</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权益类投资</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10.83%</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7</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金融衍生品</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8</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代客境外理财投资QDII</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9</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商品类资产</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10</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另类资产</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11</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公募基金</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12</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私募基金</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13</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资产管理产品</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42.60%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14</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委外投资——协议方式</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15</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合计</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100.00%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100.00%</w:t>
            </w:r>
          </w:p>
        </w:tc>
      </w:tr>
    </w:tbl>
    <w:p w:rsidR="00CE5B30">
      <w:pPr>
        <w:adjustRightInd w:val="0"/>
        <w:snapToGrid w:val="0"/>
        <w:spacing w:line="440" w:lineRule="exact"/>
        <w:outlineLvl w:val="2"/>
        <w:rPr>
          <w:rFonts w:ascii="仿宋" w:eastAsia="仿宋" w:hAnsi="仿宋" w:cs="仿宋"/>
          <w:b/>
          <w:sz w:val="24"/>
        </w:rPr>
      </w:pPr>
      <w:bookmarkStart w:id="12" w:name="_Toc1258005047"/>
      <w:r>
        <w:rPr>
          <w:rFonts w:ascii="仿宋" w:eastAsia="仿宋" w:hAnsi="仿宋" w:cs="仿宋" w:hint="eastAsia"/>
          <w:b/>
          <w:sz w:val="24"/>
        </w:rPr>
        <w:t>4.</w:t>
      </w:r>
      <w:r w:rsidR="00761119">
        <w:rPr>
          <w:rFonts w:ascii="仿宋" w:eastAsia="仿宋" w:hAnsi="仿宋" w:cs="仿宋"/>
          <w:b/>
          <w:sz w:val="24"/>
        </w:rPr>
        <w:t>5</w:t>
      </w:r>
      <w:r>
        <w:rPr>
          <w:rFonts w:ascii="仿宋" w:eastAsia="仿宋" w:hAnsi="仿宋" w:cs="仿宋" w:hint="eastAsia"/>
          <w:b/>
          <w:sz w:val="24"/>
        </w:rPr>
        <w:t>报告期末投资前十名资产明细</w:t>
      </w:r>
      <w:bookmarkEnd w:id="12"/>
    </w:p>
    <w:p w:rsidR="00CE5B30">
      <w:pPr>
        <w:adjustRightInd w:val="0"/>
        <w:snapToGrid w:val="0"/>
        <w:spacing w:line="440" w:lineRule="exact"/>
        <w:ind w:firstLine="5460" w:firstLineChars="2600"/>
        <w:jc w:val="right"/>
        <w:rPr>
          <w:rFonts w:ascii="仿宋" w:eastAsia="仿宋" w:hAnsi="仿宋" w:cs="仿宋"/>
          <w:sz w:val="24"/>
        </w:rPr>
      </w:pPr>
      <w:r>
        <w:rPr>
          <w:rFonts w:ascii="仿宋" w:eastAsia="仿宋" w:hAnsi="仿宋" w:cs="仿宋" w:hint="eastAsia"/>
          <w:sz w:val="24"/>
        </w:rPr>
        <w:t>单位：人民币元</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62"/>
        <w:gridCol w:w="3772"/>
        <w:gridCol w:w="2340"/>
        <w:gridCol w:w="2356"/>
      </w:tblGrid>
      <w:tr>
        <w:tblPrEx>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sz w:val="24"/>
              </w:rPr>
              <w:t>序号</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资产名称</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金额（元）</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占资产净值比例（％）</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1</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苏银优1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62,951,954.72</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5.35%</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22国开07</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49,962,213.11</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4.24%</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3</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21江阴高新PPN001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41,627,430.14</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3.54%</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4</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21盐控02</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36,044,825.07</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3.06%</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5</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21江夏01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30,283,865.75</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2.57%</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6</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23鲁钢铁MTN003</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30,262,598.36</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2.57%</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7</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23相城F2</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30,054,341.10</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2.55%</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8</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20皋发01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28,168,767.12</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2.39%</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9</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23济高05</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22,719,917.26</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1.93%</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10</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22临城02</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20,896,002.58</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1.78%</w:t>
            </w:r>
          </w:p>
        </w:tc>
      </w:tr>
    </w:tbl>
    <w:p w:rsidR="00CE5B30">
      <w:pPr>
        <w:adjustRightInd w:val="0"/>
        <w:snapToGrid w:val="0"/>
        <w:spacing w:line="440" w:lineRule="exact"/>
        <w:outlineLvl w:val="2"/>
        <w:rPr>
          <w:rFonts w:ascii="仿宋" w:eastAsia="仿宋" w:hAnsi="仿宋" w:cs="仿宋"/>
          <w:b/>
          <w:sz w:val="24"/>
        </w:rPr>
      </w:pPr>
      <w:bookmarkStart w:id="13" w:name="_Toc1314320214"/>
      <w:r>
        <w:rPr>
          <w:rFonts w:ascii="仿宋" w:eastAsia="仿宋" w:hAnsi="仿宋" w:cs="仿宋" w:hint="eastAsia"/>
          <w:b/>
          <w:sz w:val="24"/>
        </w:rPr>
        <w:t>4.</w:t>
      </w:r>
      <w:r w:rsidR="00761119">
        <w:rPr>
          <w:rFonts w:ascii="仿宋" w:eastAsia="仿宋" w:hAnsi="仿宋" w:cs="仿宋"/>
          <w:b/>
          <w:sz w:val="24"/>
        </w:rPr>
        <w:t>6</w:t>
      </w:r>
      <w:r>
        <w:rPr>
          <w:rFonts w:ascii="仿宋" w:eastAsia="仿宋" w:hAnsi="仿宋" w:cs="仿宋" w:hint="eastAsia"/>
          <w:b/>
          <w:sz w:val="24"/>
        </w:rPr>
        <w:t>报告期融资情况</w:t>
      </w:r>
      <w:bookmarkEnd w:id="13"/>
    </w:p>
    <w:p w:rsidR="00CE5B30">
      <w:pPr>
        <w:adjustRightInd w:val="0"/>
        <w:snapToGrid w:val="0"/>
        <w:spacing w:line="440" w:lineRule="exact"/>
        <w:ind w:firstLine="5460" w:firstLineChars="2600"/>
        <w:jc w:val="right"/>
        <w:rPr>
          <w:rFonts w:ascii="仿宋" w:eastAsia="仿宋" w:hAnsi="仿宋" w:cs="仿宋"/>
          <w:sz w:val="24"/>
        </w:rPr>
      </w:pPr>
      <w:r>
        <w:rPr>
          <w:rFonts w:ascii="仿宋" w:eastAsia="仿宋" w:hAnsi="仿宋" w:cs="仿宋" w:hint="eastAsia"/>
          <w:sz w:val="24"/>
        </w:rPr>
        <w:t>单位：人民币元</w:t>
      </w:r>
    </w:p>
    <w:tbl>
      <w:tblPr>
        <w:tblW w:w="8999" w:type="dxa"/>
        <w:tblInd w:w="-5" w:type="dxa"/>
        <w:tblLayout w:type="fixed"/>
        <w:tblCellMar>
          <w:left w:w="30" w:type="dxa"/>
          <w:right w:w="30" w:type="dxa"/>
        </w:tblCellMar>
        <w:tblLook w:val="04A0"/>
      </w:tblPr>
      <w:tblGrid>
        <w:gridCol w:w="632"/>
        <w:gridCol w:w="3167"/>
        <w:gridCol w:w="2433"/>
        <w:gridCol w:w="2767"/>
      </w:tblGrid>
      <w:tr>
        <w:tblPrEx>
          <w:tblW w:w="8999" w:type="dxa"/>
          <w:tblInd w:w="-5" w:type="dxa"/>
          <w:tblLayout w:type="fixed"/>
          <w:tblCellMar>
            <w:left w:w="30" w:type="dxa"/>
            <w:right w:w="30" w:type="dxa"/>
          </w:tblCellMar>
          <w:tblLook w:val="04A0"/>
        </w:tblPrEx>
        <w:trPr>
          <w:trHeight w:val="375"/>
        </w:trPr>
        <w:tc>
          <w:tcPr>
            <w:tcW w:w="632"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sz w:val="24"/>
              </w:rPr>
              <w:t>序号</w:t>
            </w:r>
          </w:p>
        </w:tc>
        <w:tc>
          <w:tcPr>
            <w:tcW w:w="3167"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项目</w:t>
            </w:r>
          </w:p>
        </w:tc>
        <w:tc>
          <w:tcPr>
            <w:tcW w:w="2433"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金额（元）</w:t>
            </w:r>
          </w:p>
        </w:tc>
        <w:tc>
          <w:tcPr>
            <w:tcW w:w="2767"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占资产净值比例（％）</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1</w:t>
            </w:r>
          </w:p>
        </w:tc>
        <w:tc>
          <w:tcPr>
            <w:tcW w:w="3167"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报告期末质押式回购余额</w:t>
            </w:r>
          </w:p>
        </w:tc>
        <w:tc>
          <w:tcPr>
            <w:tcW w:w="2433"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c>
          <w:tcPr>
            <w:tcW w:w="2767"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2</w:t>
            </w:r>
          </w:p>
        </w:tc>
        <w:tc>
          <w:tcPr>
            <w:tcW w:w="3167"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报告期末同业拆入余额</w:t>
            </w:r>
          </w:p>
        </w:tc>
        <w:tc>
          <w:tcPr>
            <w:tcW w:w="2433"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c>
          <w:tcPr>
            <w:tcW w:w="2767"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3</w:t>
            </w:r>
          </w:p>
        </w:tc>
        <w:tc>
          <w:tcPr>
            <w:tcW w:w="3167"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其他</w:t>
            </w:r>
          </w:p>
        </w:tc>
        <w:tc>
          <w:tcPr>
            <w:tcW w:w="2433"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c>
          <w:tcPr>
            <w:tcW w:w="2767"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r>
    </w:tbl>
    <w:p w:rsidR="00CE5B30">
      <w:pPr>
        <w:adjustRightInd w:val="0"/>
        <w:snapToGrid w:val="0"/>
        <w:spacing w:line="440" w:lineRule="exact"/>
        <w:outlineLvl w:val="2"/>
        <w:rPr>
          <w:rFonts w:ascii="仿宋" w:eastAsia="仿宋" w:hAnsi="仿宋" w:cs="仿宋"/>
          <w:b/>
          <w:sz w:val="24"/>
        </w:rPr>
      </w:pPr>
      <w:bookmarkStart w:id="14" w:name="_Toc481074947"/>
      <w:bookmarkStart w:id="15" w:name="_Toc763043656"/>
      <w:r>
        <w:rPr>
          <w:rFonts w:ascii="仿宋" w:eastAsia="仿宋" w:hAnsi="仿宋" w:cs="仿宋" w:hint="eastAsia"/>
          <w:b/>
          <w:sz w:val="24"/>
        </w:rPr>
        <w:t>4.</w:t>
      </w:r>
      <w:r w:rsidR="00761119">
        <w:rPr>
          <w:rFonts w:ascii="仿宋" w:eastAsia="仿宋" w:hAnsi="仿宋" w:cs="仿宋"/>
          <w:b/>
          <w:sz w:val="24"/>
        </w:rPr>
        <w:t>7</w:t>
      </w:r>
      <w:bookmarkStart w:id="16" w:name="_GoBack"/>
      <w:bookmarkEnd w:id="16"/>
      <w:r>
        <w:rPr>
          <w:rFonts w:ascii="仿宋" w:eastAsia="仿宋" w:hAnsi="仿宋" w:cs="仿宋" w:hint="eastAsia"/>
          <w:b/>
          <w:sz w:val="24"/>
        </w:rPr>
        <w:t>报告期末投资非标准化债权资产</w:t>
      </w:r>
      <w:bookmarkEnd w:id="14"/>
      <w:r>
        <w:rPr>
          <w:rFonts w:ascii="仿宋" w:eastAsia="仿宋" w:hAnsi="仿宋" w:cs="仿宋" w:hint="eastAsia"/>
          <w:b/>
          <w:sz w:val="24"/>
        </w:rPr>
        <w:t>情况</w:t>
      </w:r>
      <w:bookmarkEnd w:id="15"/>
    </w:p>
    <w:p w:rsidR="00CE5B30">
      <w:pPr>
        <w:adjustRightInd w:val="0"/>
        <w:snapToGrid w:val="0"/>
        <w:spacing w:line="380" w:lineRule="exact"/>
        <w:ind w:firstLine="5880" w:firstLineChars="2800"/>
        <w:rPr>
          <w:rFonts w:ascii="仿宋" w:eastAsia="仿宋" w:hAnsi="仿宋" w:cs="仿宋"/>
          <w:sz w:val="24"/>
        </w:rPr>
      </w:pPr>
      <w:r>
        <w:rPr>
          <w:rFonts w:ascii="仿宋" w:eastAsia="仿宋" w:hAnsi="仿宋" w:cs="仿宋" w:hint="eastAsia"/>
          <w:sz w:val="24"/>
        </w:rPr>
        <w:t>单位：人民币元</w:t>
      </w:r>
    </w:p>
    <w:tbl>
      <w:tblPr>
        <w:tblW w:w="899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4"/>
        <w:gridCol w:w="1330"/>
        <w:gridCol w:w="1569"/>
        <w:gridCol w:w="1041"/>
        <w:gridCol w:w="1833"/>
        <w:gridCol w:w="802"/>
        <w:gridCol w:w="970"/>
        <w:gridCol w:w="815"/>
      </w:tblGrid>
      <w:tr>
        <w:tblPrEx>
          <w:tblW w:w="899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63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sz w:val="24"/>
              </w:rPr>
              <w:t xml:space="preserve">序号 </w:t>
            </w:r>
          </w:p>
        </w:tc>
        <w:tc>
          <w:tcPr>
            <w:tcW w:w="1330"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融资客户</w:t>
            </w:r>
          </w:p>
        </w:tc>
        <w:tc>
          <w:tcPr>
            <w:tcW w:w="1569"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项目名称</w:t>
            </w:r>
          </w:p>
        </w:tc>
        <w:tc>
          <w:tcPr>
            <w:tcW w:w="1041"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资产到期日</w:t>
            </w:r>
          </w:p>
        </w:tc>
        <w:tc>
          <w:tcPr>
            <w:tcW w:w="1833"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资产价值（元）</w:t>
            </w:r>
          </w:p>
        </w:tc>
        <w:tc>
          <w:tcPr>
            <w:tcW w:w="802"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交易结构</w:t>
            </w:r>
          </w:p>
        </w:tc>
        <w:tc>
          <w:tcPr>
            <w:tcW w:w="970"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color w:val="FF0000"/>
                <w:sz w:val="24"/>
              </w:rPr>
            </w:pPr>
            <w:r>
              <w:rPr>
                <w:rFonts w:ascii="仿宋" w:eastAsia="仿宋" w:hAnsi="仿宋" w:cs="仿宋" w:hint="eastAsia"/>
                <w:sz w:val="24"/>
              </w:rPr>
              <w:t>收益分配方式</w:t>
            </w:r>
          </w:p>
        </w:tc>
        <w:tc>
          <w:tcPr>
            <w:tcW w:w="81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风险状况</w:t>
            </w:r>
          </w:p>
        </w:tc>
      </w:tr>
    </w:tbl>
    <w:p w:rsidR="00CE5B30">
      <w:pPr>
        <w:adjustRightInd w:val="0"/>
        <w:snapToGrid w:val="0"/>
        <w:spacing w:line="380" w:lineRule="exact"/>
        <w:rPr>
          <w:rFonts w:ascii="仿宋" w:eastAsia="仿宋" w:hAnsi="仿宋" w:cs="仿宋"/>
          <w:color w:val="0000FF"/>
          <w:kern w:val="0"/>
          <w:sz w:val="24"/>
          <w:highlight w:val="yellow"/>
        </w:rPr>
      </w:pPr>
    </w:p>
    <w:p w:rsidR="00CE5B30">
      <w:pPr>
        <w:pStyle w:val="Heading2"/>
        <w:adjustRightInd w:val="0"/>
        <w:snapToGrid w:val="0"/>
        <w:spacing w:line="560" w:lineRule="exact"/>
        <w:jc w:val="center"/>
        <w:rPr>
          <w:rFonts w:ascii="仿宋" w:eastAsia="仿宋" w:hAnsi="仿宋" w:cs="仿宋"/>
          <w:sz w:val="24"/>
        </w:rPr>
      </w:pPr>
      <w:bookmarkStart w:id="17" w:name="_Toc1849870155"/>
      <w:r>
        <w:rPr>
          <w:rFonts w:ascii="仿宋" w:eastAsia="仿宋" w:hAnsi="仿宋" w:cs="仿宋" w:hint="eastAsia"/>
          <w:sz w:val="24"/>
        </w:rPr>
        <w:t>§5 产品份额变动</w:t>
      </w:r>
      <w:bookmarkEnd w:id="17"/>
    </w:p>
    <w:p w:rsidR="00CE5B30">
      <w:pPr>
        <w:adjustRightInd w:val="0"/>
        <w:snapToGrid w:val="0"/>
        <w:spacing w:line="440" w:lineRule="exact"/>
        <w:ind w:firstLine="5460" w:firstLineChars="2600"/>
        <w:jc w:val="right"/>
        <w:rPr>
          <w:rFonts w:ascii="仿宋" w:eastAsia="仿宋" w:hAnsi="仿宋" w:cs="仿宋"/>
          <w:sz w:val="24"/>
        </w:rPr>
      </w:pPr>
      <w:r>
        <w:rPr>
          <w:rFonts w:ascii="仿宋" w:eastAsia="仿宋" w:hAnsi="仿宋" w:cs="仿宋" w:hint="eastAsia"/>
          <w:sz w:val="24"/>
        </w:rPr>
        <w:t>单位：份</w:t>
      </w:r>
    </w:p>
    <w:tbl>
      <w:tblPr>
        <w:tblW w:w="8987"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1"/>
        <w:gridCol w:w="4596"/>
      </w:tblGrid>
      <w:tr>
        <w:tblPrEx>
          <w:tblW w:w="8987"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391" w:type="dxa"/>
            <w:tcBorders>
              <w:top w:val="single" w:sz="4" w:space="0" w:color="auto"/>
              <w:left w:val="single" w:sz="4" w:space="0" w:color="auto"/>
              <w:bottom w:val="single" w:sz="4" w:space="0" w:color="auto"/>
              <w:right w:val="single" w:sz="4" w:space="0" w:color="auto"/>
            </w:tcBorders>
          </w:tcPr>
          <w:p w:rsidR="00CE5B30">
            <w:pPr>
              <w:adjustRightInd w:val="0"/>
              <w:snapToGrid w:val="0"/>
              <w:rPr>
                <w:rFonts w:ascii="仿宋" w:eastAsia="仿宋" w:hAnsi="仿宋" w:cs="仿宋"/>
                <w:color w:val="000000"/>
                <w:sz w:val="24"/>
              </w:rPr>
            </w:pPr>
            <w:r>
              <w:rPr>
                <w:rFonts w:ascii="仿宋" w:eastAsia="仿宋" w:hAnsi="仿宋" w:cs="仿宋" w:hint="eastAsia"/>
                <w:color w:val="000000"/>
                <w:sz w:val="24"/>
              </w:rPr>
              <w:t>报告期期初产品份额总额</w:t>
            </w:r>
          </w:p>
        </w:tc>
        <w:tc>
          <w:tcPr>
            <w:tcW w:w="4596" w:type="dxa"/>
            <w:tcBorders>
              <w:top w:val="single" w:sz="4" w:space="0" w:color="auto"/>
              <w:left w:val="single" w:sz="4" w:space="0" w:color="auto"/>
              <w:bottom w:val="single" w:sz="4" w:space="0" w:color="auto"/>
              <w:right w:val="single" w:sz="4" w:space="0" w:color="auto"/>
            </w:tcBorders>
          </w:tcPr>
          <w:p w:rsidR="00CE5B30">
            <w:pPr>
              <w:adjustRightInd w:val="0"/>
              <w:snapToGrid w:val="0"/>
              <w:jc w:val="right"/>
              <w:rPr>
                <w:rFonts w:ascii="仿宋" w:eastAsia="仿宋" w:hAnsi="仿宋" w:cs="仿宋"/>
                <w:color w:val="000000"/>
                <w:sz w:val="24"/>
              </w:rPr>
            </w:pPr>
            <w:r>
              <w:rPr>
                <w:rFonts w:ascii="仿宋" w:eastAsia="仿宋" w:hAnsi="仿宋" w:cs="仿宋" w:hint="eastAsia"/>
                <w:color w:val="000000"/>
                <w:sz w:val="24"/>
              </w:rPr>
              <w:t>782,490,490.94</w:t>
            </w:r>
          </w:p>
        </w:tc>
      </w:tr>
      <w:tr>
        <w:tblPrEx>
          <w:tblW w:w="8987" w:type="dxa"/>
          <w:tblInd w:w="79" w:type="dxa"/>
          <w:tblLayout w:type="fixed"/>
          <w:tblLook w:val="04A0"/>
        </w:tblPrEx>
        <w:tc>
          <w:tcPr>
            <w:tcW w:w="4391" w:type="dxa"/>
            <w:tcBorders>
              <w:top w:val="single" w:sz="4" w:space="0" w:color="auto"/>
              <w:left w:val="single" w:sz="4" w:space="0" w:color="auto"/>
              <w:bottom w:val="single" w:sz="4" w:space="0" w:color="auto"/>
              <w:right w:val="single" w:sz="4" w:space="0" w:color="auto"/>
            </w:tcBorders>
          </w:tcPr>
          <w:p w:rsidR="00CE5B30">
            <w:pPr>
              <w:adjustRightInd w:val="0"/>
              <w:snapToGrid w:val="0"/>
              <w:rPr>
                <w:rFonts w:ascii="仿宋" w:eastAsia="仿宋" w:hAnsi="仿宋" w:cs="仿宋"/>
                <w:color w:val="000000"/>
                <w:sz w:val="24"/>
              </w:rPr>
            </w:pPr>
            <w:r>
              <w:rPr>
                <w:rFonts w:ascii="仿宋" w:eastAsia="仿宋" w:hAnsi="仿宋" w:cs="仿宋" w:hint="eastAsia"/>
                <w:color w:val="000000"/>
                <w:sz w:val="24"/>
              </w:rPr>
              <w:t>报告期期末产品份额总额</w:t>
            </w:r>
          </w:p>
        </w:tc>
        <w:tc>
          <w:tcPr>
            <w:tcW w:w="4596" w:type="dxa"/>
            <w:tcBorders>
              <w:top w:val="single" w:sz="4" w:space="0" w:color="auto"/>
              <w:left w:val="single" w:sz="4" w:space="0" w:color="auto"/>
              <w:bottom w:val="single" w:sz="4" w:space="0" w:color="auto"/>
              <w:right w:val="single" w:sz="4" w:space="0" w:color="auto"/>
            </w:tcBorders>
          </w:tcPr>
          <w:p w:rsidR="00CE5B30">
            <w:pPr>
              <w:adjustRightInd w:val="0"/>
              <w:snapToGrid w:val="0"/>
              <w:jc w:val="right"/>
              <w:rPr>
                <w:rFonts w:ascii="仿宋" w:eastAsia="仿宋" w:hAnsi="仿宋" w:cs="仿宋"/>
                <w:color w:val="000000"/>
                <w:sz w:val="24"/>
              </w:rPr>
            </w:pPr>
            <w:r>
              <w:rPr>
                <w:rFonts w:ascii="仿宋" w:eastAsia="仿宋" w:hAnsi="仿宋" w:cs="仿宋" w:hint="eastAsia"/>
                <w:color w:val="000000"/>
                <w:sz w:val="24"/>
              </w:rPr>
              <w:t>1,014,157,399.94</w:t>
            </w:r>
          </w:p>
        </w:tc>
      </w:tr>
    </w:tbl>
    <w:p w:rsidR="00CE5B30">
      <w:pPr>
        <w:widowControl/>
        <w:adjustRightInd w:val="0"/>
        <w:snapToGrid w:val="0"/>
        <w:jc w:val="left"/>
        <w:rPr>
          <w:rFonts w:ascii="仿宋" w:eastAsia="仿宋" w:hAnsi="仿宋" w:cs="仿宋"/>
          <w:color w:val="404040"/>
          <w:kern w:val="0"/>
          <w:sz w:val="24"/>
        </w:rPr>
      </w:pPr>
    </w:p>
    <w:p w:rsidR="00CE5B30">
      <w:pPr>
        <w:pStyle w:val="Heading2"/>
        <w:adjustRightInd w:val="0"/>
        <w:snapToGrid w:val="0"/>
        <w:spacing w:line="560" w:lineRule="exact"/>
        <w:jc w:val="center"/>
        <w:rPr>
          <w:rFonts w:ascii="仿宋" w:eastAsia="仿宋" w:hAnsi="仿宋" w:cs="仿宋"/>
          <w:sz w:val="24"/>
        </w:rPr>
      </w:pPr>
      <w:bookmarkStart w:id="18" w:name="_Toc1646937466"/>
      <w:r>
        <w:rPr>
          <w:rFonts w:ascii="仿宋" w:eastAsia="仿宋" w:hAnsi="仿宋" w:cs="仿宋" w:hint="eastAsia"/>
          <w:sz w:val="24"/>
        </w:rPr>
        <w:t>§6 托管人报告</w:t>
      </w:r>
      <w:bookmarkEnd w:id="18"/>
    </w:p>
    <w:p w:rsidR="00CE5B30">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本报告期内，杭州银行股份有限公司（以下简称“本托管人”）在对本产品的托管过程中，严格遵守了《关于规范金融机构资产管理业务的指导意见》《商业银行理财业务监督管理办法》《商业银行理财子公司管理办法》等相关法律法规、托管协议的规定，依法安全保管了本产品的全部资产，对本产品的投资运作进行了认真、独立的会计核算和必要的投资监督，没有从事任何损害产品份额持有人利益的行为，诚实信用、勤勉尽责地履行了托管人应尽的义务。</w:t>
      </w:r>
    </w:p>
    <w:p w:rsidR="00CE5B30">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本托管人复核了本产品报告中的财务指标、净值表现和投资组合报告等内容。</w:t>
      </w:r>
      <w:r>
        <w:rPr>
          <w:rFonts w:ascii="仿宋" w:eastAsia="仿宋" w:hAnsi="仿宋" w:cs="仿宋" w:hint="eastAsia"/>
          <w:sz w:val="24"/>
        </w:rPr>
        <w:t>经复核，本产品报告中披露的理财产品财务数据核对一致。</w:t>
      </w:r>
    </w:p>
    <w:p w:rsidR="00CE5B30">
      <w:pPr>
        <w:adjustRightInd w:val="0"/>
        <w:snapToGrid w:val="0"/>
        <w:rPr>
          <w:rFonts w:ascii="仿宋" w:eastAsia="仿宋" w:hAnsi="仿宋" w:cs="仿宋"/>
          <w:bCs/>
          <w:sz w:val="24"/>
        </w:rPr>
      </w:pPr>
    </w:p>
    <w:p w:rsidR="00CE5B30">
      <w:pPr>
        <w:pStyle w:val="Heading2"/>
        <w:adjustRightInd w:val="0"/>
        <w:snapToGrid w:val="0"/>
        <w:spacing w:line="560" w:lineRule="exact"/>
        <w:jc w:val="center"/>
        <w:rPr>
          <w:rFonts w:ascii="仿宋" w:eastAsia="仿宋" w:hAnsi="仿宋" w:cs="仿宋"/>
          <w:sz w:val="24"/>
        </w:rPr>
      </w:pPr>
      <w:bookmarkStart w:id="19" w:name="_Toc1161264879"/>
      <w:r>
        <w:rPr>
          <w:rFonts w:ascii="仿宋" w:eastAsia="仿宋" w:hAnsi="仿宋" w:cs="仿宋" w:hint="eastAsia"/>
          <w:sz w:val="24"/>
        </w:rPr>
        <w:t>§7 报告期内关联交易情况</w:t>
      </w:r>
      <w:bookmarkEnd w:id="19"/>
    </w:p>
    <w:p w:rsidR="00CE5B30">
      <w:pPr>
        <w:adjustRightInd w:val="0"/>
        <w:snapToGrid w:val="0"/>
        <w:spacing w:line="440" w:lineRule="exact"/>
        <w:outlineLvl w:val="2"/>
        <w:rPr>
          <w:rFonts w:ascii="仿宋" w:eastAsia="仿宋" w:hAnsi="仿宋" w:cs="仿宋"/>
          <w:b/>
          <w:sz w:val="24"/>
        </w:rPr>
      </w:pPr>
      <w:bookmarkStart w:id="20" w:name="_Toc1047437417"/>
      <w:r>
        <w:rPr>
          <w:rFonts w:ascii="仿宋" w:eastAsia="仿宋" w:hAnsi="仿宋" w:cs="仿宋" w:hint="eastAsia"/>
          <w:b/>
          <w:sz w:val="24"/>
        </w:rPr>
        <w:t>7.1 产品投资于关联方发行或承销的证券、资产管理产品，或其他关联交易</w:t>
      </w:r>
      <w:bookmarkEnd w:id="20"/>
    </w:p>
    <w:p w:rsidR="00CE5B30">
      <w:pPr>
        <w:adjustRightInd w:val="0"/>
        <w:snapToGrid w:val="0"/>
        <w:spacing w:line="440" w:lineRule="exact"/>
        <w:ind w:firstLine="5460" w:firstLineChars="2600"/>
        <w:jc w:val="right"/>
        <w:rPr>
          <w:rFonts w:ascii="仿宋" w:eastAsia="仿宋" w:hAnsi="仿宋" w:cs="仿宋"/>
          <w:b/>
          <w:sz w:val="24"/>
        </w:rPr>
      </w:pPr>
      <w:r>
        <w:rPr>
          <w:rFonts w:ascii="仿宋" w:eastAsia="仿宋" w:hAnsi="仿宋" w:cs="仿宋" w:hint="eastAsia"/>
          <w:sz w:val="24"/>
        </w:rPr>
        <w:t>单位：元、份</w:t>
      </w:r>
    </w:p>
    <w:tbl>
      <w:tblPr>
        <w:tblStyle w:val="TableGrid"/>
        <w:tblW w:w="8994" w:type="dxa"/>
        <w:tblInd w:w="67" w:type="dxa"/>
        <w:tblLayout w:type="fixed"/>
        <w:tblLook w:val="04A0"/>
      </w:tblPr>
      <w:tblGrid>
        <w:gridCol w:w="634"/>
        <w:gridCol w:w="1605"/>
        <w:gridCol w:w="1401"/>
        <w:gridCol w:w="791"/>
        <w:gridCol w:w="754"/>
        <w:gridCol w:w="1904"/>
        <w:gridCol w:w="1905"/>
      </w:tblGrid>
      <w:tr>
        <w:tblPrEx>
          <w:tblW w:w="8994" w:type="dxa"/>
          <w:tblInd w:w="67" w:type="dxa"/>
          <w:tblLayout w:type="fixed"/>
          <w:tblLook w:val="04A0"/>
        </w:tblPrEx>
        <w:trPr>
          <w:trHeight w:val="90"/>
        </w:trPr>
        <w:tc>
          <w:tcPr>
            <w:tcW w:w="634"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color w:val="000000"/>
                <w:sz w:val="24"/>
              </w:rPr>
              <w:t>序号</w:t>
            </w:r>
          </w:p>
        </w:tc>
        <w:tc>
          <w:tcPr>
            <w:tcW w:w="1605"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关联方</w:t>
            </w:r>
          </w:p>
        </w:tc>
        <w:tc>
          <w:tcPr>
            <w:tcW w:w="1401"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资产名称</w:t>
            </w:r>
          </w:p>
        </w:tc>
        <w:tc>
          <w:tcPr>
            <w:tcW w:w="791"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资产类型</w:t>
            </w:r>
          </w:p>
        </w:tc>
        <w:tc>
          <w:tcPr>
            <w:tcW w:w="754"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交易类型</w:t>
            </w:r>
          </w:p>
        </w:tc>
        <w:tc>
          <w:tcPr>
            <w:tcW w:w="1904"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交易金额（元）</w:t>
            </w:r>
          </w:p>
        </w:tc>
        <w:tc>
          <w:tcPr>
            <w:tcW w:w="1905"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份额</w:t>
            </w:r>
          </w:p>
        </w:tc>
      </w:tr>
    </w:tbl>
    <w:p w:rsidR="00CE5B30">
      <w:pPr>
        <w:adjustRightInd w:val="0"/>
        <w:snapToGrid w:val="0"/>
        <w:spacing w:line="440" w:lineRule="exact"/>
        <w:outlineLvl w:val="2"/>
        <w:rPr>
          <w:rFonts w:ascii="仿宋" w:eastAsia="仿宋" w:hAnsi="仿宋" w:cs="仿宋"/>
          <w:b/>
          <w:sz w:val="24"/>
        </w:rPr>
      </w:pPr>
      <w:bookmarkStart w:id="21" w:name="_Toc1357213060"/>
      <w:r>
        <w:rPr>
          <w:rFonts w:ascii="仿宋" w:eastAsia="仿宋" w:hAnsi="仿宋" w:cs="仿宋" w:hint="eastAsia"/>
          <w:b/>
          <w:sz w:val="24"/>
        </w:rPr>
        <w:t>7.2 产品向关联方支付的费用</w:t>
      </w:r>
      <w:bookmarkEnd w:id="21"/>
    </w:p>
    <w:tbl>
      <w:tblPr>
        <w:tblStyle w:val="TableGrid"/>
        <w:tblW w:w="8994" w:type="dxa"/>
        <w:tblInd w:w="67" w:type="dxa"/>
        <w:tblLayout w:type="fixed"/>
        <w:tblLook w:val="04A0"/>
      </w:tblPr>
      <w:tblGrid>
        <w:gridCol w:w="694"/>
        <w:gridCol w:w="2958"/>
        <w:gridCol w:w="2202"/>
        <w:gridCol w:w="3140"/>
      </w:tblGrid>
      <w:tr>
        <w:tblPrEx>
          <w:tblW w:w="8994" w:type="dxa"/>
          <w:tblInd w:w="67" w:type="dxa"/>
          <w:tblLayout w:type="fixed"/>
          <w:tblLook w:val="04A0"/>
        </w:tblPrEx>
        <w:tc>
          <w:tcPr>
            <w:tcW w:w="694" w:type="dxa"/>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序号</w:t>
            </w:r>
          </w:p>
        </w:tc>
        <w:tc>
          <w:tcPr>
            <w:tcW w:w="2958"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关联方</w:t>
            </w:r>
          </w:p>
        </w:tc>
        <w:tc>
          <w:tcPr>
            <w:tcW w:w="2202"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费用类型</w:t>
            </w:r>
          </w:p>
        </w:tc>
        <w:tc>
          <w:tcPr>
            <w:tcW w:w="3140"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交易金额（元）</w:t>
            </w:r>
          </w:p>
        </w:tc>
      </w:tr>
      <w:tr>
        <w:tblPrEx>
          <w:tblW w:w="8994" w:type="dxa"/>
          <w:tblInd w:w="67" w:type="dxa"/>
          <w:tblLayout w:type="fixed"/>
          <w:tblLook w:val="04A0"/>
        </w:tblPrEx>
        <w:trPr>
          <w:trHeight w:val="187"/>
        </w:trPr>
        <w:tc>
          <w:tcPr>
            <w:tcW w:w="694" w:type="dxa"/>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1</w:t>
            </w:r>
          </w:p>
        </w:tc>
        <w:tc>
          <w:tcPr>
            <w:tcW w:w="2958"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杭州银行股份有限公司</w:t>
            </w:r>
          </w:p>
        </w:tc>
        <w:tc>
          <w:tcPr>
            <w:tcW w:w="2202"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托管费</w:t>
            </w:r>
          </w:p>
        </w:tc>
        <w:tc>
          <w:tcPr>
            <w:tcW w:w="3140"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56,158.72</w:t>
            </w:r>
          </w:p>
        </w:tc>
      </w:tr>
    </w:tbl>
    <w:p w:rsidR="00CE5B30">
      <w:pPr>
        <w:widowControl/>
        <w:adjustRightInd w:val="0"/>
        <w:snapToGrid w:val="0"/>
        <w:ind w:firstLine="420" w:firstLineChars="200"/>
        <w:jc w:val="left"/>
        <w:rPr>
          <w:rFonts w:ascii="仿宋" w:eastAsia="仿宋" w:hAnsi="仿宋" w:cs="仿宋"/>
          <w:color w:val="404040"/>
          <w:kern w:val="0"/>
          <w:sz w:val="24"/>
        </w:rPr>
      </w:pPr>
    </w:p>
    <w:p w:rsidR="00CE5B30">
      <w:pPr>
        <w:pStyle w:val="Heading2"/>
        <w:adjustRightInd w:val="0"/>
        <w:snapToGrid w:val="0"/>
        <w:spacing w:line="560" w:lineRule="atLeast"/>
        <w:jc w:val="center"/>
        <w:rPr>
          <w:rFonts w:ascii="仿宋" w:eastAsia="仿宋" w:hAnsi="仿宋" w:cs="仿宋"/>
          <w:bCs/>
          <w:sz w:val="24"/>
        </w:rPr>
      </w:pPr>
      <w:bookmarkStart w:id="22" w:name="_Toc108600986"/>
      <w:r>
        <w:rPr>
          <w:rFonts w:ascii="仿宋" w:eastAsia="仿宋" w:hAnsi="仿宋" w:cs="仿宋" w:hint="eastAsia"/>
          <w:bCs/>
          <w:sz w:val="24"/>
        </w:rPr>
        <w:t>§</w:t>
      </w:r>
      <w:r>
        <w:rPr>
          <w:rFonts w:ascii="仿宋" w:eastAsia="仿宋" w:hAnsi="仿宋" w:cs="仿宋"/>
          <w:bCs/>
          <w:sz w:val="24"/>
        </w:rPr>
        <w:t>8</w:t>
      </w:r>
      <w:r>
        <w:rPr>
          <w:rFonts w:ascii="仿宋" w:eastAsia="仿宋" w:hAnsi="仿宋" w:cs="仿宋" w:hint="eastAsia"/>
          <w:bCs/>
          <w:sz w:val="24"/>
        </w:rPr>
        <w:t xml:space="preserve"> 投资账户信息</w:t>
      </w:r>
      <w:bookmarkEnd w:id="22"/>
    </w:p>
    <w:p w:rsidR="00CE5B30"/>
    <w:tbl>
      <w:tblPr>
        <w:tblStyle w:val="TableGrid"/>
        <w:tblW w:w="8983" w:type="dxa"/>
        <w:tblInd w:w="65" w:type="dxa"/>
        <w:tblLayout w:type="fixed"/>
        <w:tblLook w:val="04A0"/>
      </w:tblPr>
      <w:tblGrid>
        <w:gridCol w:w="2487"/>
        <w:gridCol w:w="6496"/>
      </w:tblGrid>
      <w:tr>
        <w:tblPrEx>
          <w:tblW w:w="8983" w:type="dxa"/>
          <w:tblInd w:w="65" w:type="dxa"/>
          <w:tblLayout w:type="fixed"/>
          <w:tblLook w:val="04A0"/>
        </w:tblPrEx>
        <w:trPr>
          <w:trHeight w:val="216"/>
        </w:trPr>
        <w:tc>
          <w:tcPr>
            <w:tcW w:w="2487" w:type="dxa"/>
          </w:tcPr>
          <w:p w:rsidR="00CE5B30">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户名</w:t>
            </w:r>
          </w:p>
        </w:tc>
        <w:tc>
          <w:tcPr>
            <w:tcW w:w="6496" w:type="dxa"/>
          </w:tcPr>
          <w:p w:rsidR="00CE5B30">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杭银理财有限责任公司幸福99季添益开放式第1913期</w:t>
            </w:r>
          </w:p>
        </w:tc>
      </w:tr>
      <w:tr>
        <w:tblPrEx>
          <w:tblW w:w="8983" w:type="dxa"/>
          <w:tblInd w:w="65" w:type="dxa"/>
          <w:tblLayout w:type="fixed"/>
          <w:tblLook w:val="04A0"/>
        </w:tblPrEx>
        <w:trPr>
          <w:trHeight w:val="179"/>
        </w:trPr>
        <w:tc>
          <w:tcPr>
            <w:tcW w:w="2487" w:type="dxa"/>
          </w:tcPr>
          <w:p w:rsidR="00CE5B30">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账号</w:t>
            </w:r>
          </w:p>
        </w:tc>
        <w:tc>
          <w:tcPr>
            <w:tcW w:w="6496" w:type="dxa"/>
          </w:tcPr>
          <w:p w:rsidR="00CE5B30">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3301040160015309811-351913</w:t>
            </w:r>
          </w:p>
        </w:tc>
      </w:tr>
      <w:tr>
        <w:tblPrEx>
          <w:tblW w:w="8983" w:type="dxa"/>
          <w:tblInd w:w="65" w:type="dxa"/>
          <w:tblLayout w:type="fixed"/>
          <w:tblLook w:val="04A0"/>
        </w:tblPrEx>
        <w:trPr>
          <w:trHeight w:val="163"/>
        </w:trPr>
        <w:tc>
          <w:tcPr>
            <w:tcW w:w="2487" w:type="dxa"/>
          </w:tcPr>
          <w:p w:rsidR="00CE5B30">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开户行</w:t>
            </w:r>
          </w:p>
        </w:tc>
        <w:tc>
          <w:tcPr>
            <w:tcW w:w="6496" w:type="dxa"/>
          </w:tcPr>
          <w:p w:rsidR="00CE5B30">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杭州银行总行营业部</w:t>
            </w:r>
          </w:p>
        </w:tc>
      </w:tr>
    </w:tbl>
    <w:p w:rsidR="00CE5B30">
      <w:pPr>
        <w:widowControl/>
        <w:adjustRightInd w:val="0"/>
        <w:snapToGrid w:val="0"/>
        <w:ind w:firstLine="420" w:firstLineChars="200"/>
        <w:jc w:val="left"/>
        <w:rPr>
          <w:rFonts w:ascii="仿宋" w:eastAsia="仿宋" w:hAnsi="仿宋" w:cs="仿宋"/>
          <w:color w:val="404040"/>
          <w:kern w:val="0"/>
          <w:sz w:val="24"/>
        </w:rPr>
      </w:pPr>
    </w:p>
    <w:p w:rsidR="00CE5B30">
      <w:pPr>
        <w:ind w:left="360"/>
        <w:jc w:val="right"/>
        <w:rPr>
          <w:rFonts w:ascii="仿宋" w:eastAsia="仿宋" w:hAnsi="仿宋" w:cs="仿宋"/>
          <w:sz w:val="24"/>
        </w:rPr>
      </w:pPr>
    </w:p>
    <w:p w:rsidR="00CE5B30">
      <w:pPr>
        <w:ind w:left="360"/>
        <w:jc w:val="right"/>
        <w:rPr>
          <w:rFonts w:ascii="仿宋" w:eastAsia="仿宋" w:hAnsi="仿宋" w:cs="仿宋"/>
          <w:sz w:val="24"/>
        </w:rPr>
      </w:pPr>
      <w:r>
        <w:rPr>
          <w:rFonts w:ascii="仿宋" w:eastAsia="仿宋" w:hAnsi="仿宋" w:cs="仿宋" w:hint="eastAsia"/>
          <w:sz w:val="24"/>
        </w:rPr>
        <w:t>杭银理财有限责任公司</w:t>
      </w:r>
    </w:p>
    <w:p w:rsidR="00CE5B30">
      <w:pPr>
        <w:jc w:val="right"/>
        <w:rPr>
          <w:sz w:val="24"/>
        </w:rPr>
      </w:pPr>
      <w:r>
        <w:rPr>
          <w:rFonts w:ascii="仿宋" w:eastAsia="仿宋" w:hAnsi="仿宋" w:cs="仿宋" w:hint="eastAsia"/>
          <w:sz w:val="24"/>
        </w:rPr>
        <w:t>2023年10月18日</w:t>
      </w:r>
    </w:p>
    <w:p w:rsidR="00CE5B30"/>
    <w:p w:rsidR="00CE5B30"/>
    <w:sectPr>
      <w:headerReference w:type="default" r:id="rId5"/>
      <w:pgSz w:w="11906" w:h="16838"/>
      <w:pgMar w:top="2551" w:right="1803" w:bottom="2551" w:left="1803" w:header="851" w:footer="992" w:gutter="0"/>
      <w:cols w:space="0"/>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简体">
    <w:altName w:val="微软雅黑"/>
    <w:charset w:val="86"/>
    <w:family w:val="roman"/>
    <w:pitch w:val="default"/>
    <w:sig w:usb0="00000000" w:usb1="00000000" w:usb2="00000000" w:usb3="00000000" w:csb0="00040000" w:csb1="00000000"/>
  </w:font>
  <w:font w:name="方正楷体简体">
    <w:altName w:val="宋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E5B30">
    <w:pPr>
      <w:pStyle w:val="Header"/>
    </w:pPr>
    <w:r>
      <w:rPr>
        <w:noProof/>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43800" cy="10671810"/>
          <wp:effectExtent l="0" t="0" r="0" b="15240"/>
          <wp:wrapNone/>
          <wp:docPr id="5" name="WordPictureWatermark140627" descr="微信图片_20220817144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40627" descr="微信图片_20220817144322"/>
                  <pic:cNvPicPr>
                    <a:picLocks noChangeAspect="1"/>
                  </pic:cNvPicPr>
                </pic:nvPicPr>
                <pic:blipFill>
                  <a:blip xmlns:r="http://schemas.openxmlformats.org/officeDocument/2006/relationships" r:embed="rId1"/>
                  <a:stretch>
                    <a:fillRect/>
                  </a:stretch>
                </pic:blipFill>
                <pic:spPr>
                  <a:xfrm>
                    <a:off x="0" y="0"/>
                    <a:ext cx="7543800" cy="1067181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4"/>
    </w:rPr>
  </w:style>
  <w:style w:type="paragraph" w:styleId="Heading2">
    <w:name w:val="heading 2"/>
    <w:basedOn w:val="Normal"/>
    <w:next w:val="Normal"/>
    <w:link w:val="2"/>
    <w:unhideWhenUsed/>
    <w:qFormat/>
    <w:pPr>
      <w:keepNext/>
      <w:keepLines/>
      <w:spacing w:line="400" w:lineRule="exact"/>
      <w:jc w:val="left"/>
      <w:outlineLvl w:val="1"/>
    </w:pPr>
    <w:rPr>
      <w:rFonts w:ascii="Arial" w:eastAsia="宋体" w:hAnsi="Arial"/>
      <w:b/>
    </w:rPr>
  </w:style>
  <w:style w:type="paragraph" w:styleId="Heading3">
    <w:name w:val="heading 3"/>
    <w:basedOn w:val="Normal"/>
    <w:next w:val="Normal"/>
    <w:link w:val="3"/>
    <w:unhideWhenUsed/>
    <w:qFormat/>
    <w:pPr>
      <w:keepNext/>
      <w:keepLines/>
      <w:spacing w:line="400" w:lineRule="exact"/>
      <w:jc w:val="left"/>
      <w:outlineLvl w:val="2"/>
    </w:pPr>
    <w:rPr>
      <w:rFonts w:ascii="Times New Roman" w:eastAsia="宋体"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nhideWhenUsed/>
    <w:qFormat/>
    <w:pPr>
      <w:spacing w:after="120"/>
    </w:pPr>
    <w:rPr>
      <w:rFonts w:ascii="Times New Roman" w:eastAsia="方正仿宋简体" w:hAnsi="Times New Roman" w:cs="Times New Roman"/>
      <w:sz w:val="32"/>
      <w:szCs w:val="20"/>
    </w:rPr>
  </w:style>
  <w:style w:type="paragraph" w:styleId="TOC3">
    <w:name w:val="toc 3"/>
    <w:basedOn w:val="Normal"/>
    <w:next w:val="Normal"/>
    <w:uiPriority w:val="39"/>
    <w:semiHidden/>
    <w:unhideWhenUsed/>
    <w:pPr>
      <w:ind w:left="840" w:leftChars="400"/>
    </w:pPr>
  </w:style>
  <w:style w:type="paragraph" w:styleId="BalloonText">
    <w:name w:val="Balloon Text"/>
    <w:basedOn w:val="Normal"/>
    <w:link w:val="a2"/>
    <w:uiPriority w:val="99"/>
    <w:semiHidden/>
    <w:unhideWhenUsed/>
    <w:rPr>
      <w:sz w:val="18"/>
      <w:szCs w:val="18"/>
    </w:rPr>
  </w:style>
  <w:style w:type="paragraph" w:styleId="Footer">
    <w:name w:val="footer"/>
    <w:basedOn w:val="Normal"/>
    <w:link w:val="a1"/>
    <w:uiPriority w:val="99"/>
    <w:unhideWhenUsed/>
    <w:pPr>
      <w:tabs>
        <w:tab w:val="center" w:pos="4153"/>
        <w:tab w:val="right" w:pos="8306"/>
      </w:tabs>
      <w:snapToGrid w:val="0"/>
      <w:jc w:val="left"/>
    </w:pPr>
    <w:rPr>
      <w:sz w:val="18"/>
      <w:szCs w:val="18"/>
    </w:rPr>
  </w:style>
  <w:style w:type="paragraph" w:styleId="Header">
    <w:name w:val="header"/>
    <w:basedOn w:val="Normal"/>
    <w:link w:val="a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2">
    <w:name w:val="toc 2"/>
    <w:basedOn w:val="Normal"/>
    <w:next w:val="Normal"/>
    <w:uiPriority w:val="39"/>
    <w:semiHidden/>
    <w:unhideWhenUsed/>
    <w:pPr>
      <w:ind w:left="420" w:leftChars="200"/>
    </w:pPr>
  </w:style>
  <w:style w:type="paragraph" w:styleId="NormalWeb">
    <w:name w:val="Normal (Web)"/>
    <w:basedOn w:val="Normal"/>
    <w:unhideWhenUsed/>
    <w:qFormat/>
    <w:pPr>
      <w:widowControl/>
      <w:spacing w:before="100" w:beforeAutospacing="1" w:after="100" w:afterAutospacing="1"/>
    </w:pPr>
    <w:rPr>
      <w:rFonts w:ascii="宋体" w:eastAsia="宋体" w:hAnsi="宋体" w:cs="Times New Roman"/>
      <w:kern w:val="0"/>
      <w:sz w:val="24"/>
      <w:szCs w:val="20"/>
    </w:rPr>
  </w:style>
  <w:style w:type="table" w:styleId="TableGrid">
    <w:name w:val="Table Grid"/>
    <w:basedOn w:val="TableNormal"/>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
    <w:name w:val="标题 2 字符"/>
    <w:basedOn w:val="DefaultParagraphFont"/>
    <w:link w:val="Heading2"/>
    <w:rPr>
      <w:rFonts w:ascii="Arial" w:eastAsia="宋体" w:hAnsi="Arial"/>
      <w:b/>
    </w:rPr>
  </w:style>
  <w:style w:type="character" w:customStyle="1" w:styleId="3">
    <w:name w:val="标题 3 字符"/>
    <w:basedOn w:val="DefaultParagraphFont"/>
    <w:link w:val="Heading3"/>
    <w:rPr>
      <w:rFonts w:ascii="Times New Roman" w:eastAsia="宋体" w:hAnsi="Times New Roman"/>
      <w:b/>
    </w:rPr>
  </w:style>
  <w:style w:type="character" w:customStyle="1" w:styleId="a">
    <w:name w:val="正文文本 字符"/>
    <w:basedOn w:val="DefaultParagraphFont"/>
    <w:link w:val="BodyText"/>
    <w:qFormat/>
    <w:rPr>
      <w:rFonts w:ascii="Times New Roman" w:eastAsia="方正仿宋简体" w:hAnsi="Times New Roman" w:cs="Times New Roman"/>
      <w:sz w:val="32"/>
      <w:szCs w:val="20"/>
    </w:rPr>
  </w:style>
  <w:style w:type="character" w:customStyle="1" w:styleId="a0">
    <w:name w:val="页眉 字符"/>
    <w:basedOn w:val="DefaultParagraphFont"/>
    <w:link w:val="Header"/>
    <w:rPr>
      <w:sz w:val="18"/>
    </w:rPr>
  </w:style>
  <w:style w:type="character" w:customStyle="1" w:styleId="a1">
    <w:name w:val="页脚 字符"/>
    <w:basedOn w:val="DefaultParagraphFont"/>
    <w:link w:val="Footer"/>
    <w:uiPriority w:val="99"/>
    <w:rPr>
      <w:kern w:val="2"/>
      <w:sz w:val="18"/>
      <w:szCs w:val="18"/>
    </w:rPr>
  </w:style>
  <w:style w:type="character" w:customStyle="1" w:styleId="a2">
    <w:name w:val="批注框文本 字符"/>
    <w:basedOn w:val="DefaultParagraphFont"/>
    <w:link w:val="BalloonText"/>
    <w:uiPriority w:val="99"/>
    <w:semiHidden/>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365</Words>
  <Characters>2086</Characters>
  <Application>Microsoft Office Word</Application>
  <DocSecurity>0</DocSecurity>
  <Lines>17</Lines>
  <Paragraphs>4</Paragraphs>
  <ScaleCrop>false</ScaleCrop>
  <Company/>
  <LinksUpToDate>false</LinksUpToDate>
  <CharactersWithSpaces>2447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wong surge</cp:lastModifiedBy>
  <cp:revision>20</cp:revision>
  <dcterms:created xsi:type="dcterms:W3CDTF">2023-04-14T06:44:00Z</dcterms:created>
  <dcterms:modified xsi:type="dcterms:W3CDTF">2023-07-05T08:37:00Z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48CAE58F88821DFB686F3364065ABE78_42</vt:lpwstr>
  </property>
  <property fmtid="{D5CDD505-2E9C-101B-9397-08002B2CF9AE}" pid="3" name="KSOProductBuildVer">
    <vt:lpwstr>2052-11.8.2.8053</vt:lpwstr>
  </property>
</Properties>
</file>