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季添益1912期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季添益1912期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TYG3M1912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Z7002221000283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2019年8月14日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2.80%-3.80%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1,332,883,901.20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103.84%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1,332,883,901.20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1,146,044,966.38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1.1630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1.1630</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季添益1912期</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1.1624</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1.1624</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871,412,912.83</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季添益1912期B款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TYG3M1912B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1.1639</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1.1639</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282,679,546.32</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季添益1912期C款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TYG3M1912C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1.1644</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1.1644</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178,791,442.05</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季添益1912期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3.93</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季添益1912期B款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3.96</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季添益1912期C款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3.97</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2023年3季度以来，债券收益率整体震荡， 1、2季度地产销售疲弱，出口增速下移，消费增速未有起色，通胀数据疲软，市场预期偏弱，货币、财政、房地产等政策相继出台，但经济刺激政策整体温和，投资者信心和社会总需求仍有待提振。在此背景下，3季度货币政策保持相对宽松，房地产方面，对房地产信贷、首付比例上有更积极的政策，需求在短期也有脉冲式的回升，但难以持续，债券收益率收此影响在短时间有小幅反弹，但后续仍然维持下行趋势。伴随着银行相继调降存款利率，存款向理财搬家的现象重现，理财规模重回扩张，一定程度上仍存在资产荒。从收益率来看，三季度呈现了先下后上的趋势，前期在经济数据不及预期以及降准降息的刺激下，10年国债最低见2.53后，随着地产政策频出以及政府债发行加速的背景下，债券收益率反弹至季初水平以上，当前10年国债收益率2.67%，较3季度初上4bp，当前3年期AA+城投债收益率3.08%，较3季度初上行4bp，当前3年期AAA二级资本债收益率3.02%，较3季度初上行6bp，三季度利率震荡为主，二级资本债及商业银行债等高流动性债券波动较大，对市场行情更加敏感。本产品主要配置固收类资产，债券部分以信用债为主，三季度总体信用债维持震荡，中短端利率上行更明显，高流动性债券上行幅度和波动幅度较大，产品适度降低久期以防范市场大幅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4季度，从基本面来看，无论从经济高频数据还是前瞻性数据来看，经济仍处于弱复苏态势，从30城地产销售面积看地产销售处于偏低水平，消费仍处于修复过程中，在没有经济强刺激政策出台前，收益率难以出现大幅上行；从政策面来看，后续市场利率大概率围绕政策利率波动。但是，伴随着刺激政策的出台和债券发行的情况，资金利率和债券利率或受到扰动，整体上，我们对于4季度债市表现持中性观点，策略上，适度调整久期和杠杆以应对市场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0.40%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7.54%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0.42%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1.27%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62.25%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62.31%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23.56%</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23.56%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4.89%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13.79%</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23北仑现代05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200,711,340.98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15.06%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23东阳国资08</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125,444,588.11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9.41%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21海经01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51,364,630.14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3.85%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21浙金01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50,893,205.48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3.82%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20广德01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42,754,465.75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3.21%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22晋陵03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40,753,052.06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苏银优1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33,435,720.23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2.51%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21淮安新城MTN001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31,130,672.13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19联投01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31,013,161.64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21德州财金PRN001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30,834,688.52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2.31%</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50,057,534.24</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3.76%</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宁波市北仑区现代服务业发展集团有限公司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23北仑现代05</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20231128</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200,711,340.98</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理财直接融资工具</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利随本清，到期一次还本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东阳市国有资产投资有限公司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23东阳国资08</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20231128</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125,444,588.11</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理财直接融资工具</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利随本清，到期一次还本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1,027,126,319.03</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1,146,044,966.38</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21兰溪兰创PPN001</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10,612,063.97</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23北仑现代05</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理财直融工具</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200,000,000.00</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200,000,000.00</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23东阳国资08</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理财直融工具</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125,000,000.00</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125,000,000.00</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73,755.03</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杭银理财有限责任公司幸福99季添益开放式第1912期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3301040160015309811-351912</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