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丰裕固收23021期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丰裕固收23021期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FYG23021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Z7002223000023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2023年1月31日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2024年7月24日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4.30%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568,735,896.58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107.59%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568,735,896.58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552,211,610.00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丰裕固收23021期B款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220,053,329.44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丰裕固收23021期C款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FYG23021C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191,197,142.66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157,485,424.48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丰裕固收23021期B款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丰裕固收23021期C款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90.31%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90.31%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23皖铁基金02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50,634,261.20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21相城高新PPN001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50,278,428.90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21柯开02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50,241,470.04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21昌阳投资PPN002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50,195,697.81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21嵊州城投PPN002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50,148,249.24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22港兴港投PPN002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49,779,518.25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22润企投资PPN001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45,741,420.70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21涪新04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41,916,438.36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19德州财金MTN001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40,524,737.90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21蓉经开PPN001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40,443,527.57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7.11%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40,017,095.88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7.04%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安徽省铁路发展基金股份有限公司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23皖铁基金02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50,634,261.20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552,211,610.00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552,211,610.00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杭银理财幸福99丰裕固收23021期理财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3301040160015309811-5123021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