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丰裕固收23065期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丰裕固收23065期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FYG23065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Z7002223000072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2023年4月7日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2025年6月5日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4.30%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694,700,574.33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145.73%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694,700,574.33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681,261,807.00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1.0197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1.0197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丰裕固收23065期A款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FYG23065A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486,986,606.09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丰裕固收23065期D款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FYG23065D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207,713,968.24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丰裕固收23065期A款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丰裕固收23065期D款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74.64%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74.64%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25.27%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25.27%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23淮安新城06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61,662,540.00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20成都兴锦PPN001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58,989,182.53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8.49%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23德清中创PPN001(项目收益)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51,801,734.09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21迈瑞04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51,169,080.89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23肇庆新区01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50,944,639.07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22盛裕投资MTN002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50,902,275.67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23淮安高新05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50,853,634.15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22历下控股PPN001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50,579,577.51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22江北新城PPN003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50,214,437.45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23宁波鄞开05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46,228,096.15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6.65%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315,314,232.82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45.39%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淮安新城投资开发集团有限公司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23淮安新城06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20250413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61,662,540.00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肇庆新区投资发展有限公司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23肇庆新区01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20250604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50,944,639.07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淮安高新控股有限公司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23淮安高新05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20250604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50,853,634.15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宁波市鄞开集团有限责任公司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23宁波鄞开05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46,228,096.15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盐城市国有资产投资集团有限公司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23盐城国资06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20250526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46,168,551.79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681,261,807.00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681,261,807.00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23宁波鄞开05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23盐城国资06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46,000,000.00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杭银理财幸福99丰裕固收23065期（稳利低波款）理财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3301040160015309811-5123065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