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丰裕固收增强22011期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丰裕固收增强22011期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FYGZ22011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Z7002222000048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2022年6月9日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2024年6月20日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4.40%-6.40%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116,747,005.45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100.72%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116,747,005.45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113,545,000.00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1.0282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1.0282</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丰裕固收增强22011期C款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FYGZ22011C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1.0282</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1.0282</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116,747,005.45</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丰裕固收增强22011期C款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系列产品的投向以固定收益类资产为主，并根据大类资产配置策略配置一定比例权益类资产。报告期内产品组合的投资管理以票息策略为主，以杠杆策略为辅，组合久期整体适中。同时组合在市场相对悲观的位置保留了部分权益仓位的配置，我们认为随着经济基本面的逐步修复有助于市场悲观情绪的逐步缓解，优质公司的价值具备修复空间。</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国内市场的宏观经济基本面当下正处于基于内生增长及政策推动的传导期，从一些月度的经济指标上可以观察到宏观经济基本面的改善，但是改善的力度是相对温和的。海外因素在持续成为国内市场各类资产表现的扰动项，持续的高利率环境对其自身经济的影响及对离岸资产的定价均是挑战，局部区域动荡的地缘冲突对全球风险偏好亦是压制因素。从组合管理的角度，我们将持续跟踪国内经济基本面复苏的情况，积极做好组合的资产配置，并妥善应对潜在市场风险的挑战。</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0.15%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0.89%</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34.59%</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43.49%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47.57%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47.56%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6.65%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6.65%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10.25%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22诸暨农发01(共富)</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55,931,349.26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47.91%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21张保实业PPN001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10,515,438.36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9.01%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22仲恺城发债</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10,152,868.85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G22滨江</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10,150,739.73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22凤新02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9,908,368.82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质押式逆回购(423952)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1,050,545.85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0.90%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格力电器</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907,500.00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0.78%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顺丰控股</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816,000.00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长电科技</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610,000.00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0.52%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宁德时代</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609,090.00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0.52%</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诸暨市农村发展投资有限公司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22诸暨农发01(共富)</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20240609</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55,931,349.26</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113,545,000.00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113,545,000.00</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杭银理财有限责任公司幸福99杭银理财丰裕固收增强第22011期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3301040160015309811-5722011</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杭州银行股份有限公司</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