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半年添益2007期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半年添益2007期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TYG6M2007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Z7002221000174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2020年3月4日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2.85%-3.50%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534,380,972.54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103.23%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534,380,972.54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468,440,102.50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1.1407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1.1407</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半年添益2007期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3.93</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当前10年国债收益率2.67%，较3季度初上4bp，当前3年期AA+城投债收益率3.08%，较3季度初上行4bp，当前3年期AAA二级资本债收益率3.02%，较3季度初上行6bp，三季度利率震荡为主，相对信用债，二级资本债波动高于利率债，市场更加偏好高流动性债券，并且对市场行情更加敏感。本产品主要配置固收类资产，债券部分以信用债为主，三季度总体信用债维持震荡，相对低评级债券收益率略有下行，通过杠杆策略和久期策略，产品净值收益表现较好。</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当前存单、资金价格较高，后续或有下行的空间，短期债券配置价值较高。整体来说，经济复苏还需要时间，货币政策预计保持相对宽松，债市流动性环境相对友好，我们预期4季度债券收益率难以大幅上行。策略上，保持一定杠杆比例，配置短久期或流动性较好的债券。</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0.06%</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0.91%</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0.91%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64.58%</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64.58%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34.45%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34.45%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中信信托·龙游国资信托贷款-1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190,061,489.74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35.57%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22渝隆资产PPN001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30,303,950.82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5.67%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20广安03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30,121,232.88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5.64%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21龙口城乡PPN002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20,912,602.74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22柯桥国资PPN001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20,639,917.81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20郫国投PPN002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20,590,459.02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21溧水经开PPN004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20,477,967.21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22芜湖经开MTN001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20,457,590.16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22吴中灵天MTN001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20,441,366.12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22溧水01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20,381,945.21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3.81%</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17,006,520.56</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3.18%</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龙游县国有资产经营有限公司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中信信托·龙游国资信托贷款-1</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20240327</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190,061,489.74</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489,813,040.31</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468,440,102.50</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72,221.76</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杭银理财有限责任公司幸福99半年添益第2007期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3301040160015309811-332007</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